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ageBreakBefore w:val="false"/>
        <w:suppressAutoHyphens w:val="true"/>
        <w:bidi w:val="0"/>
        <w:spacing w:before="0" w:after="200"/>
        <w:jc w:val="both"/>
        <w:rPr/>
      </w:pPr>
      <w:r>
        <w:rPr>
          <w:b/>
        </w:rPr>
        <w:t xml:space="preserve">Supplementary Figure </w:t>
      </w:r>
      <w:r>
        <w:rPr>
          <w:b/>
        </w:rPr>
        <w:t>2</w:t>
      </w:r>
      <w:r>
        <w:rPr>
          <w:b/>
        </w:rPr>
        <w:t xml:space="preserve">. </w:t>
      </w:r>
      <w:r>
        <w:rPr>
          <w:b/>
        </w:rPr>
        <w:t>Biological processes significantly enriched in the genes exhibiting rhythmicity under alternating light/dark cycles and constant light.</w:t>
      </w:r>
      <w:r>
        <w:rPr/>
        <w:t xml:space="preserve"> </w:t>
      </w:r>
      <w:r>
        <w:rPr>
          <w:b/>
        </w:rPr>
        <w:t>(A)</w:t>
      </w:r>
      <w:r>
        <w:rPr/>
        <w:t xml:space="preserve"> Treemap summarizing the significantly enriched biological processes. Semantically similar biological processes are grouped together into the same colored rectangle. The most representative biological process is shown for each rectangle. </w:t>
      </w:r>
      <w:r>
        <w:rPr/>
        <w:t xml:space="preserve">DNA replication and chromosome organization are the two most prominent biological processes enriched in the genes exhibiting rhythmicity under alternating light/dark cycles and constant light. </w:t>
      </w:r>
      <w:r>
        <w:rPr>
          <w:b/>
          <w:bCs/>
        </w:rPr>
        <w:t>(B), (C), (D) and (E)</w:t>
      </w:r>
      <w:r>
        <w:rPr/>
        <w:t xml:space="preserve">  Gene expression profiles under </w:t>
      </w:r>
      <w:r>
        <w:rPr/>
        <w:t xml:space="preserve">long day (LD, 16h light / 8h dark, blue) / constant light (LL) (top left), LD / constant dark (DD) (top right), short day conditions (SD, 8h light / 16h dark, red) / LL (bottom left) and SD / DD conditions (bottom right) </w:t>
      </w:r>
      <w:r>
        <w:rPr/>
        <w:t xml:space="preserve">for </w:t>
      </w:r>
      <w:r>
        <w:rPr>
          <w:i/>
          <w:iCs/>
        </w:rPr>
        <w:t>Minichromosome Maintenance 6</w:t>
      </w:r>
      <w:r>
        <w:rPr/>
        <w:t xml:space="preserve"> (</w:t>
      </w:r>
      <w:r>
        <w:rPr>
          <w:i/>
          <w:iCs/>
        </w:rPr>
        <w:t>MCM6</w:t>
      </w:r>
      <w:r>
        <w:rPr/>
        <w:t xml:space="preserve">, </w:t>
      </w:r>
      <w:r>
        <w:rPr>
          <w:i/>
          <w:iCs/>
        </w:rPr>
        <w:t>ostta01g02580</w:t>
      </w:r>
      <w:r>
        <w:rPr/>
        <w:t xml:space="preserve">, </w:t>
      </w:r>
      <w:r>
        <w:rPr>
          <w:b/>
          <w:bCs/>
        </w:rPr>
        <w:t>B</w:t>
      </w:r>
      <w:r>
        <w:rPr/>
        <w:t xml:space="preserve">), </w:t>
      </w:r>
      <w:r>
        <w:rPr>
          <w:i/>
          <w:iCs/>
        </w:rPr>
        <w:t>Proliferating Cell Nuclear Antigen</w:t>
      </w:r>
      <w:r>
        <w:rPr/>
        <w:t xml:space="preserve"> (</w:t>
      </w:r>
      <w:r>
        <w:rPr>
          <w:i/>
          <w:iCs/>
        </w:rPr>
        <w:t>PCNA</w:t>
      </w:r>
      <w:r>
        <w:rPr/>
        <w:t xml:space="preserve">, </w:t>
      </w:r>
      <w:r>
        <w:rPr>
          <w:i/>
          <w:iCs/>
        </w:rPr>
        <w:t>ostta06g02890</w:t>
      </w:r>
      <w:r>
        <w:rPr/>
        <w:t xml:space="preserve">, </w:t>
      </w:r>
      <w:r>
        <w:rPr>
          <w:b/>
          <w:bCs/>
        </w:rPr>
        <w:t>C</w:t>
      </w:r>
      <w:r>
        <w:rPr/>
        <w:t xml:space="preserve">), </w:t>
      </w:r>
      <w:r>
        <w:rPr>
          <w:i/>
          <w:iCs/>
        </w:rPr>
        <w:t>Topoisomerase 6 subunit B</w:t>
      </w:r>
      <w:r>
        <w:rPr/>
        <w:t xml:space="preserve"> (</w:t>
      </w:r>
      <w:r>
        <w:rPr>
          <w:i/>
          <w:iCs/>
        </w:rPr>
        <w:t>TOP6B</w:t>
      </w:r>
      <w:r>
        <w:rPr/>
        <w:t xml:space="preserve">, </w:t>
      </w:r>
      <w:r>
        <w:rPr>
          <w:i/>
          <w:iCs/>
        </w:rPr>
        <w:t>ostta05g02940</w:t>
      </w:r>
      <w:r>
        <w:rPr/>
        <w:t xml:space="preserve">, </w:t>
      </w:r>
      <w:r>
        <w:rPr>
          <w:b/>
          <w:bCs/>
        </w:rPr>
        <w:t>D</w:t>
      </w:r>
      <w:r>
        <w:rPr/>
        <w:t xml:space="preserve">) and </w:t>
      </w:r>
      <w:r>
        <w:rPr>
          <w:i/>
          <w:iCs/>
        </w:rPr>
        <w:t>DNA Polymerase Alpha subunit B</w:t>
      </w:r>
      <w:r>
        <w:rPr/>
        <w:t xml:space="preserve"> (</w:t>
      </w:r>
      <w:r>
        <w:rPr>
          <w:i/>
          <w:iCs/>
        </w:rPr>
        <w:t>POLAB</w:t>
      </w:r>
      <w:r>
        <w:rPr/>
        <w:t xml:space="preserve">, </w:t>
      </w:r>
      <w:r>
        <w:rPr>
          <w:i/>
          <w:iCs/>
        </w:rPr>
        <w:t>ostta08g03680</w:t>
      </w:r>
      <w:r>
        <w:rPr/>
        <w:t xml:space="preserve">, </w:t>
      </w:r>
      <w:r>
        <w:rPr>
          <w:b/>
          <w:bCs/>
        </w:rPr>
        <w:t>E</w:t>
      </w:r>
      <w:r>
        <w:rPr/>
        <w:t>).</w:t>
      </w:r>
      <w:r>
        <w:rPr/>
        <w:t xml:space="preserve"> Gene expression levels are measured as FPKM (Fragments Per Kilobase of transcript per Million fragments mapped).  White rectangles represent photoperiods (light periods or days), blue and red filled rectangles correspond to skotoperiods under LD and SD respectively (dark periods or nights). ZTN, Zeitgeber time N, marks the time point N hours after dawn (lights on). </w:t>
      </w:r>
      <w:r>
        <w:rPr/>
        <w:t xml:space="preserve"> These genes involved in DNA replication exhibit rhythmic gene expression patterns under alternating ligh/dark cycles that are maintained with a drastic reduction in amplitude (maximum level of expression) under LL. Nevertheless, these genes are strongly repressed under DD indicating that their expression requires as input a </w:t>
      </w:r>
      <w:r>
        <w:rPr>
          <w:rFonts w:eastAsia="Noto Serif CJK SC" w:cs="Lohit Devanagari"/>
          <w:color w:val="000000"/>
          <w:kern w:val="0"/>
          <w:sz w:val="24"/>
          <w:szCs w:val="24"/>
          <w:lang w:val="en-US" w:eastAsia="en-US" w:bidi="en-US"/>
        </w:rPr>
        <w:t>light</w:t>
      </w:r>
      <w:r>
        <w:rPr/>
        <w:t xml:space="preserve"> period.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4"/>
        <w:lang w:val="en-US" w:eastAsia="en-US" w:bidi="en-US"/>
      </w:rPr>
    </w:rPrDefault>
    <w:pPrDefault>
      <w:pPr>
        <w:suppressAutoHyphens w:val="true"/>
      </w:pPr>
    </w:pPrDefault>
  </w:docDefaults>
  <w:style w:type="paragraph" w:styleId="Normal">
    <w:name w:val="Normal"/>
    <w:basedOn w:val="DStyleparagraph"/>
    <w:qFormat/>
    <w:pPr>
      <w:suppressAutoHyphens w:val="false"/>
    </w:pPr>
    <w:rPr/>
  </w:style>
  <w:style w:type="paragraph" w:styleId="Heading1">
    <w:name w:val="Heading 1"/>
    <w:basedOn w:val="LONormal"/>
    <w:qFormat/>
    <w:pPr>
      <w:spacing w:before="480" w:after="200"/>
    </w:pPr>
    <w:rPr>
      <w:rFonts w:ascii="Arial" w:hAnsi="Arial" w:eastAsia="Arial" w:cs="Arial"/>
      <w:sz w:val="40"/>
    </w:rPr>
  </w:style>
  <w:style w:type="paragraph" w:styleId="Heading2">
    <w:name w:val="Heading 2"/>
    <w:basedOn w:val="LONormal"/>
    <w:qFormat/>
    <w:pPr>
      <w:spacing w:before="360" w:after="200"/>
    </w:pPr>
    <w:rPr>
      <w:rFonts w:ascii="Arial" w:hAnsi="Arial" w:eastAsia="Arial" w:cs="Arial"/>
      <w:sz w:val="34"/>
    </w:rPr>
  </w:style>
  <w:style w:type="paragraph" w:styleId="Heading3">
    <w:name w:val="Heading 3"/>
    <w:basedOn w:val="LONormal"/>
    <w:qFormat/>
    <w:pPr>
      <w:spacing w:before="320" w:after="200"/>
    </w:pPr>
    <w:rPr>
      <w:rFonts w:ascii="Arial" w:hAnsi="Arial" w:eastAsia="Arial" w:cs="Arial"/>
      <w:sz w:val="30"/>
    </w:rPr>
  </w:style>
  <w:style w:type="paragraph" w:styleId="Heading4">
    <w:name w:val="Heading 4"/>
    <w:basedOn w:val="LONormal"/>
    <w:qFormat/>
    <w:pPr>
      <w:spacing w:before="320" w:after="200"/>
    </w:pPr>
    <w:rPr>
      <w:rFonts w:ascii="Arial" w:hAnsi="Arial" w:eastAsia="Arial" w:cs="Arial"/>
      <w:b/>
      <w:sz w:val="26"/>
    </w:rPr>
  </w:style>
  <w:style w:type="paragraph" w:styleId="Heading5">
    <w:name w:val="Heading 5"/>
    <w:basedOn w:val="LONormal"/>
    <w:qFormat/>
    <w:pPr>
      <w:spacing w:before="320" w:after="200"/>
    </w:pPr>
    <w:rPr>
      <w:rFonts w:ascii="Arial" w:hAnsi="Arial" w:eastAsia="Arial" w:cs="Arial"/>
      <w:b/>
      <w:sz w:val="24"/>
    </w:rPr>
  </w:style>
  <w:style w:type="paragraph" w:styleId="Heading6">
    <w:name w:val="Heading 6"/>
    <w:basedOn w:val="LONormal"/>
    <w:qFormat/>
    <w:pPr>
      <w:spacing w:before="320" w:after="200"/>
    </w:pPr>
    <w:rPr>
      <w:rFonts w:ascii="Arial" w:hAnsi="Arial" w:eastAsia="Arial" w:cs="Arial"/>
      <w:b/>
      <w:sz w:val="22"/>
    </w:rPr>
  </w:style>
  <w:style w:type="paragraph" w:styleId="Heading7">
    <w:name w:val="Heading 7"/>
    <w:basedOn w:val="LONormal"/>
    <w:qFormat/>
    <w:pPr>
      <w:spacing w:before="320" w:after="200"/>
    </w:pPr>
    <w:rPr>
      <w:rFonts w:ascii="Arial" w:hAnsi="Arial" w:eastAsia="Arial" w:cs="Arial"/>
      <w:b/>
      <w:i/>
      <w:sz w:val="22"/>
    </w:rPr>
  </w:style>
  <w:style w:type="paragraph" w:styleId="Heading8">
    <w:name w:val="Heading 8"/>
    <w:basedOn w:val="LONormal"/>
    <w:qFormat/>
    <w:pPr>
      <w:spacing w:before="320" w:after="200"/>
    </w:pPr>
    <w:rPr>
      <w:rFonts w:ascii="Arial" w:hAnsi="Arial" w:eastAsia="Arial" w:cs="Arial"/>
      <w:i/>
      <w:sz w:val="22"/>
    </w:rPr>
  </w:style>
  <w:style w:type="paragraph" w:styleId="Heading9">
    <w:name w:val="Heading 9"/>
    <w:basedOn w:val="LONormal"/>
    <w:qFormat/>
    <w:pPr>
      <w:spacing w:before="320" w:after="200"/>
    </w:pPr>
    <w:rPr>
      <w:rFonts w:ascii="Arial" w:hAnsi="Arial" w:eastAsia="Arial" w:cs="Arial"/>
      <w:i/>
      <w:sz w:val="21"/>
    </w:rPr>
  </w:style>
  <w:style w:type="character" w:styleId="Heading1Char">
    <w:name w:val="Heading 1 Char"/>
    <w:qFormat/>
    <w:rPr>
      <w:rFonts w:ascii="Arial" w:hAnsi="Arial" w:eastAsia="Arial" w:cs="Arial"/>
      <w:sz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rPr>
  </w:style>
  <w:style w:type="character" w:styleId="Heading4Char">
    <w:name w:val="Heading 4 Char"/>
    <w:qFormat/>
    <w:rPr>
      <w:rFonts w:ascii="Arial" w:hAnsi="Arial" w:eastAsia="Arial" w:cs="Arial"/>
      <w:b/>
      <w:sz w:val="26"/>
    </w:rPr>
  </w:style>
  <w:style w:type="character" w:styleId="Heading5Char">
    <w:name w:val="Heading 5 Char"/>
    <w:qFormat/>
    <w:rPr>
      <w:rFonts w:ascii="Arial" w:hAnsi="Arial" w:eastAsia="Arial" w:cs="Arial"/>
      <w:b/>
      <w:sz w:val="24"/>
    </w:rPr>
  </w:style>
  <w:style w:type="character" w:styleId="Heading6Char">
    <w:name w:val="Heading 6 Char"/>
    <w:qFormat/>
    <w:rPr>
      <w:rFonts w:ascii="Arial" w:hAnsi="Arial" w:eastAsia="Arial" w:cs="Arial"/>
      <w:b/>
      <w:sz w:val="22"/>
    </w:rPr>
  </w:style>
  <w:style w:type="character" w:styleId="Heading7Char">
    <w:name w:val="Heading 7 Char"/>
    <w:qFormat/>
    <w:rPr>
      <w:rFonts w:ascii="Arial" w:hAnsi="Arial" w:eastAsia="Arial" w:cs="Arial"/>
      <w:b/>
      <w:i/>
      <w:sz w:val="22"/>
    </w:rPr>
  </w:style>
  <w:style w:type="character" w:styleId="Heading8Char">
    <w:name w:val="Heading 8 Char"/>
    <w:qFormat/>
    <w:rPr>
      <w:rFonts w:ascii="Arial" w:hAnsi="Arial" w:eastAsia="Arial" w:cs="Arial"/>
      <w:i/>
      <w:sz w:val="22"/>
    </w:rPr>
  </w:style>
  <w:style w:type="character" w:styleId="Heading9Char">
    <w:name w:val="Heading 9 Char"/>
    <w:qFormat/>
    <w:rPr>
      <w:rFonts w:ascii="Arial" w:hAnsi="Arial" w:eastAsia="Arial" w:cs="Arial"/>
      <w:i/>
      <w:sz w:val="21"/>
    </w:rPr>
  </w:style>
  <w:style w:type="character" w:styleId="TitleChar">
    <w:name w:val="Title Char"/>
    <w:qFormat/>
    <w:rPr>
      <w:sz w:val="48"/>
    </w:rPr>
  </w:style>
  <w:style w:type="character" w:styleId="SubtitleChar">
    <w:name w:val="Subtitle Char"/>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qFormat/>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Anchor"/>
    <w:rPr>
      <w:vertAlign w:val="superscript"/>
    </w:rPr>
  </w:style>
  <w:style w:type="character" w:styleId="DefaultParagraphFont">
    <w:name w:val="Default Paragraph Font"/>
    <w:qFormat/>
    <w:rPr/>
  </w:style>
  <w:style w:type="character" w:styleId="NumberingSymbols">
    <w:name w:val="Numbering Symbols"/>
    <w:qFormat/>
    <w:rPr/>
  </w:style>
  <w:style w:type="paragraph" w:styleId="Heading">
    <w:name w:val="Heading"/>
    <w:basedOn w:val="Normal"/>
    <w:next w:val="TextBody"/>
    <w:qFormat/>
    <w:pPr>
      <w:spacing w:before="240" w:after="120"/>
    </w:pPr>
    <w:rPr>
      <w:rFonts w:ascii="Liberation Sans" w:hAnsi="Liberation Sans" w:eastAsia="Noto Sans CJK SC" w:cs="Lohit Devanagari"/>
      <w:sz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before="120" w:after="120"/>
    </w:pPr>
    <w:rPr>
      <w:rFonts w:cs="Lohit Devanagari"/>
      <w:i/>
      <w:sz w:val="24"/>
    </w:rPr>
  </w:style>
  <w:style w:type="paragraph" w:styleId="Index">
    <w:name w:val="Index"/>
    <w:basedOn w:val="Normal"/>
    <w:qFormat/>
    <w:pPr/>
    <w:rPr>
      <w:rFonts w:cs="Lohit Devanagari"/>
    </w:rPr>
  </w:style>
  <w:style w:type="paragraph" w:styleId="LONormal">
    <w:name w:val="LO-Normal"/>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ListParagraph">
    <w:name w:val="List Paragraph"/>
    <w:basedOn w:val="LONormal"/>
    <w:qFormat/>
    <w:pPr>
      <w:spacing w:before="0" w:after="200"/>
      <w:ind w:left="720" w:hanging="0"/>
      <w:contextualSpacing/>
    </w:pPr>
    <w:rPr/>
  </w:style>
  <w:style w:type="paragraph" w:styleId="NoSpacing">
    <w:name w:val="No Spacing"/>
    <w:qFormat/>
    <w:pPr>
      <w:widowControl w:val="false"/>
      <w:suppressAutoHyphens w:val="true"/>
      <w:bidi w:val="0"/>
      <w:spacing w:lineRule="auto" w:line="240" w:before="0" w:after="0"/>
      <w:jc w:val="left"/>
    </w:pPr>
    <w:rPr>
      <w:rFonts w:ascii="Arial" w:hAnsi="Arial" w:eastAsia="Arial" w:cs="Arial"/>
      <w:color w:val="000000"/>
      <w:kern w:val="0"/>
      <w:sz w:val="22"/>
      <w:szCs w:val="24"/>
      <w:lang w:val="en-US" w:eastAsia="en-US" w:bidi="en-US"/>
    </w:rPr>
  </w:style>
  <w:style w:type="paragraph" w:styleId="Title">
    <w:name w:val="Title"/>
    <w:basedOn w:val="LONormal"/>
    <w:qFormat/>
    <w:pPr>
      <w:spacing w:before="300" w:after="200"/>
      <w:contextualSpacing/>
    </w:pPr>
    <w:rPr>
      <w:sz w:val="48"/>
    </w:rPr>
  </w:style>
  <w:style w:type="paragraph" w:styleId="Subtitle">
    <w:name w:val="Subtitle"/>
    <w:basedOn w:val="LONormal"/>
    <w:qFormat/>
    <w:pPr>
      <w:spacing w:before="200" w:after="200"/>
    </w:pPr>
    <w:rPr>
      <w:sz w:val="24"/>
    </w:rPr>
  </w:style>
  <w:style w:type="paragraph" w:styleId="Quote">
    <w:name w:val="Quote"/>
    <w:basedOn w:val="LONormal"/>
    <w:qFormat/>
    <w:pPr>
      <w:ind w:left="720" w:right="720" w:hanging="0"/>
    </w:pPr>
    <w:rPr>
      <w:i/>
    </w:rPr>
  </w:style>
  <w:style w:type="paragraph" w:styleId="IntenseQuote">
    <w:name w:val="Intense Quote"/>
    <w:basedOn w:val="LONormal"/>
    <w:qFormat/>
    <w:pPr>
      <w:pBdr>
        <w:top w:val="single" w:sz="4" w:space="0" w:color="FFFFFF"/>
        <w:left w:val="single" w:sz="4" w:space="0" w:color="FFFFFF"/>
        <w:bottom w:val="single" w:sz="4" w:space="0" w:color="FFFFFF"/>
        <w:right w:val="single" w:sz="4" w:space="0" w:color="FFFFFF"/>
      </w:pBdr>
      <w:shd w:val="clear" w:fill="F2F2F2"/>
      <w:spacing w:before="0" w:after="200"/>
      <w:ind w:left="720" w:right="720" w:hanging="0"/>
      <w:contextualSpacing/>
    </w:pPr>
    <w:rPr>
      <w: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LONormal"/>
    <w:pPr>
      <w:tabs>
        <w:tab w:val="clear" w:pos="709"/>
        <w:tab w:val="center" w:pos="7143" w:leader="none"/>
        <w:tab w:val="right" w:pos="14287" w:leader="none"/>
      </w:tabs>
      <w:spacing w:lineRule="auto" w:line="240" w:before="0" w:after="0"/>
    </w:pPr>
    <w:rPr/>
  </w:style>
  <w:style w:type="paragraph" w:styleId="Footer">
    <w:name w:val="Footer"/>
    <w:basedOn w:val="LONormal"/>
    <w:pPr>
      <w:tabs>
        <w:tab w:val="clear" w:pos="709"/>
        <w:tab w:val="center" w:pos="7143" w:leader="none"/>
        <w:tab w:val="right" w:pos="14287" w:leader="none"/>
      </w:tabs>
      <w:spacing w:lineRule="auto" w:line="240" w:before="0" w:after="0"/>
    </w:pPr>
    <w:rPr/>
  </w:style>
  <w:style w:type="paragraph" w:styleId="Footnote">
    <w:name w:val="Footnote Text"/>
    <w:basedOn w:val="LONormal"/>
    <w:qFormat/>
    <w:pPr>
      <w:spacing w:lineRule="auto" w:line="240" w:before="0" w:after="40"/>
    </w:pPr>
    <w:rPr>
      <w:sz w:val="18"/>
    </w:rPr>
  </w:style>
  <w:style w:type="paragraph" w:styleId="Endnote">
    <w:name w:val="Endnote Text"/>
    <w:basedOn w:val="LONormal"/>
    <w:qFormat/>
    <w:pPr>
      <w:spacing w:lineRule="auto" w:line="240" w:before="0" w:after="0"/>
    </w:pPr>
    <w:rPr>
      <w:sz w:val="20"/>
    </w:rPr>
  </w:style>
  <w:style w:type="paragraph" w:styleId="Contents1">
    <w:name w:val="TOC 1"/>
    <w:basedOn w:val="LONormal"/>
    <w:qFormat/>
    <w:pPr>
      <w:spacing w:before="0" w:after="57"/>
      <w:ind w:left="0" w:right="0" w:hanging="0"/>
    </w:pPr>
    <w:rPr/>
  </w:style>
  <w:style w:type="paragraph" w:styleId="Contents2">
    <w:name w:val="TOC 2"/>
    <w:basedOn w:val="LONormal"/>
    <w:qFormat/>
    <w:pPr>
      <w:spacing w:before="0" w:after="57"/>
      <w:ind w:left="283" w:right="0" w:hanging="0"/>
    </w:pPr>
    <w:rPr/>
  </w:style>
  <w:style w:type="paragraph" w:styleId="Contents3">
    <w:name w:val="TOC 3"/>
    <w:basedOn w:val="LONormal"/>
    <w:qFormat/>
    <w:pPr>
      <w:spacing w:before="0" w:after="57"/>
      <w:ind w:left="567" w:right="0" w:hanging="0"/>
    </w:pPr>
    <w:rPr/>
  </w:style>
  <w:style w:type="paragraph" w:styleId="Contents4">
    <w:name w:val="TOC 4"/>
    <w:basedOn w:val="LONormal"/>
    <w:qFormat/>
    <w:pPr>
      <w:spacing w:before="0" w:after="57"/>
      <w:ind w:left="850" w:right="0" w:hanging="0"/>
    </w:pPr>
    <w:rPr/>
  </w:style>
  <w:style w:type="paragraph" w:styleId="Contents5">
    <w:name w:val="TOC 5"/>
    <w:basedOn w:val="LONormal"/>
    <w:qFormat/>
    <w:pPr>
      <w:spacing w:before="0" w:after="57"/>
      <w:ind w:left="1134" w:right="0" w:hanging="0"/>
    </w:pPr>
    <w:rPr/>
  </w:style>
  <w:style w:type="paragraph" w:styleId="Contents6">
    <w:name w:val="TOC 6"/>
    <w:basedOn w:val="LONormal"/>
    <w:qFormat/>
    <w:pPr>
      <w:spacing w:before="0" w:after="57"/>
      <w:ind w:left="1417" w:right="0" w:hanging="0"/>
    </w:pPr>
    <w:rPr/>
  </w:style>
  <w:style w:type="paragraph" w:styleId="Contents7">
    <w:name w:val="TOC 7"/>
    <w:basedOn w:val="LONormal"/>
    <w:qFormat/>
    <w:pPr>
      <w:spacing w:before="0" w:after="57"/>
      <w:ind w:left="1701" w:right="0" w:hanging="0"/>
    </w:pPr>
    <w:rPr/>
  </w:style>
  <w:style w:type="paragraph" w:styleId="Contents8">
    <w:name w:val="TOC 8"/>
    <w:basedOn w:val="LONormal"/>
    <w:qFormat/>
    <w:pPr>
      <w:spacing w:before="0" w:after="57"/>
      <w:ind w:left="1984" w:right="0" w:hanging="0"/>
    </w:pPr>
    <w:rPr/>
  </w:style>
  <w:style w:type="paragraph" w:styleId="Contents9">
    <w:name w:val="TOC 9"/>
    <w:basedOn w:val="LONormal"/>
    <w:qFormat/>
    <w:pPr>
      <w:spacing w:before="0" w:after="57"/>
      <w:ind w:left="2268" w:right="0" w:hanging="0"/>
    </w:pPr>
    <w:rPr/>
  </w:style>
  <w:style w:type="paragraph" w:styleId="TOCHeading">
    <w:name w:val="TOC Heading"/>
    <w:qFormat/>
    <w:pPr>
      <w:widowControl w:val="false"/>
      <w:suppressAutoHyphens w:val="true"/>
      <w:bidi w:val="0"/>
      <w:spacing w:lineRule="auto" w:line="276" w:before="0" w:after="200"/>
      <w:jc w:val="left"/>
    </w:pPr>
    <w:rPr>
      <w:rFonts w:ascii="Arial" w:hAnsi="Arial" w:eastAsia="Arial" w:cs="Arial"/>
      <w:color w:val="000000"/>
      <w:kern w:val="0"/>
      <w:sz w:val="22"/>
      <w:szCs w:val="24"/>
      <w:lang w:val="en-US" w:eastAsia="en-US" w:bidi="en-US"/>
    </w:rPr>
  </w:style>
  <w:style w:type="paragraph" w:styleId="Tableoffigures">
    <w:name w:val="table of figures"/>
    <w:basedOn w:val="LONormal"/>
    <w:qFormat/>
    <w:pPr>
      <w:spacing w:before="0" w:after="0"/>
    </w:pPr>
    <w:rPr/>
  </w:style>
  <w:style w:type="paragraph" w:styleId="DStyleparagraph">
    <w:name w:val="DStyle_paragraph"/>
    <w:qFormat/>
    <w:pPr>
      <w:widowControl w:val="false"/>
      <w:suppressAutoHyphens w:val="true"/>
      <w:bidi w:val="0"/>
      <w:spacing w:lineRule="auto" w:line="276" w:before="0" w:after="200"/>
      <w:jc w:val="left"/>
    </w:pPr>
    <w:rPr>
      <w:rFonts w:ascii="Liberation Serif" w:hAnsi="Liberation Serif" w:eastAsia="Noto Serif CJK SC" w:cs="Lohit Devanagari"/>
      <w:color w:val="000000"/>
      <w:kern w:val="0"/>
      <w:sz w:val="24"/>
      <w:szCs w:val="24"/>
      <w:lang w:val="en-US" w:eastAsia="en-US"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843</TotalTime>
  <Application>LibreOffice/6.4.7.2$Linux_X86_64 LibreOffice_project/40$Build-2</Application>
  <Pages>1</Pages>
  <Words>259</Words>
  <Characters>1550</Characters>
  <CharactersWithSpaces>1813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2022-10-17T15:58:41Z</dcterms:modified>
  <cp:revision>23</cp:revision>
  <dc:subject/>
  <dc:title/>
</cp:coreProperties>
</file>