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5</w:t>
      </w:r>
      <w:r>
        <w:rPr>
          <w:b/>
        </w:rPr>
        <w:t xml:space="preserve">. </w:t>
      </w:r>
      <w:r>
        <w:rPr>
          <w:b/>
        </w:rPr>
        <w:t>Phase shift or change in gene maximum expression level time point and amplitude variation or change in gene maximum expression level as a consequence of seasonal photoperiod or day lengthening/shortening (skotoperiod or night shortening/lengthening).</w:t>
      </w:r>
      <w:r>
        <w:rPr>
          <w:b w:val="false"/>
          <w:bCs w:val="false"/>
        </w:rPr>
        <w:t xml:space="preserve"> Animation illustrating how seasonal day or photoperiod lengthening (night or skotoperiod shortening) may result in a gradual forward phase shift or an advancement in gene maximum expression level time point coupled to a gradual increase in amplitude or maximum gene expression level. Accordingly, seasonal day or photoperiod shortening (night or skotoperiod lengthening) may result in a gradual backward phase shift or an advancement in gene maximum expression level time point coupled to a gradual </w:t>
      </w:r>
      <w:r>
        <w:rPr>
          <w:rFonts w:eastAsia="Noto Serif CJK SC" w:cs="Lohit Devanagari"/>
          <w:b w:val="false"/>
          <w:bCs w:val="false"/>
          <w:color w:val="000000"/>
          <w:kern w:val="0"/>
          <w:sz w:val="24"/>
          <w:szCs w:val="24"/>
          <w:lang w:val="en-US" w:eastAsia="en-US" w:bidi="en-US"/>
        </w:rPr>
        <w:t>decrease</w:t>
      </w:r>
      <w:r>
        <w:rPr>
          <w:b w:val="false"/>
          <w:bCs w:val="false"/>
        </w:rPr>
        <w:t xml:space="preserve"> in amplitude or maximum gene expression level. White rectangles represent photoperiods (light periods or days) and color filled rectangles correspond to skotoperiods (dark periods or nights). Transitions from red to blue colors and viceversa represent seasonal changes in photoperiods and skotoperiods.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1242</TotalTime>
  <Application>LibreOffice/6.4.7.2$Linux_X86_64 LibreOffice_project/40$Build-2</Application>
  <Pages>1</Pages>
  <Words>153</Words>
  <Characters>933</Characters>
  <CharactersWithSpaces>1085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2022-10-18T08:02:10Z</dcterms:modified>
  <cp:revision>30</cp:revision>
  <dc:subject/>
  <dc:title/>
</cp:coreProperties>
</file>