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ageBreakBefore w:val="false"/>
        <w:suppressAutoHyphens w:val="true"/>
        <w:bidi w:val="0"/>
        <w:spacing w:before="0" w:after="200"/>
        <w:jc w:val="both"/>
        <w:rPr/>
      </w:pPr>
      <w:r>
        <w:rPr>
          <w:b/>
        </w:rPr>
        <w:t xml:space="preserve">Supplementary Figure </w:t>
      </w:r>
      <w:r>
        <w:rPr>
          <w:b/>
        </w:rPr>
        <w:t>9</w:t>
      </w:r>
      <w:r>
        <w:rPr>
          <w:b/>
        </w:rPr>
        <w:t xml:space="preserve">. </w:t>
      </w:r>
      <w:r>
        <w:rPr>
          <w:rFonts w:eastAsia="Noto Serif CJK SC" w:cs="Lohit Devanagari"/>
          <w:b/>
          <w:color w:val="000000"/>
          <w:kern w:val="0"/>
          <w:sz w:val="24"/>
          <w:szCs w:val="24"/>
          <w:lang w:val="en-US" w:eastAsia="en-US" w:bidi="en-US"/>
        </w:rPr>
        <w:t>Transcriptional</w:t>
      </w:r>
      <w:r>
        <w:rPr>
          <w:b/>
        </w:rPr>
        <w:t xml:space="preserve"> temporal program of the distribution of biological processes over diurnal cycles under </w:t>
      </w:r>
      <w:r>
        <w:rPr>
          <w:rFonts w:eastAsia="Noto Serif CJK SC" w:cs="Lohit Devanagari"/>
          <w:b/>
          <w:color w:val="000000"/>
          <w:kern w:val="0"/>
          <w:sz w:val="24"/>
          <w:szCs w:val="24"/>
          <w:lang w:val="en-US" w:eastAsia="en-US" w:bidi="en-US"/>
        </w:rPr>
        <w:t>short</w:t>
      </w:r>
      <w:r>
        <w:rPr>
          <w:b/>
        </w:rPr>
        <w:t xml:space="preserve"> day conditions (</w:t>
      </w:r>
      <w:r>
        <w:rPr>
          <w:b/>
        </w:rPr>
        <w:t>8</w:t>
      </w:r>
      <w:r>
        <w:rPr>
          <w:b/>
        </w:rPr>
        <w:t xml:space="preserve">h light / </w:t>
      </w:r>
      <w:r>
        <w:rPr>
          <w:b/>
        </w:rPr>
        <w:t>16</w:t>
      </w:r>
      <w:r>
        <w:rPr>
          <w:b/>
        </w:rPr>
        <w:t>h dark).</w:t>
      </w:r>
      <w:r>
        <w:rPr/>
        <w:t xml:space="preserve"> The white rectangle represent the photoperiod (light period or day) whereas the </w:t>
      </w:r>
      <w:r>
        <w:rPr/>
        <w:t>red</w:t>
      </w:r>
      <w:r>
        <w:rPr/>
        <w:t xml:space="preserve"> filled rectangle corresponds to the skotoperiod (dark period or night). ZTN, Zeitgeber time N, marks the time point N hours after dawn (lights on). Treemaps summarizing the significantly enriched biological processes at each time point. Semantically similar biological processes are grouped together into the same colored rectangles. The most representative biological processes are shown for each rectangle. Specific gene expression profiles are represented for each time point illustrating the different biological processes. Gene expression levels are measured as FPKM (Fragments Per Kilobase of transcript per Million fragments mapped). </w:t>
      </w:r>
      <w:r>
        <w:rPr>
          <w:b/>
          <w:bCs/>
        </w:rPr>
        <w:t>(ZT0)</w:t>
      </w:r>
      <w:r>
        <w:rPr/>
        <w:t xml:space="preserve"> </w:t>
      </w:r>
      <w:r>
        <w:rPr/>
        <w:t xml:space="preserve">Macromolecule catabolism is the most prominent biological process whose genes reach maximum expression level at dawn under SD conditions. Examples for such genes are </w:t>
      </w:r>
      <w:r>
        <w:rPr>
          <w:i/>
          <w:iCs/>
        </w:rPr>
        <w:t>Signal transduction Histidine Kinase</w:t>
      </w:r>
      <w:r>
        <w:rPr/>
        <w:t xml:space="preserve"> (</w:t>
      </w:r>
      <w:r>
        <w:rPr>
          <w:i/>
          <w:iCs/>
        </w:rPr>
        <w:t>HK</w:t>
      </w:r>
      <w:r>
        <w:rPr/>
        <w:t xml:space="preserve">, </w:t>
      </w:r>
      <w:r>
        <w:rPr>
          <w:i/>
          <w:iCs/>
        </w:rPr>
        <w:t>ostta09g02190</w:t>
      </w:r>
      <w:r>
        <w:rPr/>
        <w:t xml:space="preserve">), </w:t>
      </w:r>
      <w:r>
        <w:rPr>
          <w:i/>
          <w:iCs/>
        </w:rPr>
        <w:t>Syntaxin/epimorphin</w:t>
      </w:r>
      <w:r>
        <w:rPr/>
        <w:t xml:space="preserve"> </w:t>
      </w:r>
      <w:r>
        <w:rPr/>
        <w:t>(</w:t>
      </w:r>
      <w:r>
        <w:rPr>
          <w:i/>
          <w:iCs/>
        </w:rPr>
        <w:t>STX</w:t>
      </w:r>
      <w:r>
        <w:rPr/>
        <w:t xml:space="preserve">, </w:t>
      </w:r>
      <w:r>
        <w:rPr>
          <w:i/>
          <w:iCs/>
        </w:rPr>
        <w:t>ostta12g01130</w:t>
      </w:r>
      <w:r>
        <w:rPr/>
        <w:t xml:space="preserve">), </w:t>
      </w:r>
      <w:r>
        <w:rPr>
          <w:i/>
          <w:iCs/>
        </w:rPr>
        <w:t>Ubiquitin Fusion Degradation protein</w:t>
      </w:r>
      <w:r>
        <w:rPr/>
        <w:t xml:space="preserve"> (</w:t>
      </w:r>
      <w:r>
        <w:rPr>
          <w:i/>
          <w:iCs/>
        </w:rPr>
        <w:t>UFD</w:t>
      </w:r>
      <w:r>
        <w:rPr/>
        <w:t xml:space="preserve">, </w:t>
      </w:r>
      <w:r>
        <w:rPr>
          <w:i/>
          <w:iCs/>
        </w:rPr>
        <w:t>ostta09g00750</w:t>
      </w:r>
      <w:r>
        <w:rPr/>
        <w:t xml:space="preserve">), </w:t>
      </w:r>
      <w:r>
        <w:rPr>
          <w:i/>
          <w:iCs/>
        </w:rPr>
        <w:t>Beta amylase</w:t>
      </w:r>
      <w:r>
        <w:rPr/>
        <w:t xml:space="preserve"> (</w:t>
      </w:r>
      <w:r>
        <w:rPr>
          <w:i/>
          <w:iCs/>
        </w:rPr>
        <w:t>BAM</w:t>
      </w:r>
      <w:r>
        <w:rPr/>
        <w:t xml:space="preserve">, </w:t>
      </w:r>
      <w:r>
        <w:rPr>
          <w:i/>
          <w:iCs/>
        </w:rPr>
        <w:t>ostta03g03180</w:t>
      </w:r>
      <w:r>
        <w:rPr/>
        <w:t xml:space="preserve">), </w:t>
      </w:r>
      <w:r>
        <w:rPr>
          <w:i/>
          <w:iCs/>
        </w:rPr>
        <w:t xml:space="preserve">AAA protease FtsH </w:t>
      </w:r>
      <w:r>
        <w:rPr/>
        <w:t>(</w:t>
      </w:r>
      <w:r>
        <w:rPr>
          <w:i/>
          <w:iCs/>
        </w:rPr>
        <w:t>FtsH</w:t>
      </w:r>
      <w:r>
        <w:rPr/>
        <w:t xml:space="preserve">, </w:t>
      </w:r>
      <w:r>
        <w:rPr>
          <w:i/>
          <w:iCs/>
        </w:rPr>
        <w:t>ostta10g03240</w:t>
      </w:r>
      <w:r>
        <w:rPr/>
        <w:t xml:space="preserve">) and </w:t>
      </w:r>
      <w:r>
        <w:rPr>
          <w:i/>
          <w:iCs/>
        </w:rPr>
        <w:t>Ubiquitin carboxyl-terminal hydrolase</w:t>
      </w:r>
      <w:r>
        <w:rPr/>
        <w:t xml:space="preserve"> (</w:t>
      </w:r>
      <w:r>
        <w:rPr>
          <w:i/>
          <w:iCs/>
        </w:rPr>
        <w:t>UBP</w:t>
      </w:r>
      <w:r>
        <w:rPr/>
        <w:t xml:space="preserve">, </w:t>
      </w:r>
      <w:r>
        <w:rPr>
          <w:i/>
          <w:iCs/>
        </w:rPr>
        <w:t>ostta11g01450</w:t>
      </w:r>
      <w:r>
        <w:rPr/>
        <w:t>).</w:t>
      </w:r>
      <w:r>
        <w:rPr/>
        <w:t xml:space="preserve"> </w:t>
      </w:r>
      <w:r>
        <w:rPr>
          <w:b/>
          <w:bCs/>
        </w:rPr>
        <w:t>(ZT4)</w:t>
      </w:r>
      <w:r>
        <w:rPr/>
        <w:t xml:space="preserve"> Photosynthesis is the most prominent biological process whose genes reach maximum expression level at midday, </w:t>
      </w:r>
      <w:r>
        <w:rPr/>
        <w:t>four</w:t>
      </w:r>
      <w:r>
        <w:rPr/>
        <w:t xml:space="preserve"> hours after dawn under </w:t>
      </w:r>
      <w:r>
        <w:rPr/>
        <w:t>S</w:t>
      </w:r>
      <w:r>
        <w:rPr/>
        <w:t xml:space="preserve">D conditions. Examples for such genes are </w:t>
      </w:r>
      <w:r>
        <w:rPr>
          <w:i/>
          <w:iCs/>
        </w:rPr>
        <w:t>Photosystem II subunit P</w:t>
      </w:r>
      <w:r>
        <w:rPr/>
        <w:t xml:space="preserve"> (</w:t>
      </w:r>
      <w:r>
        <w:rPr>
          <w:i/>
          <w:iCs/>
        </w:rPr>
        <w:t>PsbP, ostta01g03170</w:t>
      </w:r>
      <w:r>
        <w:rPr/>
        <w:t xml:space="preserve">), </w:t>
      </w:r>
      <w:r>
        <w:rPr>
          <w:i/>
          <w:iCs/>
        </w:rPr>
        <w:t>Photosystem I subunit L</w:t>
      </w:r>
      <w:r>
        <w:rPr/>
        <w:t xml:space="preserve"> (</w:t>
      </w:r>
      <w:r>
        <w:rPr>
          <w:i/>
          <w:iCs/>
        </w:rPr>
        <w:t>PsaL, ostta02g00580</w:t>
      </w:r>
      <w:r>
        <w:rPr/>
        <w:t xml:space="preserve">), </w:t>
      </w:r>
      <w:r>
        <w:rPr>
          <w:i/>
          <w:iCs/>
        </w:rPr>
        <w:t>Photosystem II subunit X</w:t>
      </w:r>
      <w:r>
        <w:rPr/>
        <w:t xml:space="preserve"> (</w:t>
      </w:r>
      <w:r>
        <w:rPr>
          <w:i/>
          <w:iCs/>
        </w:rPr>
        <w:t>PsbX</w:t>
      </w:r>
      <w:r>
        <w:rPr/>
        <w:t xml:space="preserve">, </w:t>
      </w:r>
      <w:r>
        <w:rPr>
          <w:i/>
          <w:iCs/>
        </w:rPr>
        <w:t>ostta02g02560</w:t>
      </w:r>
      <w:r>
        <w:rPr/>
        <w:t xml:space="preserve">), </w:t>
      </w:r>
      <w:r>
        <w:rPr>
          <w:i/>
          <w:iCs/>
        </w:rPr>
        <w:t xml:space="preserve">Photosystem I subunit E </w:t>
      </w:r>
      <w:r>
        <w:rPr/>
        <w:t>(</w:t>
      </w:r>
      <w:r>
        <w:rPr>
          <w:i/>
          <w:iCs/>
        </w:rPr>
        <w:t>PsaE</w:t>
      </w:r>
      <w:r>
        <w:rPr/>
        <w:t xml:space="preserve">, </w:t>
      </w:r>
      <w:r>
        <w:rPr>
          <w:i/>
          <w:iCs/>
        </w:rPr>
        <w:t>ostta02g03860</w:t>
      </w:r>
      <w:r>
        <w:rPr/>
        <w:t xml:space="preserve">), </w:t>
      </w:r>
      <w:r>
        <w:rPr>
          <w:i/>
          <w:iCs/>
        </w:rPr>
        <w:t>Photosystem I subunit F</w:t>
      </w:r>
      <w:r>
        <w:rPr/>
        <w:t xml:space="preserve"> (</w:t>
      </w:r>
      <w:r>
        <w:rPr>
          <w:i/>
          <w:iCs/>
        </w:rPr>
        <w:t>PsaF</w:t>
      </w:r>
      <w:r>
        <w:rPr/>
        <w:t xml:space="preserve">, </w:t>
      </w:r>
      <w:r>
        <w:rPr>
          <w:i/>
          <w:iCs/>
        </w:rPr>
        <w:t>ostta04g01790</w:t>
      </w:r>
      <w:r>
        <w:rPr/>
        <w:t xml:space="preserve">) and </w:t>
      </w:r>
      <w:r>
        <w:rPr>
          <w:i/>
          <w:iCs/>
        </w:rPr>
        <w:t xml:space="preserve">Photosystem II subunit R </w:t>
      </w:r>
      <w:r>
        <w:rPr/>
        <w:t>(</w:t>
      </w:r>
      <w:r>
        <w:rPr>
          <w:i/>
          <w:iCs/>
        </w:rPr>
        <w:t>PsbR</w:t>
      </w:r>
      <w:r>
        <w:rPr/>
        <w:t xml:space="preserve">, </w:t>
      </w:r>
      <w:r>
        <w:rPr>
          <w:i/>
          <w:iCs/>
        </w:rPr>
        <w:t>ostta05g04560</w:t>
      </w:r>
      <w:r>
        <w:rPr/>
        <w:t xml:space="preserve">). </w:t>
      </w:r>
      <w:r>
        <w:rPr>
          <w:b/>
          <w:bCs/>
        </w:rPr>
        <w:t>(ZT8)</w:t>
      </w:r>
      <w:r>
        <w:rPr/>
        <w:t xml:space="preserve"> DNA replication  and chromosome organization are two prominent biological processes whose genes reach maximum expression level </w:t>
      </w:r>
      <w:r>
        <w:rPr>
          <w:rFonts w:eastAsia="Noto Serif CJK SC" w:cs="Lohit Devanagari"/>
          <w:color w:val="000000"/>
          <w:kern w:val="0"/>
          <w:sz w:val="24"/>
          <w:szCs w:val="24"/>
          <w:lang w:val="en-US" w:eastAsia="en-US" w:bidi="en-US"/>
        </w:rPr>
        <w:t>at</w:t>
      </w:r>
      <w:r>
        <w:rPr/>
        <w:t xml:space="preserve"> dusk eight hours after dawn under SD conditions. Examples for such genes are </w:t>
      </w:r>
      <w:r>
        <w:rPr>
          <w:i/>
          <w:iCs/>
        </w:rPr>
        <w:t xml:space="preserve">Minichromosome Maintenance 6 </w:t>
      </w:r>
      <w:r>
        <w:rPr/>
        <w:t>(</w:t>
      </w:r>
      <w:r>
        <w:rPr>
          <w:i/>
          <w:iCs/>
        </w:rPr>
        <w:t>MCM6</w:t>
      </w:r>
      <w:r>
        <w:rPr/>
        <w:t xml:space="preserve">, </w:t>
      </w:r>
      <w:r>
        <w:rPr>
          <w:i/>
          <w:iCs/>
        </w:rPr>
        <w:t>ostta01g02580</w:t>
      </w:r>
      <w:r>
        <w:rPr/>
        <w:t xml:space="preserve">), </w:t>
      </w:r>
      <w:r>
        <w:rPr>
          <w:i/>
          <w:iCs/>
        </w:rPr>
        <w:t xml:space="preserve">Minichromosome Maintenance 9 </w:t>
      </w:r>
      <w:r>
        <w:rPr/>
        <w:t>(</w:t>
      </w:r>
      <w:r>
        <w:rPr>
          <w:i/>
          <w:iCs/>
        </w:rPr>
        <w:t>MCM9</w:t>
      </w:r>
      <w:r>
        <w:rPr/>
        <w:t xml:space="preserve">, </w:t>
      </w:r>
      <w:r>
        <w:rPr>
          <w:i/>
          <w:iCs/>
        </w:rPr>
        <w:t>ostta05g01680</w:t>
      </w:r>
      <w:r>
        <w:rPr/>
        <w:t xml:space="preserve">), </w:t>
      </w:r>
      <w:r>
        <w:rPr>
          <w:i/>
          <w:iCs/>
        </w:rPr>
        <w:t xml:space="preserve">Proliferating Cell Nuclear Antigen </w:t>
      </w:r>
      <w:r>
        <w:rPr/>
        <w:t>(</w:t>
      </w:r>
      <w:r>
        <w:rPr>
          <w:i/>
          <w:iCs/>
        </w:rPr>
        <w:t>PCNA</w:t>
      </w:r>
      <w:r>
        <w:rPr/>
        <w:t xml:space="preserve">, </w:t>
      </w:r>
      <w:r>
        <w:rPr>
          <w:i/>
          <w:iCs/>
        </w:rPr>
        <w:t>ostta06g02890</w:t>
      </w:r>
      <w:r>
        <w:rPr/>
        <w:t xml:space="preserve">), </w:t>
      </w:r>
      <w:r>
        <w:rPr>
          <w:i/>
          <w:iCs/>
        </w:rPr>
        <w:t xml:space="preserve">Cell Division Cycle protein 45 </w:t>
      </w:r>
      <w:r>
        <w:rPr/>
        <w:t>(</w:t>
      </w:r>
      <w:r>
        <w:rPr>
          <w:i/>
          <w:iCs/>
        </w:rPr>
        <w:t>CDC45</w:t>
      </w:r>
      <w:r>
        <w:rPr/>
        <w:t xml:space="preserve">, </w:t>
      </w:r>
      <w:r>
        <w:rPr>
          <w:i/>
          <w:iCs/>
        </w:rPr>
        <w:t>ostta04g04640</w:t>
      </w:r>
      <w:r>
        <w:rPr/>
        <w:t xml:space="preserve">), </w:t>
      </w:r>
      <w:r>
        <w:rPr>
          <w:i/>
          <w:iCs/>
        </w:rPr>
        <w:t xml:space="preserve">Topoisomerase 6 subunit B </w:t>
      </w:r>
      <w:r>
        <w:rPr/>
        <w:t>(</w:t>
      </w:r>
      <w:r>
        <w:rPr>
          <w:i/>
          <w:iCs/>
        </w:rPr>
        <w:t>TOP6B</w:t>
      </w:r>
      <w:r>
        <w:rPr/>
        <w:t xml:space="preserve">, </w:t>
      </w:r>
      <w:r>
        <w:rPr>
          <w:i/>
          <w:iCs/>
        </w:rPr>
        <w:t>ostta05g02940</w:t>
      </w:r>
      <w:r>
        <w:rPr/>
        <w:t xml:space="preserve">) and </w:t>
      </w:r>
      <w:r>
        <w:rPr>
          <w:i/>
          <w:iCs/>
        </w:rPr>
        <w:t xml:space="preserve">DNA Polymerase Alpha subunit B </w:t>
      </w:r>
      <w:r>
        <w:rPr/>
        <w:t>(</w:t>
      </w:r>
      <w:r>
        <w:rPr>
          <w:i/>
          <w:iCs/>
        </w:rPr>
        <w:t>POLAB</w:t>
      </w:r>
      <w:r>
        <w:rPr/>
        <w:t xml:space="preserve">, </w:t>
      </w:r>
      <w:r>
        <w:rPr>
          <w:i/>
          <w:iCs/>
        </w:rPr>
        <w:t>ostta08g03680</w:t>
      </w:r>
      <w:r>
        <w:rPr/>
        <w:t xml:space="preserve">). </w:t>
      </w:r>
      <w:r>
        <w:rPr>
          <w:b/>
          <w:bCs/>
        </w:rPr>
        <w:t>(ZT12)</w:t>
      </w:r>
      <w:r>
        <w:rPr/>
        <w:t xml:space="preserve"> RNA processing and ribosome biogenesis are the two most prominent biological processes whose genes reach maximum expression level early during the night four hours after dusk under SD conditions. Examples for such genes involved in ribosome biogenesis are </w:t>
      </w:r>
      <w:r>
        <w:rPr>
          <w:i/>
          <w:iCs/>
        </w:rPr>
        <w:t>U3 small nucleolar RNA-associated protein 14</w:t>
      </w:r>
      <w:r>
        <w:rPr/>
        <w:t xml:space="preserve"> (</w:t>
      </w:r>
      <w:r>
        <w:rPr>
          <w:i/>
          <w:iCs/>
        </w:rPr>
        <w:t>Utp14, ostta04g00770</w:t>
      </w:r>
      <w:r>
        <w:rPr/>
        <w:t xml:space="preserve">), </w:t>
      </w:r>
      <w:r>
        <w:rPr>
          <w:i/>
          <w:iCs/>
        </w:rPr>
        <w:t>Ribosome Biogenesis Factor BMS1</w:t>
      </w:r>
      <w:r>
        <w:rPr/>
        <w:t xml:space="preserve"> (</w:t>
      </w:r>
      <w:r>
        <w:rPr>
          <w:i/>
          <w:iCs/>
        </w:rPr>
        <w:t>BMS1, ostta05g01080</w:t>
      </w:r>
      <w:r>
        <w:rPr/>
        <w:t xml:space="preserve">), </w:t>
      </w:r>
      <w:r>
        <w:rPr>
          <w:i/>
          <w:iCs/>
        </w:rPr>
        <w:t xml:space="preserve">M-phase phosphoprotein 10 </w:t>
      </w:r>
      <w:r>
        <w:rPr/>
        <w:t>(</w:t>
      </w:r>
      <w:r>
        <w:rPr>
          <w:i/>
          <w:iCs/>
        </w:rPr>
        <w:t>Mpp10p, ostta05g01450</w:t>
      </w:r>
      <w:r>
        <w:rPr/>
        <w:t xml:space="preserve">), </w:t>
      </w:r>
      <w:r>
        <w:rPr>
          <w:i/>
          <w:iCs/>
        </w:rPr>
        <w:t xml:space="preserve">U3 small nucleolar RNA-associated protein 11 </w:t>
      </w:r>
      <w:r>
        <w:rPr/>
        <w:t>(</w:t>
      </w:r>
      <w:r>
        <w:rPr>
          <w:i/>
          <w:iCs/>
        </w:rPr>
        <w:t>Utp11, ostta06g01560</w:t>
      </w:r>
      <w:r>
        <w:rPr/>
        <w:t xml:space="preserve">), </w:t>
      </w:r>
      <w:r>
        <w:rPr>
          <w:i/>
          <w:iCs/>
        </w:rPr>
        <w:t xml:space="preserve">U3 small nucleolar RNA-associated protein 12 </w:t>
      </w:r>
      <w:r>
        <w:rPr/>
        <w:t>(</w:t>
      </w:r>
      <w:r>
        <w:rPr>
          <w:i/>
          <w:iCs/>
        </w:rPr>
        <w:t>Utp12, ostta08g03090</w:t>
      </w:r>
      <w:r>
        <w:rPr/>
        <w:t xml:space="preserve">) and </w:t>
      </w:r>
      <w:r>
        <w:rPr>
          <w:i/>
          <w:iCs/>
        </w:rPr>
        <w:t xml:space="preserve">ribosome biogenesis regulator 1 </w:t>
      </w:r>
      <w:r>
        <w:rPr/>
        <w:t>(</w:t>
      </w:r>
      <w:r>
        <w:rPr>
          <w:i/>
          <w:iCs/>
        </w:rPr>
        <w:t>RRS1, ostta15g01610</w:t>
      </w:r>
      <w:r>
        <w:rPr/>
        <w:t xml:space="preserve">). </w:t>
      </w:r>
      <w:r>
        <w:rPr>
          <w:b/>
          <w:bCs/>
        </w:rPr>
        <w:t xml:space="preserve">(ZT16) </w:t>
      </w:r>
      <w:r>
        <w:rPr/>
        <w:t xml:space="preserve">Translation is the most prominent biological process whose genes reach maximum expression level </w:t>
      </w:r>
      <w:r>
        <w:rPr/>
        <w:t xml:space="preserve">during midnight </w:t>
      </w:r>
      <w:r>
        <w:rPr>
          <w:rFonts w:eastAsia="Noto Serif CJK SC" w:cs="Lohit Devanagari"/>
          <w:color w:val="000000"/>
          <w:kern w:val="0"/>
          <w:sz w:val="24"/>
          <w:szCs w:val="24"/>
          <w:lang w:val="en-US" w:eastAsia="en-US" w:bidi="en-US"/>
        </w:rPr>
        <w:t>eight hours before</w:t>
      </w:r>
      <w:r>
        <w:rPr/>
        <w:t xml:space="preserve"> dawn under </w:t>
      </w:r>
      <w:r>
        <w:rPr/>
        <w:t>S</w:t>
      </w:r>
      <w:r>
        <w:rPr/>
        <w:t xml:space="preserve">D conditions. Examples for such genes are </w:t>
      </w:r>
      <w:r>
        <w:rPr>
          <w:i/>
          <w:iCs/>
        </w:rPr>
        <w:t>eukaryotic Initiation Factor 2</w:t>
      </w:r>
      <w:r>
        <w:rPr/>
        <w:t xml:space="preserve"> (</w:t>
      </w:r>
      <w:r>
        <w:rPr>
          <w:i/>
          <w:iCs/>
        </w:rPr>
        <w:t>eIF2, ostta03g02100</w:t>
      </w:r>
      <w:r>
        <w:rPr/>
        <w:t xml:space="preserve">), </w:t>
      </w:r>
      <w:r>
        <w:rPr>
          <w:i/>
          <w:iCs/>
        </w:rPr>
        <w:t>translation elongation factor P</w:t>
      </w:r>
      <w:r>
        <w:rPr/>
        <w:t xml:space="preserve"> (</w:t>
      </w:r>
      <w:r>
        <w:rPr>
          <w:i/>
          <w:iCs/>
        </w:rPr>
        <w:t>YeiP, ostta03g03015</w:t>
      </w:r>
      <w:r>
        <w:rPr/>
        <w:t xml:space="preserve">), </w:t>
      </w:r>
      <w:r>
        <w:rPr>
          <w:i/>
          <w:iCs/>
        </w:rPr>
        <w:t>Elongation Factor 1 B</w:t>
      </w:r>
      <w:r>
        <w:rPr/>
        <w:t xml:space="preserve"> (</w:t>
      </w:r>
      <w:r>
        <w:rPr>
          <w:i/>
          <w:iCs/>
        </w:rPr>
        <w:t>EF1B</w:t>
      </w:r>
      <w:r>
        <w:rPr/>
        <w:t xml:space="preserve">, </w:t>
      </w:r>
      <w:r>
        <w:rPr>
          <w:i/>
          <w:iCs/>
        </w:rPr>
        <w:t>ostta04g00090</w:t>
      </w:r>
      <w:r>
        <w:rPr/>
        <w:t xml:space="preserve">), </w:t>
      </w:r>
      <w:r>
        <w:rPr>
          <w:i/>
          <w:iCs/>
        </w:rPr>
        <w:t>alanyl-tRNA synthase II</w:t>
      </w:r>
      <w:r>
        <w:rPr/>
        <w:t xml:space="preserve"> (</w:t>
      </w:r>
      <w:r>
        <w:rPr>
          <w:i/>
          <w:iCs/>
        </w:rPr>
        <w:t>aaRSII</w:t>
      </w:r>
      <w:r>
        <w:rPr/>
        <w:t xml:space="preserve">, </w:t>
      </w:r>
      <w:r>
        <w:rPr>
          <w:i/>
          <w:iCs/>
        </w:rPr>
        <w:t>ostta07g00280</w:t>
      </w:r>
      <w:r>
        <w:rPr/>
        <w:t xml:space="preserve">), </w:t>
      </w:r>
      <w:r>
        <w:rPr>
          <w:i/>
          <w:iCs/>
        </w:rPr>
        <w:t>proline-tRNA ligase</w:t>
      </w:r>
      <w:r>
        <w:rPr/>
        <w:t xml:space="preserve"> (</w:t>
      </w:r>
      <w:r>
        <w:rPr>
          <w:i/>
          <w:iCs/>
        </w:rPr>
        <w:t>proS</w:t>
      </w:r>
      <w:r>
        <w:rPr/>
        <w:t xml:space="preserve">, </w:t>
      </w:r>
      <w:r>
        <w:rPr>
          <w:i/>
          <w:iCs/>
        </w:rPr>
        <w:t>ostta15g00620</w:t>
      </w:r>
      <w:r>
        <w:rPr/>
        <w:t>) and isoleucyl, leucyl and valyl-tRNA synthetase (</w:t>
      </w:r>
      <w:r>
        <w:rPr>
          <w:i/>
          <w:iCs/>
        </w:rPr>
        <w:t>I/L/VRSs</w:t>
      </w:r>
      <w:r>
        <w:rPr/>
        <w:t xml:space="preserve">, </w:t>
      </w:r>
      <w:r>
        <w:rPr>
          <w:i/>
          <w:iCs/>
        </w:rPr>
        <w:t>ostta06g00460</w:t>
      </w:r>
      <w:r>
        <w:rPr/>
        <w:t xml:space="preserve">). </w:t>
      </w:r>
      <w:r>
        <w:rPr>
          <w:b/>
          <w:bCs/>
        </w:rPr>
        <w:t>(ZT20)</w:t>
      </w:r>
      <w:r>
        <w:rPr/>
        <w:t xml:space="preserve"> Carbohydrate biosynthesis is the most prominent biological process whose genes reach maximum expression level at the end of the night four hours before dawn under SD conditions. Examples for such genes are </w:t>
      </w:r>
      <w:r>
        <w:rPr>
          <w:i/>
          <w:iCs/>
        </w:rPr>
        <w:t>Starch Branching Enzyme</w:t>
      </w:r>
      <w:r>
        <w:rPr/>
        <w:t xml:space="preserve"> (</w:t>
      </w:r>
      <w:r>
        <w:rPr>
          <w:i/>
          <w:iCs/>
        </w:rPr>
        <w:t>SBE</w:t>
      </w:r>
      <w:r>
        <w:rPr/>
        <w:t xml:space="preserve">, </w:t>
      </w:r>
      <w:r>
        <w:rPr>
          <w:i/>
          <w:iCs/>
        </w:rPr>
        <w:t>ostta03g00870</w:t>
      </w:r>
      <w:r>
        <w:rPr/>
        <w:t xml:space="preserve">), </w:t>
      </w:r>
      <w:r>
        <w:rPr>
          <w:i/>
          <w:iCs/>
        </w:rPr>
        <w:t>ADP-glucose Pyrophosphorylase Small subunit</w:t>
      </w:r>
      <w:r>
        <w:rPr/>
        <w:t xml:space="preserve"> (</w:t>
      </w:r>
      <w:r>
        <w:rPr>
          <w:i/>
          <w:iCs/>
        </w:rPr>
        <w:t>APS</w:t>
      </w:r>
      <w:r>
        <w:rPr/>
        <w:t xml:space="preserve">, </w:t>
      </w:r>
      <w:r>
        <w:rPr>
          <w:i/>
          <w:iCs/>
        </w:rPr>
        <w:t>ostta07g03070</w:t>
      </w:r>
      <w:r>
        <w:rPr/>
        <w:t xml:space="preserve">), (FBA, ostta01g03040), (PUL, ostta01g03050), (GALM, ostta01g05290) and (UGE, ostta08g01570).   </w:t>
      </w:r>
    </w:p>
    <w:p>
      <w:pPr>
        <w:pStyle w:val="Normal"/>
        <w:suppressAutoHyphens w:val="true"/>
        <w:bidi w:val="0"/>
        <w:spacing w:before="0" w:after="200"/>
        <w:jc w:val="both"/>
        <w:rPr>
          <w:b w:val="false"/>
          <w:b w:val="false"/>
          <w:bCs w:val="false"/>
          <w:i w:val="false"/>
          <w:i w:val="false"/>
          <w:iCs w:val="false"/>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val="bestFit" w:percent="177"/>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4"/>
        <w:lang w:val="en-US" w:eastAsia="en-US" w:bidi="en-US"/>
      </w:rPr>
    </w:rPrDefault>
    <w:pPrDefault>
      <w:pPr>
        <w:suppressAutoHyphens w:val="true"/>
      </w:pPr>
    </w:pPrDefault>
  </w:docDefaults>
  <w:style w:type="paragraph" w:styleId="Normal">
    <w:name w:val="Normal"/>
    <w:basedOn w:val="DStyleparagraph"/>
    <w:qFormat/>
    <w:pPr>
      <w:suppressAutoHyphens w:val="false"/>
    </w:pPr>
    <w:rPr/>
  </w:style>
  <w:style w:type="paragraph" w:styleId="Heading1">
    <w:name w:val="Heading 1"/>
    <w:basedOn w:val="LONormal"/>
    <w:qFormat/>
    <w:pPr>
      <w:spacing w:before="480" w:after="200"/>
    </w:pPr>
    <w:rPr>
      <w:rFonts w:ascii="Arial" w:hAnsi="Arial" w:eastAsia="Arial" w:cs="Arial"/>
      <w:sz w:val="40"/>
    </w:rPr>
  </w:style>
  <w:style w:type="paragraph" w:styleId="Heading2">
    <w:name w:val="Heading 2"/>
    <w:basedOn w:val="LONormal"/>
    <w:qFormat/>
    <w:pPr>
      <w:spacing w:before="360" w:after="200"/>
    </w:pPr>
    <w:rPr>
      <w:rFonts w:ascii="Arial" w:hAnsi="Arial" w:eastAsia="Arial" w:cs="Arial"/>
      <w:sz w:val="34"/>
    </w:rPr>
  </w:style>
  <w:style w:type="paragraph" w:styleId="Heading3">
    <w:name w:val="Heading 3"/>
    <w:basedOn w:val="LONormal"/>
    <w:qFormat/>
    <w:pPr>
      <w:spacing w:before="320" w:after="200"/>
    </w:pPr>
    <w:rPr>
      <w:rFonts w:ascii="Arial" w:hAnsi="Arial" w:eastAsia="Arial" w:cs="Arial"/>
      <w:sz w:val="30"/>
    </w:rPr>
  </w:style>
  <w:style w:type="paragraph" w:styleId="Heading4">
    <w:name w:val="Heading 4"/>
    <w:basedOn w:val="LONormal"/>
    <w:qFormat/>
    <w:pPr>
      <w:spacing w:before="320" w:after="200"/>
    </w:pPr>
    <w:rPr>
      <w:rFonts w:ascii="Arial" w:hAnsi="Arial" w:eastAsia="Arial" w:cs="Arial"/>
      <w:b/>
      <w:sz w:val="26"/>
    </w:rPr>
  </w:style>
  <w:style w:type="paragraph" w:styleId="Heading5">
    <w:name w:val="Heading 5"/>
    <w:basedOn w:val="LONormal"/>
    <w:qFormat/>
    <w:pPr>
      <w:spacing w:before="320" w:after="200"/>
    </w:pPr>
    <w:rPr>
      <w:rFonts w:ascii="Arial" w:hAnsi="Arial" w:eastAsia="Arial" w:cs="Arial"/>
      <w:b/>
      <w:sz w:val="24"/>
    </w:rPr>
  </w:style>
  <w:style w:type="paragraph" w:styleId="Heading6">
    <w:name w:val="Heading 6"/>
    <w:basedOn w:val="LONormal"/>
    <w:qFormat/>
    <w:pPr>
      <w:spacing w:before="320" w:after="200"/>
    </w:pPr>
    <w:rPr>
      <w:rFonts w:ascii="Arial" w:hAnsi="Arial" w:eastAsia="Arial" w:cs="Arial"/>
      <w:b/>
      <w:sz w:val="22"/>
    </w:rPr>
  </w:style>
  <w:style w:type="paragraph" w:styleId="Heading7">
    <w:name w:val="Heading 7"/>
    <w:basedOn w:val="LONormal"/>
    <w:qFormat/>
    <w:pPr>
      <w:spacing w:before="320" w:after="200"/>
    </w:pPr>
    <w:rPr>
      <w:rFonts w:ascii="Arial" w:hAnsi="Arial" w:eastAsia="Arial" w:cs="Arial"/>
      <w:b/>
      <w:i/>
      <w:sz w:val="22"/>
    </w:rPr>
  </w:style>
  <w:style w:type="paragraph" w:styleId="Heading8">
    <w:name w:val="Heading 8"/>
    <w:basedOn w:val="LONormal"/>
    <w:qFormat/>
    <w:pPr>
      <w:spacing w:before="320" w:after="200"/>
    </w:pPr>
    <w:rPr>
      <w:rFonts w:ascii="Arial" w:hAnsi="Arial" w:eastAsia="Arial" w:cs="Arial"/>
      <w:i/>
      <w:sz w:val="22"/>
    </w:rPr>
  </w:style>
  <w:style w:type="paragraph" w:styleId="Heading9">
    <w:name w:val="Heading 9"/>
    <w:basedOn w:val="LONormal"/>
    <w:qFormat/>
    <w:pPr>
      <w:spacing w:before="320" w:after="200"/>
    </w:pPr>
    <w:rPr>
      <w:rFonts w:ascii="Arial" w:hAnsi="Arial" w:eastAsia="Arial" w:cs="Arial"/>
      <w:i/>
      <w:sz w:val="21"/>
    </w:rPr>
  </w:style>
  <w:style w:type="character" w:styleId="Heading1Char">
    <w:name w:val="Heading 1 Char"/>
    <w:qFormat/>
    <w:rPr>
      <w:rFonts w:ascii="Arial" w:hAnsi="Arial" w:eastAsia="Arial" w:cs="Arial"/>
      <w:sz w:val="40"/>
    </w:rPr>
  </w:style>
  <w:style w:type="character" w:styleId="Heading2Char">
    <w:name w:val="Heading 2 Char"/>
    <w:qFormat/>
    <w:rPr>
      <w:rFonts w:ascii="Arial" w:hAnsi="Arial" w:eastAsia="Arial" w:cs="Arial"/>
      <w:sz w:val="34"/>
    </w:rPr>
  </w:style>
  <w:style w:type="character" w:styleId="Heading3Char">
    <w:name w:val="Heading 3 Char"/>
    <w:qFormat/>
    <w:rPr>
      <w:rFonts w:ascii="Arial" w:hAnsi="Arial" w:eastAsia="Arial" w:cs="Arial"/>
      <w:sz w:val="30"/>
    </w:rPr>
  </w:style>
  <w:style w:type="character" w:styleId="Heading4Char">
    <w:name w:val="Heading 4 Char"/>
    <w:qFormat/>
    <w:rPr>
      <w:rFonts w:ascii="Arial" w:hAnsi="Arial" w:eastAsia="Arial" w:cs="Arial"/>
      <w:b/>
      <w:sz w:val="26"/>
    </w:rPr>
  </w:style>
  <w:style w:type="character" w:styleId="Heading5Char">
    <w:name w:val="Heading 5 Char"/>
    <w:qFormat/>
    <w:rPr>
      <w:rFonts w:ascii="Arial" w:hAnsi="Arial" w:eastAsia="Arial" w:cs="Arial"/>
      <w:b/>
      <w:sz w:val="24"/>
    </w:rPr>
  </w:style>
  <w:style w:type="character" w:styleId="Heading6Char">
    <w:name w:val="Heading 6 Char"/>
    <w:qFormat/>
    <w:rPr>
      <w:rFonts w:ascii="Arial" w:hAnsi="Arial" w:eastAsia="Arial" w:cs="Arial"/>
      <w:b/>
      <w:sz w:val="22"/>
    </w:rPr>
  </w:style>
  <w:style w:type="character" w:styleId="Heading7Char">
    <w:name w:val="Heading 7 Char"/>
    <w:qFormat/>
    <w:rPr>
      <w:rFonts w:ascii="Arial" w:hAnsi="Arial" w:eastAsia="Arial" w:cs="Arial"/>
      <w:b/>
      <w:i/>
      <w:sz w:val="22"/>
    </w:rPr>
  </w:style>
  <w:style w:type="character" w:styleId="Heading8Char">
    <w:name w:val="Heading 8 Char"/>
    <w:qFormat/>
    <w:rPr>
      <w:rFonts w:ascii="Arial" w:hAnsi="Arial" w:eastAsia="Arial" w:cs="Arial"/>
      <w:i/>
      <w:sz w:val="22"/>
    </w:rPr>
  </w:style>
  <w:style w:type="character" w:styleId="Heading9Char">
    <w:name w:val="Heading 9 Char"/>
    <w:qFormat/>
    <w:rPr>
      <w:rFonts w:ascii="Arial" w:hAnsi="Arial" w:eastAsia="Arial" w:cs="Arial"/>
      <w:i/>
      <w:sz w:val="21"/>
    </w:rPr>
  </w:style>
  <w:style w:type="character" w:styleId="TitleChar">
    <w:name w:val="Title Char"/>
    <w:qFormat/>
    <w:rPr>
      <w:sz w:val="48"/>
    </w:rPr>
  </w:style>
  <w:style w:type="character" w:styleId="SubtitleChar">
    <w:name w:val="Subtitle Char"/>
    <w:qFormat/>
    <w:rPr>
      <w:sz w:val="24"/>
    </w:rPr>
  </w:style>
  <w:style w:type="character" w:styleId="QuoteChar">
    <w:name w:val="Quote Char"/>
    <w:qFormat/>
    <w:rPr>
      <w:i/>
    </w:rPr>
  </w:style>
  <w:style w:type="character" w:styleId="IntenseQuoteChar">
    <w:name w:val="Intense Quote Char"/>
    <w:qFormat/>
    <w:rPr>
      <w:i/>
    </w:rPr>
  </w:style>
  <w:style w:type="character" w:styleId="HeaderChar">
    <w:name w:val="Header Char"/>
    <w:qFormat/>
    <w:rPr/>
  </w:style>
  <w:style w:type="character" w:styleId="FooterChar">
    <w:name w:val="Footer Char"/>
    <w:qFormat/>
    <w:rPr/>
  </w:style>
  <w:style w:type="character" w:styleId="CaptionChar">
    <w:name w:val="Caption Char"/>
    <w:qFormat/>
    <w:rPr/>
  </w:style>
  <w:style w:type="character" w:styleId="InternetLink">
    <w:name w:val="Hyperlink"/>
    <w:qFormat/>
    <w:rPr>
      <w:color w:val="0000FF"/>
      <w:u w:val="single"/>
    </w:rPr>
  </w:style>
  <w:style w:type="character" w:styleId="FootnoteTextChar">
    <w:name w:val="Footnote Text Char"/>
    <w:qFormat/>
    <w:rPr>
      <w:sz w:val="18"/>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EndnoteTextChar">
    <w:name w:val="Endnote Text Char"/>
    <w:qFormat/>
    <w:rPr>
      <w:sz w:val="20"/>
    </w:rPr>
  </w:style>
  <w:style w:type="character" w:styleId="EndnoteCharacters">
    <w:name w:val="Endnote Characters"/>
    <w:qFormat/>
    <w:rPr>
      <w:vertAlign w:val="superscript"/>
    </w:rPr>
  </w:style>
  <w:style w:type="character" w:styleId="EndnoteAnchor">
    <w:name w:val="Endnote Anchor"/>
    <w:rPr>
      <w:vertAlign w:val="superscript"/>
    </w:rPr>
  </w:style>
  <w:style w:type="character" w:styleId="DefaultParagraphFont">
    <w:name w:val="Default Paragraph Font"/>
    <w:qFormat/>
    <w:rPr/>
  </w:style>
  <w:style w:type="character" w:styleId="NumberingSymbols">
    <w:name w:val="Numbering Symbols"/>
    <w:qFormat/>
    <w:rPr/>
  </w:style>
  <w:style w:type="paragraph" w:styleId="Heading">
    <w:name w:val="Heading"/>
    <w:basedOn w:val="Normal"/>
    <w:next w:val="TextBody"/>
    <w:qFormat/>
    <w:pPr>
      <w:spacing w:before="240" w:after="120"/>
    </w:pPr>
    <w:rPr>
      <w:rFonts w:ascii="Liberation Sans" w:hAnsi="Liberation Sans" w:eastAsia="Noto Sans CJK SC" w:cs="Lohit Devanagari"/>
      <w:sz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pacing w:before="120" w:after="120"/>
    </w:pPr>
    <w:rPr>
      <w:rFonts w:cs="Lohit Devanagari"/>
      <w:i/>
      <w:sz w:val="24"/>
    </w:rPr>
  </w:style>
  <w:style w:type="paragraph" w:styleId="Index">
    <w:name w:val="Index"/>
    <w:basedOn w:val="Normal"/>
    <w:qFormat/>
    <w:pPr/>
    <w:rPr>
      <w:rFonts w:cs="Lohit Devanagari"/>
    </w:rPr>
  </w:style>
  <w:style w:type="paragraph" w:styleId="LONormal">
    <w:name w:val="LO-Normal"/>
    <w:qFormat/>
    <w:pPr>
      <w:widowControl w:val="false"/>
      <w:suppressAutoHyphens w:val="true"/>
      <w:bidi w:val="0"/>
      <w:spacing w:lineRule="auto" w:line="276" w:before="0" w:after="200"/>
      <w:jc w:val="left"/>
    </w:pPr>
    <w:rPr>
      <w:rFonts w:ascii="Arial" w:hAnsi="Arial" w:eastAsia="Arial" w:cs="Arial"/>
      <w:color w:val="000000"/>
      <w:kern w:val="0"/>
      <w:sz w:val="22"/>
      <w:szCs w:val="24"/>
      <w:lang w:val="en-US" w:eastAsia="en-US" w:bidi="en-US"/>
    </w:rPr>
  </w:style>
  <w:style w:type="paragraph" w:styleId="ListParagraph">
    <w:name w:val="List Paragraph"/>
    <w:basedOn w:val="LONormal"/>
    <w:qFormat/>
    <w:pPr>
      <w:spacing w:before="0" w:after="200"/>
      <w:ind w:left="720" w:hanging="0"/>
      <w:contextualSpacing/>
    </w:pPr>
    <w:rPr/>
  </w:style>
  <w:style w:type="paragraph" w:styleId="NoSpacing">
    <w:name w:val="No Spacing"/>
    <w:qFormat/>
    <w:pPr>
      <w:widowControl w:val="false"/>
      <w:suppressAutoHyphens w:val="true"/>
      <w:bidi w:val="0"/>
      <w:spacing w:lineRule="auto" w:line="240" w:before="0" w:after="0"/>
      <w:jc w:val="left"/>
    </w:pPr>
    <w:rPr>
      <w:rFonts w:ascii="Arial" w:hAnsi="Arial" w:eastAsia="Arial" w:cs="Arial"/>
      <w:color w:val="000000"/>
      <w:kern w:val="0"/>
      <w:sz w:val="22"/>
      <w:szCs w:val="24"/>
      <w:lang w:val="en-US" w:eastAsia="en-US" w:bidi="en-US"/>
    </w:rPr>
  </w:style>
  <w:style w:type="paragraph" w:styleId="Title">
    <w:name w:val="Title"/>
    <w:basedOn w:val="LONormal"/>
    <w:qFormat/>
    <w:pPr>
      <w:spacing w:before="300" w:after="200"/>
      <w:contextualSpacing/>
    </w:pPr>
    <w:rPr>
      <w:sz w:val="48"/>
    </w:rPr>
  </w:style>
  <w:style w:type="paragraph" w:styleId="Subtitle">
    <w:name w:val="Subtitle"/>
    <w:basedOn w:val="LONormal"/>
    <w:qFormat/>
    <w:pPr>
      <w:spacing w:before="200" w:after="200"/>
    </w:pPr>
    <w:rPr>
      <w:sz w:val="24"/>
    </w:rPr>
  </w:style>
  <w:style w:type="paragraph" w:styleId="Quote">
    <w:name w:val="Quote"/>
    <w:basedOn w:val="LONormal"/>
    <w:qFormat/>
    <w:pPr>
      <w:ind w:left="720" w:right="720" w:hanging="0"/>
    </w:pPr>
    <w:rPr>
      <w:i/>
    </w:rPr>
  </w:style>
  <w:style w:type="paragraph" w:styleId="IntenseQuote">
    <w:name w:val="Intense Quote"/>
    <w:basedOn w:val="LONormal"/>
    <w:qFormat/>
    <w:pPr>
      <w:pBdr>
        <w:top w:val="single" w:sz="4" w:space="0" w:color="FFFFFF"/>
        <w:left w:val="single" w:sz="4" w:space="0" w:color="FFFFFF"/>
        <w:bottom w:val="single" w:sz="4" w:space="0" w:color="FFFFFF"/>
        <w:right w:val="single" w:sz="4" w:space="0" w:color="FFFFFF"/>
      </w:pBdr>
      <w:shd w:val="clear" w:fill="F2F2F2"/>
      <w:spacing w:before="0" w:after="200"/>
      <w:ind w:left="720" w:right="720" w:hanging="0"/>
      <w:contextualSpacing/>
    </w:pPr>
    <w:rPr>
      <w: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LONormal"/>
    <w:pPr>
      <w:tabs>
        <w:tab w:val="clear" w:pos="709"/>
        <w:tab w:val="center" w:pos="7143" w:leader="none"/>
        <w:tab w:val="right" w:pos="14287" w:leader="none"/>
      </w:tabs>
      <w:spacing w:lineRule="auto" w:line="240" w:before="0" w:after="0"/>
    </w:pPr>
    <w:rPr/>
  </w:style>
  <w:style w:type="paragraph" w:styleId="Footer">
    <w:name w:val="Footer"/>
    <w:basedOn w:val="LONormal"/>
    <w:pPr>
      <w:tabs>
        <w:tab w:val="clear" w:pos="709"/>
        <w:tab w:val="center" w:pos="7143" w:leader="none"/>
        <w:tab w:val="right" w:pos="14287" w:leader="none"/>
      </w:tabs>
      <w:spacing w:lineRule="auto" w:line="240" w:before="0" w:after="0"/>
    </w:pPr>
    <w:rPr/>
  </w:style>
  <w:style w:type="paragraph" w:styleId="Footnote">
    <w:name w:val="Footnote Text"/>
    <w:basedOn w:val="LONormal"/>
    <w:qFormat/>
    <w:pPr>
      <w:spacing w:lineRule="auto" w:line="240" w:before="0" w:after="40"/>
    </w:pPr>
    <w:rPr>
      <w:sz w:val="18"/>
    </w:rPr>
  </w:style>
  <w:style w:type="paragraph" w:styleId="Endnote">
    <w:name w:val="Endnote Text"/>
    <w:basedOn w:val="LONormal"/>
    <w:qFormat/>
    <w:pPr>
      <w:spacing w:lineRule="auto" w:line="240" w:before="0" w:after="0"/>
    </w:pPr>
    <w:rPr>
      <w:sz w:val="20"/>
    </w:rPr>
  </w:style>
  <w:style w:type="paragraph" w:styleId="Contents1">
    <w:name w:val="TOC 1"/>
    <w:basedOn w:val="LONormal"/>
    <w:qFormat/>
    <w:pPr>
      <w:spacing w:before="0" w:after="57"/>
      <w:ind w:left="0" w:right="0" w:hanging="0"/>
    </w:pPr>
    <w:rPr/>
  </w:style>
  <w:style w:type="paragraph" w:styleId="Contents2">
    <w:name w:val="TOC 2"/>
    <w:basedOn w:val="LONormal"/>
    <w:qFormat/>
    <w:pPr>
      <w:spacing w:before="0" w:after="57"/>
      <w:ind w:left="283" w:right="0" w:hanging="0"/>
    </w:pPr>
    <w:rPr/>
  </w:style>
  <w:style w:type="paragraph" w:styleId="Contents3">
    <w:name w:val="TOC 3"/>
    <w:basedOn w:val="LONormal"/>
    <w:qFormat/>
    <w:pPr>
      <w:spacing w:before="0" w:after="57"/>
      <w:ind w:left="567" w:right="0" w:hanging="0"/>
    </w:pPr>
    <w:rPr/>
  </w:style>
  <w:style w:type="paragraph" w:styleId="Contents4">
    <w:name w:val="TOC 4"/>
    <w:basedOn w:val="LONormal"/>
    <w:qFormat/>
    <w:pPr>
      <w:spacing w:before="0" w:after="57"/>
      <w:ind w:left="850" w:right="0" w:hanging="0"/>
    </w:pPr>
    <w:rPr/>
  </w:style>
  <w:style w:type="paragraph" w:styleId="Contents5">
    <w:name w:val="TOC 5"/>
    <w:basedOn w:val="LONormal"/>
    <w:qFormat/>
    <w:pPr>
      <w:spacing w:before="0" w:after="57"/>
      <w:ind w:left="1134" w:right="0" w:hanging="0"/>
    </w:pPr>
    <w:rPr/>
  </w:style>
  <w:style w:type="paragraph" w:styleId="Contents6">
    <w:name w:val="TOC 6"/>
    <w:basedOn w:val="LONormal"/>
    <w:qFormat/>
    <w:pPr>
      <w:spacing w:before="0" w:after="57"/>
      <w:ind w:left="1417" w:right="0" w:hanging="0"/>
    </w:pPr>
    <w:rPr/>
  </w:style>
  <w:style w:type="paragraph" w:styleId="Contents7">
    <w:name w:val="TOC 7"/>
    <w:basedOn w:val="LONormal"/>
    <w:qFormat/>
    <w:pPr>
      <w:spacing w:before="0" w:after="57"/>
      <w:ind w:left="1701" w:right="0" w:hanging="0"/>
    </w:pPr>
    <w:rPr/>
  </w:style>
  <w:style w:type="paragraph" w:styleId="Contents8">
    <w:name w:val="TOC 8"/>
    <w:basedOn w:val="LONormal"/>
    <w:qFormat/>
    <w:pPr>
      <w:spacing w:before="0" w:after="57"/>
      <w:ind w:left="1984" w:right="0" w:hanging="0"/>
    </w:pPr>
    <w:rPr/>
  </w:style>
  <w:style w:type="paragraph" w:styleId="Contents9">
    <w:name w:val="TOC 9"/>
    <w:basedOn w:val="LONormal"/>
    <w:qFormat/>
    <w:pPr>
      <w:spacing w:before="0" w:after="57"/>
      <w:ind w:left="2268" w:right="0" w:hanging="0"/>
    </w:pPr>
    <w:rPr/>
  </w:style>
  <w:style w:type="paragraph" w:styleId="TOCHeading">
    <w:name w:val="TOC Heading"/>
    <w:qFormat/>
    <w:pPr>
      <w:widowControl w:val="false"/>
      <w:suppressAutoHyphens w:val="true"/>
      <w:bidi w:val="0"/>
      <w:spacing w:lineRule="auto" w:line="276" w:before="0" w:after="200"/>
      <w:jc w:val="left"/>
    </w:pPr>
    <w:rPr>
      <w:rFonts w:ascii="Arial" w:hAnsi="Arial" w:eastAsia="Arial" w:cs="Arial"/>
      <w:color w:val="000000"/>
      <w:kern w:val="0"/>
      <w:sz w:val="22"/>
      <w:szCs w:val="24"/>
      <w:lang w:val="en-US" w:eastAsia="en-US" w:bidi="en-US"/>
    </w:rPr>
  </w:style>
  <w:style w:type="paragraph" w:styleId="Tableoffigures">
    <w:name w:val="table of figures"/>
    <w:basedOn w:val="LONormal"/>
    <w:qFormat/>
    <w:pPr>
      <w:spacing w:before="0" w:after="0"/>
    </w:pPr>
    <w:rPr/>
  </w:style>
  <w:style w:type="paragraph" w:styleId="DStyleparagraph">
    <w:name w:val="DStyle_paragraph"/>
    <w:qFormat/>
    <w:pPr>
      <w:widowControl w:val="false"/>
      <w:suppressAutoHyphens w:val="true"/>
      <w:bidi w:val="0"/>
      <w:spacing w:lineRule="auto" w:line="276" w:before="0" w:after="200"/>
      <w:jc w:val="left"/>
    </w:pPr>
    <w:rPr>
      <w:rFonts w:ascii="Liberation Serif" w:hAnsi="Liberation Serif" w:eastAsia="Noto Serif CJK SC" w:cs="Lohit Devanagari"/>
      <w:color w:val="000000"/>
      <w:kern w:val="0"/>
      <w:sz w:val="24"/>
      <w:szCs w:val="24"/>
      <w:lang w:val="en-US" w:eastAsia="en-US" w:bidi="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2800</TotalTime>
  <Application>LibreOffice/6.4.7.2$Linux_X86_64 LibreOffice_project/40$Build-2</Application>
  <Pages>1</Pages>
  <Words>510</Words>
  <Characters>3431</Characters>
  <CharactersWithSpaces>3944</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2022-10-19T23:22:55Z</dcterms:modified>
  <cp:revision>50</cp:revision>
  <dc:subject/>
  <dc:title/>
</cp:coreProperties>
</file>