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41630" w:rsidR="008D694B" w:rsidP="009441CB" w:rsidRDefault="009441CB" w14:paraId="43A660F5" w14:textId="0F2D1882">
      <w:pPr>
        <w:jc w:val="center"/>
        <w:rPr>
          <w:b/>
          <w:bCs/>
        </w:rPr>
      </w:pPr>
      <w:r w:rsidRPr="00A41630">
        <w:rPr>
          <w:b/>
          <w:bCs/>
        </w:rPr>
        <w:t>The Experience of Fear in Specific Phobia</w:t>
      </w:r>
    </w:p>
    <w:p w:rsidRPr="00A41630" w:rsidR="009441CB" w:rsidP="009441CB" w:rsidRDefault="009441CB" w14:paraId="18F6DF24" w14:textId="77777777">
      <w:pPr>
        <w:jc w:val="center"/>
        <w:rPr>
          <w:b/>
          <w:bCs/>
        </w:rPr>
      </w:pPr>
    </w:p>
    <w:p w:rsidR="009441CB" w:rsidP="6DECD9DD" w:rsidRDefault="009441CB" w14:paraId="6129A0D0" w14:textId="592F6970">
      <w:pPr>
        <w:pStyle w:val="Normal"/>
        <w:jc w:val="center"/>
      </w:pPr>
      <w:r w:rsidR="6DECD9DD">
        <w:rPr/>
        <w:t xml:space="preserve">Donald J. </w:t>
      </w:r>
      <w:r w:rsidR="6DECD9DD">
        <w:rPr/>
        <w:t>Robinaugh</w:t>
      </w:r>
      <w:r w:rsidR="6DECD9DD">
        <w:rPr/>
        <w:t>, Joshua Rodriguez, Kieran McVeigh, Ajay B. Satpute</w:t>
      </w:r>
    </w:p>
    <w:p w:rsidR="005733D5" w:rsidP="005733D5" w:rsidRDefault="005733D5" w14:paraId="002B8A96" w14:textId="77777777"/>
    <w:p w:rsidRPr="005733D5" w:rsidR="005733D5" w:rsidP="005733D5" w:rsidRDefault="005733D5" w14:paraId="6A1AECE6" w14:textId="2424687E">
      <w:pPr>
        <w:rPr>
          <w:b/>
          <w:bCs/>
        </w:rPr>
      </w:pPr>
      <w:r w:rsidRPr="005733D5">
        <w:rPr>
          <w:b/>
          <w:bCs/>
        </w:rPr>
        <w:t xml:space="preserve">Potential Target Journals: </w:t>
      </w:r>
    </w:p>
    <w:p w:rsidR="008B10C4" w:rsidP="005733D5" w:rsidRDefault="008B10C4" w14:paraId="012498B7" w14:textId="3BF7DA85">
      <w:r>
        <w:tab/>
      </w:r>
      <w:r>
        <w:t>Biological Psychiatry</w:t>
      </w:r>
    </w:p>
    <w:p w:rsidR="008B10C4" w:rsidP="005733D5" w:rsidRDefault="008B10C4" w14:paraId="5F07F52A" w14:textId="58253185">
      <w:r>
        <w:tab/>
      </w:r>
      <w:r>
        <w:t>Psychological Science</w:t>
      </w:r>
    </w:p>
    <w:p w:rsidR="008B10C4" w:rsidP="005733D5" w:rsidRDefault="008B10C4" w14:paraId="0B09A447" w14:textId="70F9CFA2">
      <w:r>
        <w:tab/>
      </w:r>
      <w:r>
        <w:t>Clinical Psychological Science (Impact: 8.60)</w:t>
      </w:r>
    </w:p>
    <w:p w:rsidR="005733D5" w:rsidP="005733D5" w:rsidRDefault="008B10C4" w14:paraId="15D8AC5F" w14:textId="3E1E9184">
      <w:r>
        <w:tab/>
      </w:r>
      <w:r w:rsidR="005733D5">
        <w:t>Journal of Anxiety Disorders (Impact: 5.26)</w:t>
      </w:r>
    </w:p>
    <w:p w:rsidRPr="00A41630" w:rsidR="005733D5" w:rsidP="005733D5" w:rsidRDefault="005733D5" w14:paraId="67A2C71D" w14:textId="04B1BCE7">
      <w:r>
        <w:tab/>
      </w:r>
      <w:r>
        <w:t>Behavior Research &amp; Therapy (Impact: 4.134)</w:t>
      </w:r>
    </w:p>
    <w:p w:rsidR="005733D5" w:rsidP="005733D5" w:rsidRDefault="005733D5" w14:paraId="39F37E13" w14:textId="79066CFF">
      <w:pPr>
        <w:ind w:firstLine="720"/>
      </w:pPr>
      <w:r>
        <w:t>Biological Psychology (Impact: 2.6)</w:t>
      </w:r>
    </w:p>
    <w:p w:rsidRPr="00A41630" w:rsidR="005733D5" w:rsidP="005733D5" w:rsidRDefault="005733D5" w14:paraId="2391A02C" w14:textId="77777777">
      <w:r>
        <w:tab/>
      </w:r>
      <w:r>
        <w:t>Journal of Behavior Therapy and Experimental Psychiatry (Impact 2.184)</w:t>
      </w:r>
    </w:p>
    <w:p w:rsidRPr="00A41630" w:rsidR="005733D5" w:rsidP="005733D5" w:rsidRDefault="005733D5" w14:paraId="3F42AEDC" w14:textId="77777777"/>
    <w:p w:rsidRPr="00A41630" w:rsidR="009441CB" w:rsidP="009441CB" w:rsidRDefault="009441CB" w14:paraId="5928806F" w14:textId="77777777">
      <w:pPr>
        <w:jc w:val="center"/>
        <w:rPr>
          <w:b/>
          <w:bCs/>
        </w:rPr>
      </w:pPr>
    </w:p>
    <w:p w:rsidRPr="00A41630" w:rsidR="009441CB" w:rsidP="009441CB" w:rsidRDefault="009441CB" w14:paraId="3D21818F" w14:textId="3B7B5B2D">
      <w:pPr>
        <w:pStyle w:val="ListParagraph"/>
        <w:numPr>
          <w:ilvl w:val="0"/>
          <w:numId w:val="1"/>
        </w:numPr>
        <w:ind w:left="360" w:hanging="360"/>
        <w:rPr>
          <w:rFonts w:ascii="Times New Roman" w:hAnsi="Times New Roman" w:cs="Times New Roman"/>
          <w:b/>
          <w:bCs/>
        </w:rPr>
      </w:pPr>
      <w:r w:rsidRPr="00A41630">
        <w:rPr>
          <w:rFonts w:ascii="Times New Roman" w:hAnsi="Times New Roman" w:cs="Times New Roman"/>
          <w:b/>
          <w:bCs/>
        </w:rPr>
        <w:t>Introduction</w:t>
      </w:r>
    </w:p>
    <w:p w:rsidRPr="00A41630" w:rsidR="00B82628" w:rsidP="00B82628" w:rsidRDefault="00B82628" w14:paraId="0451A039" w14:textId="77777777">
      <w:pPr>
        <w:pStyle w:val="ListParagraph"/>
        <w:ind w:left="360"/>
        <w:rPr>
          <w:rFonts w:ascii="Times New Roman" w:hAnsi="Times New Roman" w:cs="Times New Roman"/>
          <w:b/>
          <w:bCs/>
        </w:rPr>
      </w:pPr>
    </w:p>
    <w:p w:rsidRPr="00A41630" w:rsidR="009441CB" w:rsidP="009441CB" w:rsidRDefault="009441CB" w14:paraId="3B333AE0" w14:textId="3931EAEF">
      <w:pPr>
        <w:pStyle w:val="ListParagraph"/>
        <w:numPr>
          <w:ilvl w:val="1"/>
          <w:numId w:val="1"/>
        </w:numPr>
        <w:ind w:left="720"/>
        <w:rPr>
          <w:rFonts w:ascii="Times New Roman" w:hAnsi="Times New Roman" w:cs="Times New Roman"/>
          <w:b/>
          <w:bCs/>
        </w:rPr>
      </w:pPr>
      <w:r w:rsidRPr="00A41630">
        <w:rPr>
          <w:rFonts w:ascii="Times New Roman" w:hAnsi="Times New Roman" w:cs="Times New Roman"/>
        </w:rPr>
        <w:t xml:space="preserve">Specific phobia is a syndrome characterized principally by the persistent tendency to respond fearfully to a specific stimulus (e.g., a spider) with intensity that is disproportionate to the threat that stimulus presents. </w:t>
      </w:r>
    </w:p>
    <w:p w:rsidRPr="00A41630" w:rsidR="009441CB" w:rsidP="009441CB" w:rsidRDefault="009441CB" w14:paraId="51F951D3" w14:textId="27B9B888">
      <w:pPr>
        <w:pStyle w:val="ListParagraph"/>
        <w:numPr>
          <w:ilvl w:val="1"/>
          <w:numId w:val="1"/>
        </w:numPr>
        <w:ind w:left="720"/>
        <w:rPr>
          <w:rFonts w:ascii="Times New Roman" w:hAnsi="Times New Roman" w:cs="Times New Roman"/>
          <w:b/>
          <w:bCs/>
        </w:rPr>
      </w:pPr>
      <w:r w:rsidRPr="00A41630">
        <w:rPr>
          <w:rFonts w:ascii="Times New Roman" w:hAnsi="Times New Roman" w:cs="Times New Roman"/>
        </w:rPr>
        <w:t>Much of the research on specific phobia has focused on how this tendency develops.</w:t>
      </w:r>
    </w:p>
    <w:p w:rsidRPr="00275137" w:rsidR="009441CB" w:rsidP="009441CB" w:rsidRDefault="009441CB" w14:paraId="3EEF2592" w14:textId="0EFE3831">
      <w:pPr>
        <w:pStyle w:val="ListParagraph"/>
        <w:numPr>
          <w:ilvl w:val="1"/>
          <w:numId w:val="1"/>
        </w:numPr>
        <w:ind w:left="720"/>
        <w:rPr>
          <w:rFonts w:ascii="Times New Roman" w:hAnsi="Times New Roman" w:cs="Times New Roman"/>
          <w:b/>
          <w:bCs/>
        </w:rPr>
      </w:pPr>
      <w:r w:rsidRPr="00A41630">
        <w:rPr>
          <w:rFonts w:ascii="Times New Roman" w:hAnsi="Times New Roman" w:cs="Times New Roman"/>
        </w:rPr>
        <w:t xml:space="preserve">However, we have comparatively little insight into the specific psychological processes </w:t>
      </w:r>
      <w:r w:rsidRPr="00A41630" w:rsidR="00B82628">
        <w:rPr>
          <w:rFonts w:ascii="Times New Roman" w:hAnsi="Times New Roman" w:cs="Times New Roman"/>
        </w:rPr>
        <w:t>that unfold after an individual is confronted with a specific stimulus</w:t>
      </w:r>
      <w:r w:rsidRPr="00A41630">
        <w:rPr>
          <w:rFonts w:ascii="Times New Roman" w:hAnsi="Times New Roman" w:cs="Times New Roman"/>
        </w:rPr>
        <w:t xml:space="preserve"> that </w:t>
      </w:r>
      <w:proofErr w:type="gramStart"/>
      <w:r w:rsidRPr="00A41630">
        <w:rPr>
          <w:rFonts w:ascii="Times New Roman" w:hAnsi="Times New Roman" w:cs="Times New Roman"/>
        </w:rPr>
        <w:t>lead</w:t>
      </w:r>
      <w:proofErr w:type="gramEnd"/>
      <w:r w:rsidRPr="00A41630">
        <w:rPr>
          <w:rFonts w:ascii="Times New Roman" w:hAnsi="Times New Roman" w:cs="Times New Roman"/>
        </w:rPr>
        <w:t xml:space="preserve"> </w:t>
      </w:r>
      <w:r w:rsidRPr="00A41630" w:rsidR="00B82628">
        <w:rPr>
          <w:rFonts w:ascii="Times New Roman" w:hAnsi="Times New Roman" w:cs="Times New Roman"/>
        </w:rPr>
        <w:t xml:space="preserve">those </w:t>
      </w:r>
      <w:r w:rsidRPr="00A41630">
        <w:rPr>
          <w:rFonts w:ascii="Times New Roman" w:hAnsi="Times New Roman" w:cs="Times New Roman"/>
        </w:rPr>
        <w:t>with specific phobia to subjectively experience greater fear</w:t>
      </w:r>
      <w:r w:rsidRPr="00A41630" w:rsidR="00B82628">
        <w:rPr>
          <w:rFonts w:ascii="Times New Roman" w:hAnsi="Times New Roman" w:cs="Times New Roman"/>
        </w:rPr>
        <w:t>.</w:t>
      </w:r>
      <w:r w:rsidRPr="00A41630">
        <w:rPr>
          <w:rFonts w:ascii="Times New Roman" w:hAnsi="Times New Roman" w:cs="Times New Roman"/>
        </w:rPr>
        <w:t xml:space="preserve"> </w:t>
      </w:r>
    </w:p>
    <w:p w:rsidRPr="00A41630" w:rsidR="00275137" w:rsidP="00275137" w:rsidRDefault="00275137" w14:paraId="6949A02F" w14:textId="56DB8072">
      <w:pPr>
        <w:pStyle w:val="ListParagraph"/>
        <w:numPr>
          <w:ilvl w:val="2"/>
          <w:numId w:val="1"/>
        </w:numPr>
        <w:rPr>
          <w:rFonts w:ascii="Times New Roman" w:hAnsi="Times New Roman" w:cs="Times New Roman"/>
          <w:b/>
          <w:bCs/>
        </w:rPr>
      </w:pPr>
      <w:r>
        <w:rPr>
          <w:rFonts w:ascii="Times New Roman" w:hAnsi="Times New Roman" w:cs="Times New Roman"/>
        </w:rPr>
        <w:t xml:space="preserve">It is not sufficient </w:t>
      </w:r>
      <w:r w:rsidR="001C7E87">
        <w:rPr>
          <w:rFonts w:ascii="Times New Roman" w:hAnsi="Times New Roman" w:cs="Times New Roman"/>
        </w:rPr>
        <w:t>to say that those with specific phobia have</w:t>
      </w:r>
      <w:r>
        <w:rPr>
          <w:rFonts w:ascii="Times New Roman" w:hAnsi="Times New Roman" w:cs="Times New Roman"/>
        </w:rPr>
        <w:t xml:space="preserve"> greater fear responding because they have specific phobi</w:t>
      </w:r>
      <w:r w:rsidR="001C7E87">
        <w:rPr>
          <w:rFonts w:ascii="Times New Roman" w:hAnsi="Times New Roman" w:cs="Times New Roman"/>
        </w:rPr>
        <w:t>a. This</w:t>
      </w:r>
      <w:r>
        <w:rPr>
          <w:rFonts w:ascii="Times New Roman" w:hAnsi="Times New Roman" w:cs="Times New Roman"/>
        </w:rPr>
        <w:t xml:space="preserve"> is tautological: specific phobia denotes their tendency to respond fearfully. </w:t>
      </w:r>
      <w:r w:rsidR="001C7E87">
        <w:rPr>
          <w:rFonts w:ascii="Times New Roman" w:hAnsi="Times New Roman" w:cs="Times New Roman"/>
        </w:rPr>
        <w:t>The key question here is: what are the psychological processes that unfold in response to a feared stimulus that distinguish those with specific phobia from those without?</w:t>
      </w:r>
      <w:r>
        <w:rPr>
          <w:rFonts w:ascii="Times New Roman" w:hAnsi="Times New Roman" w:cs="Times New Roman"/>
        </w:rPr>
        <w:t xml:space="preserve"> </w:t>
      </w:r>
    </w:p>
    <w:p w:rsidRPr="00A41630" w:rsidR="00B82628" w:rsidP="00B82628" w:rsidRDefault="00B82628" w14:paraId="035F2616" w14:textId="11198EDD">
      <w:pPr>
        <w:pStyle w:val="ListParagraph"/>
        <w:numPr>
          <w:ilvl w:val="2"/>
          <w:numId w:val="1"/>
        </w:numPr>
        <w:rPr>
          <w:rFonts w:ascii="Times New Roman" w:hAnsi="Times New Roman" w:cs="Times New Roman"/>
          <w:b/>
          <w:bCs/>
        </w:rPr>
      </w:pPr>
      <w:r w:rsidRPr="00A41630">
        <w:rPr>
          <w:rFonts w:ascii="Times New Roman" w:hAnsi="Times New Roman" w:cs="Times New Roman"/>
        </w:rPr>
        <w:t xml:space="preserve">One possibility is… </w:t>
      </w:r>
    </w:p>
    <w:p w:rsidRPr="00A41630" w:rsidR="00B82628" w:rsidP="00B82628" w:rsidRDefault="00B82628" w14:paraId="04933754" w14:textId="12E741D4">
      <w:pPr>
        <w:pStyle w:val="ListParagraph"/>
        <w:numPr>
          <w:ilvl w:val="2"/>
          <w:numId w:val="1"/>
        </w:numPr>
        <w:rPr>
          <w:rFonts w:ascii="Times New Roman" w:hAnsi="Times New Roman" w:cs="Times New Roman"/>
          <w:b/>
          <w:bCs/>
        </w:rPr>
      </w:pPr>
      <w:r w:rsidRPr="00A41630">
        <w:rPr>
          <w:rFonts w:ascii="Times New Roman" w:hAnsi="Times New Roman" w:cs="Times New Roman"/>
        </w:rPr>
        <w:t xml:space="preserve">Another possibility is … </w:t>
      </w:r>
    </w:p>
    <w:p w:rsidRPr="00A41630" w:rsidR="009441CB" w:rsidP="009441CB" w:rsidRDefault="009441CB" w14:paraId="5CC7984E" w14:textId="2FB7AB78">
      <w:pPr>
        <w:pStyle w:val="ListParagraph"/>
        <w:numPr>
          <w:ilvl w:val="1"/>
          <w:numId w:val="1"/>
        </w:numPr>
        <w:ind w:left="720"/>
        <w:rPr>
          <w:rFonts w:ascii="Times New Roman" w:hAnsi="Times New Roman" w:cs="Times New Roman"/>
          <w:b/>
          <w:bCs/>
        </w:rPr>
      </w:pPr>
      <w:r w:rsidRPr="00A41630">
        <w:rPr>
          <w:rFonts w:ascii="Times New Roman" w:hAnsi="Times New Roman" w:cs="Times New Roman"/>
        </w:rPr>
        <w:t xml:space="preserve">The aim of this study is </w:t>
      </w:r>
      <w:r w:rsidRPr="00A41630" w:rsidR="00B82628">
        <w:rPr>
          <w:rFonts w:ascii="Times New Roman" w:hAnsi="Times New Roman" w:cs="Times New Roman"/>
        </w:rPr>
        <w:t xml:space="preserve">to evaluate whether individual differences in autonomic arousal or subjective arousal and valence in response to feared stimuli can account for the relationship between specific phobia and the subjective experience of fear. </w:t>
      </w:r>
    </w:p>
    <w:p w:rsidRPr="00A41630" w:rsidR="00B82628" w:rsidP="00B82628" w:rsidRDefault="00B82628" w14:paraId="703827DF" w14:textId="77777777">
      <w:pPr>
        <w:pStyle w:val="ListParagraph"/>
        <w:rPr>
          <w:rFonts w:ascii="Times New Roman" w:hAnsi="Times New Roman" w:cs="Times New Roman"/>
          <w:b/>
          <w:bCs/>
        </w:rPr>
      </w:pPr>
    </w:p>
    <w:p w:rsidRPr="00A41630" w:rsidR="009441CB" w:rsidP="009441CB" w:rsidRDefault="009441CB" w14:paraId="0FA13F89" w14:textId="08A979F4">
      <w:pPr>
        <w:rPr>
          <w:b/>
          <w:bCs/>
        </w:rPr>
      </w:pPr>
      <w:r w:rsidRPr="6DECD9DD" w:rsidR="6DECD9DD">
        <w:rPr>
          <w:b w:val="1"/>
          <w:bCs w:val="1"/>
        </w:rPr>
        <w:t>II. Method</w:t>
      </w:r>
    </w:p>
    <w:p w:rsidR="6DECD9DD" w:rsidP="6DECD9DD" w:rsidRDefault="6DECD9DD" w14:paraId="3D8D7207" w14:textId="0AC1773B">
      <w:pPr>
        <w:pStyle w:val="Normal"/>
        <w:rPr>
          <w:b w:val="1"/>
          <w:bCs w:val="1"/>
        </w:rPr>
      </w:pPr>
    </w:p>
    <w:p w:rsidRPr="00A41630" w:rsidR="009441CB" w:rsidP="009441CB" w:rsidRDefault="00B82628" w14:paraId="00F7E89B" w14:textId="3141FB0A">
      <w:pPr>
        <w:rPr>
          <w:b/>
          <w:bCs/>
        </w:rPr>
      </w:pPr>
      <w:r w:rsidRPr="00A41630">
        <w:rPr>
          <w:b/>
          <w:bCs/>
        </w:rPr>
        <w:tab/>
      </w:r>
    </w:p>
    <w:p w:rsidRPr="00A41630" w:rsidR="009441CB" w:rsidP="009441CB" w:rsidRDefault="009441CB" w14:paraId="3D7B1416" w14:textId="6A8B2138">
      <w:pPr>
        <w:rPr>
          <w:b/>
          <w:bCs/>
        </w:rPr>
      </w:pPr>
      <w:r w:rsidRPr="00A41630">
        <w:rPr>
          <w:b/>
          <w:bCs/>
        </w:rPr>
        <w:t>III. Results</w:t>
      </w:r>
    </w:p>
    <w:p w:rsidRPr="00A41630" w:rsidR="00953577" w:rsidP="009441CB" w:rsidRDefault="00953577" w14:paraId="0F8340CD" w14:textId="77777777">
      <w:pPr>
        <w:rPr>
          <w:b/>
          <w:bCs/>
        </w:rPr>
      </w:pPr>
    </w:p>
    <w:p w:rsidRPr="00A41630" w:rsidR="00A41630" w:rsidP="00A41630" w:rsidRDefault="00A41630" w14:paraId="7AC345BA" w14:textId="6D994D62">
      <w:pPr>
        <w:pStyle w:val="ListParagraph"/>
        <w:numPr>
          <w:ilvl w:val="0"/>
          <w:numId w:val="4"/>
        </w:numPr>
        <w:rPr>
          <w:rFonts w:ascii="Times New Roman" w:hAnsi="Times New Roman" w:cs="Times New Roman"/>
          <w:b/>
          <w:bCs/>
        </w:rPr>
      </w:pPr>
      <w:r w:rsidRPr="00A41630">
        <w:rPr>
          <w:rFonts w:ascii="Times New Roman" w:hAnsi="Times New Roman" w:cs="Times New Roman"/>
        </w:rPr>
        <w:t>Cross-sectional analyses</w:t>
      </w:r>
    </w:p>
    <w:p w:rsidR="00A41630" w:rsidP="009441CB" w:rsidRDefault="00A41630" w14:paraId="130C25EC" w14:textId="77777777">
      <w:pPr>
        <w:rPr>
          <w:b/>
          <w:bCs/>
        </w:rPr>
      </w:pPr>
    </w:p>
    <w:p w:rsidR="00742A52" w:rsidP="009441CB" w:rsidRDefault="00742A52" w14:paraId="7D172C6F" w14:textId="77777777">
      <w:pPr>
        <w:rPr>
          <w:b/>
          <w:bCs/>
        </w:rPr>
      </w:pPr>
    </w:p>
    <w:p w:rsidR="00742A52" w:rsidP="009441CB" w:rsidRDefault="00742A52" w14:paraId="7FC42833" w14:textId="77777777">
      <w:pPr>
        <w:rPr>
          <w:b/>
          <w:bCs/>
        </w:rPr>
      </w:pPr>
    </w:p>
    <w:p w:rsidR="00742A52" w:rsidP="009441CB" w:rsidRDefault="00742A52" w14:paraId="7CFECE81" w14:textId="77777777">
      <w:pPr>
        <w:rPr>
          <w:b/>
          <w:bCs/>
        </w:rPr>
      </w:pPr>
    </w:p>
    <w:p w:rsidR="00742A52" w:rsidP="009441CB" w:rsidRDefault="00742A52" w14:paraId="35D72568" w14:textId="77777777">
      <w:pPr>
        <w:rPr>
          <w:b/>
          <w:bCs/>
        </w:rPr>
      </w:pPr>
    </w:p>
    <w:p w:rsidR="00742A52" w:rsidP="009441CB" w:rsidRDefault="00742A52" w14:paraId="605BD188" w14:textId="77777777">
      <w:pPr>
        <w:rPr>
          <w:b/>
          <w:bCs/>
        </w:rPr>
      </w:pPr>
    </w:p>
    <w:p w:rsidR="00742A52" w:rsidP="009441CB" w:rsidRDefault="00742A52" w14:paraId="48DE0190" w14:textId="77777777">
      <w:pPr>
        <w:rPr>
          <w:b/>
          <w:bCs/>
        </w:rPr>
      </w:pPr>
    </w:p>
    <w:p w:rsidR="00742A52" w:rsidP="009441CB" w:rsidRDefault="00742A52" w14:paraId="6E958D1B" w14:textId="77777777">
      <w:pPr>
        <w:rPr>
          <w:b/>
          <w:bCs/>
        </w:rPr>
      </w:pPr>
    </w:p>
    <w:p w:rsidRPr="00A41630" w:rsidR="00742A52" w:rsidP="009441CB" w:rsidRDefault="00742A52" w14:paraId="64DC54AB" w14:textId="77777777">
      <w:pPr>
        <w:rPr>
          <w:b/>
          <w:bCs/>
        </w:rPr>
      </w:pPr>
    </w:p>
    <w:p w:rsidRPr="00A41630" w:rsidR="009441CB" w:rsidP="009441CB" w:rsidRDefault="0085235B" w14:paraId="173D2461" w14:textId="27421A96">
      <w:r w:rsidRPr="00A41630">
        <w:rPr>
          <w:b/>
          <w:bCs/>
        </w:rPr>
        <w:t xml:space="preserve">Table 1. </w:t>
      </w:r>
      <w:r w:rsidRPr="00A41630" w:rsidR="00A41630">
        <w:t xml:space="preserve">Cross-sectional </w:t>
      </w:r>
      <w:r w:rsidRPr="00A41630">
        <w:t>Pearson Correlation Coefficients Among Specific Phobia and</w:t>
      </w:r>
      <w:r w:rsidRPr="00A41630" w:rsidR="00A41630">
        <w:t xml:space="preserve"> Response Indices</w:t>
      </w:r>
      <w:r w:rsidRPr="00A41630">
        <w:t xml:space="preserve"> </w:t>
      </w:r>
    </w:p>
    <w:tbl>
      <w:tblPr>
        <w:tblW w:w="8361" w:type="dxa"/>
        <w:tblCellMar>
          <w:left w:w="0" w:type="dxa"/>
          <w:right w:w="0" w:type="dxa"/>
        </w:tblCellMar>
        <w:tblLook w:val="04A0" w:firstRow="1" w:lastRow="0" w:firstColumn="1" w:lastColumn="0" w:noHBand="0" w:noVBand="1"/>
      </w:tblPr>
      <w:tblGrid>
        <w:gridCol w:w="1784"/>
        <w:gridCol w:w="1300"/>
        <w:gridCol w:w="1377"/>
        <w:gridCol w:w="1300"/>
        <w:gridCol w:w="1300"/>
        <w:gridCol w:w="1300"/>
      </w:tblGrid>
      <w:tr w:rsidRPr="00A41630" w:rsidR="00A260E8" w:rsidTr="0085235B" w14:paraId="5F4EC518" w14:textId="77777777">
        <w:trPr>
          <w:trHeight w:val="320"/>
        </w:trPr>
        <w:tc>
          <w:tcPr>
            <w:tcW w:w="1784" w:type="dxa"/>
            <w:tcBorders>
              <w:top w:val="single" w:color="auto" w:sz="4" w:space="0"/>
              <w:left w:val="nil"/>
              <w:bottom w:val="single" w:color="auto" w:sz="4" w:space="0"/>
              <w:right w:val="nil"/>
            </w:tcBorders>
            <w:shd w:val="clear" w:color="auto" w:fill="BFBFBF" w:themeFill="background1" w:themeFillShade="BF"/>
            <w:noWrap/>
            <w:tcMar>
              <w:top w:w="15" w:type="dxa"/>
              <w:left w:w="15" w:type="dxa"/>
              <w:bottom w:w="0" w:type="dxa"/>
              <w:right w:w="15" w:type="dxa"/>
            </w:tcMar>
            <w:vAlign w:val="bottom"/>
            <w:hideMark/>
          </w:tcPr>
          <w:p w:rsidRPr="00A41630" w:rsidR="00A260E8" w:rsidRDefault="00A260E8" w14:paraId="76F9723B" w14:textId="77777777"/>
        </w:tc>
        <w:tc>
          <w:tcPr>
            <w:tcW w:w="1300" w:type="dxa"/>
            <w:tcBorders>
              <w:top w:val="single" w:color="auto" w:sz="4" w:space="0"/>
              <w:left w:val="nil"/>
              <w:bottom w:val="single" w:color="auto" w:sz="4" w:space="0"/>
              <w:right w:val="nil"/>
            </w:tcBorders>
            <w:shd w:val="clear" w:color="auto" w:fill="BFBFBF" w:themeFill="background1" w:themeFillShade="BF"/>
            <w:noWrap/>
            <w:tcMar>
              <w:top w:w="15" w:type="dxa"/>
              <w:left w:w="15" w:type="dxa"/>
              <w:bottom w:w="0" w:type="dxa"/>
              <w:right w:w="15" w:type="dxa"/>
            </w:tcMar>
            <w:vAlign w:val="bottom"/>
            <w:hideMark/>
          </w:tcPr>
          <w:p w:rsidRPr="00A41630" w:rsidR="00A260E8" w:rsidP="00A260E8" w:rsidRDefault="00A260E8" w14:paraId="5AA02A8F" w14:textId="77777777">
            <w:pPr>
              <w:jc w:val="center"/>
              <w:rPr>
                <w:b/>
                <w:bCs/>
                <w:color w:val="000000"/>
              </w:rPr>
            </w:pPr>
            <w:r w:rsidRPr="00A41630">
              <w:rPr>
                <w:b/>
                <w:bCs/>
                <w:color w:val="000000"/>
              </w:rPr>
              <w:t>Phobia</w:t>
            </w:r>
          </w:p>
        </w:tc>
        <w:tc>
          <w:tcPr>
            <w:tcW w:w="1377" w:type="dxa"/>
            <w:tcBorders>
              <w:top w:val="single" w:color="auto" w:sz="4" w:space="0"/>
              <w:left w:val="nil"/>
              <w:bottom w:val="single" w:color="auto" w:sz="4" w:space="0"/>
              <w:right w:val="nil"/>
            </w:tcBorders>
            <w:shd w:val="clear" w:color="auto" w:fill="BFBFBF" w:themeFill="background1" w:themeFillShade="BF"/>
            <w:noWrap/>
            <w:tcMar>
              <w:top w:w="15" w:type="dxa"/>
              <w:left w:w="15" w:type="dxa"/>
              <w:bottom w:w="0" w:type="dxa"/>
              <w:right w:w="15" w:type="dxa"/>
            </w:tcMar>
            <w:vAlign w:val="bottom"/>
            <w:hideMark/>
          </w:tcPr>
          <w:p w:rsidRPr="00A41630" w:rsidR="00A260E8" w:rsidP="00A260E8" w:rsidRDefault="00A260E8" w14:paraId="4D8D83CB" w14:textId="77777777">
            <w:pPr>
              <w:jc w:val="center"/>
              <w:rPr>
                <w:b/>
                <w:bCs/>
                <w:color w:val="000000"/>
              </w:rPr>
            </w:pPr>
            <w:r w:rsidRPr="00A41630">
              <w:rPr>
                <w:b/>
                <w:bCs/>
                <w:color w:val="000000"/>
              </w:rPr>
              <w:t>Skin Conductance Response</w:t>
            </w:r>
          </w:p>
        </w:tc>
        <w:tc>
          <w:tcPr>
            <w:tcW w:w="1300" w:type="dxa"/>
            <w:tcBorders>
              <w:top w:val="single" w:color="auto" w:sz="4" w:space="0"/>
              <w:left w:val="nil"/>
              <w:bottom w:val="single" w:color="auto" w:sz="4" w:space="0"/>
              <w:right w:val="nil"/>
            </w:tcBorders>
            <w:shd w:val="clear" w:color="auto" w:fill="BFBFBF" w:themeFill="background1" w:themeFillShade="BF"/>
            <w:noWrap/>
            <w:tcMar>
              <w:top w:w="15" w:type="dxa"/>
              <w:left w:w="15" w:type="dxa"/>
              <w:bottom w:w="0" w:type="dxa"/>
              <w:right w:w="15" w:type="dxa"/>
            </w:tcMar>
            <w:vAlign w:val="bottom"/>
            <w:hideMark/>
          </w:tcPr>
          <w:p w:rsidRPr="00A41630" w:rsidR="00A260E8" w:rsidP="00A260E8" w:rsidRDefault="00A260E8" w14:paraId="4905E667" w14:textId="77777777">
            <w:pPr>
              <w:jc w:val="center"/>
              <w:rPr>
                <w:b/>
                <w:bCs/>
                <w:color w:val="000000"/>
              </w:rPr>
            </w:pPr>
            <w:r w:rsidRPr="00A41630">
              <w:rPr>
                <w:b/>
                <w:bCs/>
                <w:color w:val="000000"/>
              </w:rPr>
              <w:t>Heart Period</w:t>
            </w:r>
          </w:p>
        </w:tc>
        <w:tc>
          <w:tcPr>
            <w:tcW w:w="1300" w:type="dxa"/>
            <w:tcBorders>
              <w:top w:val="single" w:color="auto" w:sz="4" w:space="0"/>
              <w:left w:val="nil"/>
              <w:bottom w:val="single" w:color="auto" w:sz="4" w:space="0"/>
              <w:right w:val="nil"/>
            </w:tcBorders>
            <w:shd w:val="clear" w:color="auto" w:fill="BFBFBF" w:themeFill="background1" w:themeFillShade="BF"/>
            <w:noWrap/>
            <w:tcMar>
              <w:top w:w="15" w:type="dxa"/>
              <w:left w:w="15" w:type="dxa"/>
              <w:bottom w:w="0" w:type="dxa"/>
              <w:right w:w="15" w:type="dxa"/>
            </w:tcMar>
            <w:vAlign w:val="bottom"/>
            <w:hideMark/>
          </w:tcPr>
          <w:p w:rsidRPr="00A41630" w:rsidR="00A260E8" w:rsidP="00A260E8" w:rsidRDefault="00A260E8" w14:paraId="0264C73A" w14:textId="77777777">
            <w:pPr>
              <w:jc w:val="center"/>
              <w:rPr>
                <w:b/>
                <w:bCs/>
                <w:color w:val="000000"/>
              </w:rPr>
            </w:pPr>
            <w:r w:rsidRPr="00A41630">
              <w:rPr>
                <w:b/>
                <w:bCs/>
                <w:color w:val="000000"/>
              </w:rPr>
              <w:t>Arousal</w:t>
            </w:r>
          </w:p>
        </w:tc>
        <w:tc>
          <w:tcPr>
            <w:tcW w:w="1300" w:type="dxa"/>
            <w:tcBorders>
              <w:top w:val="single" w:color="auto" w:sz="4" w:space="0"/>
              <w:left w:val="nil"/>
              <w:bottom w:val="single" w:color="auto" w:sz="4" w:space="0"/>
              <w:right w:val="nil"/>
            </w:tcBorders>
            <w:shd w:val="clear" w:color="auto" w:fill="BFBFBF" w:themeFill="background1" w:themeFillShade="BF"/>
            <w:noWrap/>
            <w:tcMar>
              <w:top w:w="15" w:type="dxa"/>
              <w:left w:w="15" w:type="dxa"/>
              <w:bottom w:w="0" w:type="dxa"/>
              <w:right w:w="15" w:type="dxa"/>
            </w:tcMar>
            <w:vAlign w:val="bottom"/>
            <w:hideMark/>
          </w:tcPr>
          <w:p w:rsidRPr="00A41630" w:rsidR="00A260E8" w:rsidP="00A260E8" w:rsidRDefault="00A260E8" w14:paraId="6F3BAC52" w14:textId="77777777">
            <w:pPr>
              <w:jc w:val="center"/>
              <w:rPr>
                <w:b/>
                <w:bCs/>
                <w:color w:val="000000"/>
              </w:rPr>
            </w:pPr>
            <w:r w:rsidRPr="00A41630">
              <w:rPr>
                <w:b/>
                <w:bCs/>
                <w:color w:val="000000"/>
              </w:rPr>
              <w:t>Valence</w:t>
            </w:r>
          </w:p>
        </w:tc>
      </w:tr>
      <w:tr w:rsidRPr="00A41630" w:rsidR="00A260E8" w:rsidTr="0085235B" w14:paraId="1932F55E" w14:textId="77777777">
        <w:trPr>
          <w:trHeight w:val="320"/>
        </w:trPr>
        <w:tc>
          <w:tcPr>
            <w:tcW w:w="0" w:type="auto"/>
            <w:gridSpan w:val="6"/>
            <w:tcBorders>
              <w:top w:val="single" w:color="auto" w:sz="4" w:space="0"/>
              <w:left w:val="nil"/>
              <w:bottom w:val="single" w:color="auto" w:sz="4" w:space="0"/>
              <w:right w:val="nil"/>
            </w:tcBorders>
            <w:shd w:val="clear" w:color="auto" w:fill="D9D9D9" w:themeFill="background1" w:themeFillShade="D9"/>
            <w:noWrap/>
            <w:tcMar>
              <w:top w:w="15" w:type="dxa"/>
              <w:left w:w="15" w:type="dxa"/>
              <w:bottom w:w="0" w:type="dxa"/>
              <w:right w:w="15" w:type="dxa"/>
            </w:tcMar>
            <w:vAlign w:val="bottom"/>
            <w:hideMark/>
          </w:tcPr>
          <w:p w:rsidRPr="00A41630" w:rsidR="00A260E8" w:rsidP="00A260E8" w:rsidRDefault="00A260E8" w14:paraId="4E07B837" w14:textId="22B30A00">
            <w:pPr>
              <w:jc w:val="center"/>
            </w:pPr>
            <w:r w:rsidRPr="00A41630">
              <w:rPr>
                <w:b/>
                <w:bCs/>
                <w:color w:val="000000"/>
              </w:rPr>
              <w:t>Heights</w:t>
            </w:r>
          </w:p>
        </w:tc>
      </w:tr>
      <w:tr w:rsidRPr="00A41630" w:rsidR="0085235B" w:rsidTr="0085235B" w14:paraId="60A7A3F1" w14:textId="77777777">
        <w:trPr>
          <w:trHeight w:val="320"/>
        </w:trPr>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52FBD364" w14:textId="3E45A7C2">
            <w:pPr>
              <w:rPr>
                <w:color w:val="000000"/>
              </w:rPr>
            </w:pPr>
            <w:r w:rsidRPr="00A41630">
              <w:rPr>
                <w:color w:val="000000"/>
              </w:rPr>
              <w:t>Skin Conductance</w:t>
            </w: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21E97EAB" w14:textId="148BB2CF">
            <w:pPr>
              <w:jc w:val="center"/>
              <w:rPr>
                <w:color w:val="000000"/>
              </w:rPr>
            </w:pPr>
            <w:r w:rsidRPr="00A41630">
              <w:rPr>
                <w:color w:val="000000"/>
              </w:rPr>
              <w:t>0.04</w:t>
            </w: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15AD29B6" w14:textId="77777777">
            <w:pPr>
              <w:jc w:val="center"/>
              <w:rPr>
                <w:color w:val="000000"/>
              </w:rPr>
            </w:pP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2F25D873" w14:textId="77777777">
            <w:pPr>
              <w:jc w:val="center"/>
            </w:pP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59ED897E" w14:textId="77777777">
            <w:pPr>
              <w:jc w:val="center"/>
            </w:pP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08C09F30" w14:textId="77777777">
            <w:pPr>
              <w:jc w:val="center"/>
            </w:pPr>
          </w:p>
        </w:tc>
      </w:tr>
      <w:tr w:rsidRPr="00A41630" w:rsidR="0085235B" w:rsidTr="0085235B" w14:paraId="6943682C" w14:textId="77777777">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1A493489" w14:textId="77777777">
            <w:pPr>
              <w:rPr>
                <w:color w:val="000000"/>
              </w:rPr>
            </w:pPr>
            <w:r w:rsidRPr="00A41630">
              <w:rPr>
                <w:color w:val="000000"/>
              </w:rPr>
              <w:t>Heart Period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05713966" w14:textId="0B3A63F6">
            <w:pPr>
              <w:jc w:val="center"/>
              <w:rPr>
                <w:color w:val="000000"/>
              </w:rPr>
            </w:pPr>
            <w:r w:rsidRPr="00A41630">
              <w:rPr>
                <w:color w:val="000000"/>
              </w:rPr>
              <w:t>-0.16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63B3B86C" w14:textId="6A9E5FB3">
            <w:pPr>
              <w:jc w:val="center"/>
              <w:rPr>
                <w:color w:val="000000"/>
              </w:rPr>
            </w:pPr>
            <w:r w:rsidRPr="00A41630">
              <w:rPr>
                <w:color w:val="000000"/>
              </w:rPr>
              <w:t>-0.08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00B6F42F" w14:textId="77777777">
            <w:pPr>
              <w:jc w:val="center"/>
              <w:rPr>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05C2669A" w14:textId="77777777">
            <w:pPr>
              <w:jc w:val="cente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0DE6C5EA" w14:textId="77777777">
            <w:pPr>
              <w:jc w:val="center"/>
            </w:pPr>
          </w:p>
        </w:tc>
      </w:tr>
      <w:tr w:rsidRPr="00A41630" w:rsidR="0085235B" w:rsidTr="0085235B" w14:paraId="02BB3EB2" w14:textId="77777777">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5A004977" w14:textId="77777777">
            <w:pPr>
              <w:rPr>
                <w:color w:val="000000"/>
              </w:rPr>
            </w:pPr>
            <w:r w:rsidRPr="00A41630">
              <w:rPr>
                <w:color w:val="000000"/>
              </w:rPr>
              <w:t>Arousal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580F3258" w14:textId="1FF62139">
            <w:pPr>
              <w:jc w:val="center"/>
              <w:rPr>
                <w:color w:val="000000"/>
              </w:rPr>
            </w:pPr>
            <w:r w:rsidRPr="00A41630">
              <w:rPr>
                <w:color w:val="000000"/>
              </w:rPr>
              <w:t>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5A0B4B2F" w14:textId="61055906">
            <w:pPr>
              <w:jc w:val="center"/>
              <w:rPr>
                <w:color w:val="000000"/>
              </w:rPr>
            </w:pPr>
            <w:r w:rsidRPr="00A41630">
              <w:rPr>
                <w:color w:val="000000"/>
              </w:rPr>
              <w:t>0.19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7E503585" w14:textId="6F2AFF8F">
            <w:pPr>
              <w:jc w:val="center"/>
              <w:rPr>
                <w:color w:val="000000"/>
              </w:rPr>
            </w:pPr>
            <w:r w:rsidRPr="00A41630">
              <w:rPr>
                <w:color w:val="000000"/>
              </w:rPr>
              <w:t>0.12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66221B49" w14:textId="77777777">
            <w:pPr>
              <w:jc w:val="center"/>
              <w:rPr>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457DB5FB" w14:textId="77777777">
            <w:pPr>
              <w:jc w:val="center"/>
            </w:pPr>
          </w:p>
        </w:tc>
      </w:tr>
      <w:tr w:rsidRPr="00A41630" w:rsidR="0085235B" w:rsidTr="0085235B" w14:paraId="5DEB0456" w14:textId="77777777">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6460E457" w14:textId="77777777">
            <w:pPr>
              <w:rPr>
                <w:color w:val="000000"/>
              </w:rPr>
            </w:pPr>
            <w:r w:rsidRPr="00A41630">
              <w:rPr>
                <w:color w:val="000000"/>
              </w:rPr>
              <w:t>Valence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8B10C4" w:rsidR="0085235B" w:rsidP="0085235B" w:rsidRDefault="0085235B" w14:paraId="7424C7DA" w14:textId="06D2E94B">
            <w:pPr>
              <w:jc w:val="center"/>
              <w:rPr>
                <w:color w:val="44546A" w:themeColor="text2"/>
                <w:highlight w:val="yellow"/>
              </w:rPr>
            </w:pPr>
            <w:r w:rsidRPr="008B10C4">
              <w:rPr>
                <w:color w:val="44546A" w:themeColor="text2"/>
                <w:highlight w:val="yellow"/>
              </w:rPr>
              <w:t>-0.46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4213FCC4" w14:textId="030F147D">
            <w:pPr>
              <w:jc w:val="center"/>
              <w:rPr>
                <w:color w:val="000000"/>
              </w:rPr>
            </w:pPr>
            <w:r w:rsidRPr="00A41630">
              <w:rPr>
                <w:color w:val="000000"/>
              </w:rPr>
              <w:t>-0.01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13D4CDBD" w14:textId="5A301F73">
            <w:pPr>
              <w:jc w:val="center"/>
              <w:rPr>
                <w:color w:val="000000"/>
              </w:rPr>
            </w:pPr>
            <w:r w:rsidRPr="00A41630">
              <w:rPr>
                <w:color w:val="000000"/>
              </w:rPr>
              <w:t>0.10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65E579AA" w14:textId="1303321C">
            <w:pPr>
              <w:jc w:val="center"/>
              <w:rPr>
                <w:color w:val="000000"/>
              </w:rPr>
            </w:pPr>
            <w:r w:rsidRPr="00A41630">
              <w:rPr>
                <w:color w:val="000000"/>
              </w:rPr>
              <w:t>0.11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2F795CD4" w14:textId="77777777">
            <w:pPr>
              <w:jc w:val="center"/>
              <w:rPr>
                <w:color w:val="000000"/>
              </w:rPr>
            </w:pPr>
          </w:p>
        </w:tc>
      </w:tr>
      <w:tr w:rsidRPr="00A41630" w:rsidR="0085235B" w:rsidTr="0085235B" w14:paraId="7CD32B54" w14:textId="77777777">
        <w:trPr>
          <w:trHeight w:val="320"/>
        </w:trPr>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1C12307C" w14:textId="77777777">
            <w:pPr>
              <w:rPr>
                <w:color w:val="000000"/>
              </w:rPr>
            </w:pPr>
            <w:r w:rsidRPr="00A41630">
              <w:rPr>
                <w:color w:val="000000"/>
              </w:rPr>
              <w:t>Fear</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8B10C4" w:rsidR="0085235B" w:rsidP="0085235B" w:rsidRDefault="0085235B" w14:paraId="00DAC557" w14:textId="68CB0F5E">
            <w:pPr>
              <w:jc w:val="center"/>
              <w:rPr>
                <w:color w:val="44546A" w:themeColor="text2"/>
                <w:highlight w:val="yellow"/>
              </w:rPr>
            </w:pPr>
            <w:r w:rsidRPr="008B10C4">
              <w:rPr>
                <w:color w:val="44546A" w:themeColor="text2"/>
                <w:highlight w:val="yellow"/>
              </w:rPr>
              <w:t>0.51</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63D1483C" w14:textId="14EA3BBF">
            <w:pPr>
              <w:jc w:val="center"/>
              <w:rPr>
                <w:color w:val="000000"/>
              </w:rPr>
            </w:pPr>
            <w:r w:rsidRPr="00A41630">
              <w:rPr>
                <w:color w:val="000000"/>
              </w:rPr>
              <w:t>-0.02</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6ECD1763" w14:textId="6559C5DE">
            <w:pPr>
              <w:jc w:val="center"/>
              <w:rPr>
                <w:color w:val="000000"/>
              </w:rPr>
            </w:pPr>
            <w:r w:rsidRPr="00A41630">
              <w:rPr>
                <w:color w:val="000000"/>
              </w:rPr>
              <w:t>-0.13</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8B10C4" w:rsidR="0085235B" w:rsidP="0085235B" w:rsidRDefault="0085235B" w14:paraId="4D07245B" w14:textId="0A8ABB48">
            <w:pPr>
              <w:jc w:val="center"/>
              <w:rPr>
                <w:color w:val="000000"/>
                <w:highlight w:val="yellow"/>
              </w:rPr>
            </w:pPr>
            <w:r w:rsidRPr="008B10C4">
              <w:rPr>
                <w:color w:val="000000"/>
                <w:highlight w:val="yellow"/>
              </w:rPr>
              <w:t>0.24</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8B10C4" w:rsidR="0085235B" w:rsidP="0085235B" w:rsidRDefault="0085235B" w14:paraId="260A8669" w14:textId="46131CEC">
            <w:pPr>
              <w:jc w:val="center"/>
              <w:rPr>
                <w:color w:val="000000"/>
                <w:highlight w:val="yellow"/>
              </w:rPr>
            </w:pPr>
            <w:r w:rsidRPr="008B10C4">
              <w:rPr>
                <w:color w:val="000000"/>
                <w:highlight w:val="yellow"/>
              </w:rPr>
              <w:t>-0.63</w:t>
            </w:r>
          </w:p>
        </w:tc>
      </w:tr>
      <w:tr w:rsidRPr="00A41630" w:rsidR="0085235B" w:rsidTr="0085235B" w14:paraId="62C6F62C" w14:textId="77777777">
        <w:trPr>
          <w:trHeight w:val="320"/>
        </w:trPr>
        <w:tc>
          <w:tcPr>
            <w:tcW w:w="0" w:type="auto"/>
            <w:gridSpan w:val="6"/>
            <w:tcBorders>
              <w:top w:val="single" w:color="auto" w:sz="4" w:space="0"/>
              <w:left w:val="nil"/>
              <w:bottom w:val="single" w:color="auto" w:sz="4" w:space="0"/>
              <w:right w:val="nil"/>
            </w:tcBorders>
            <w:shd w:val="clear" w:color="auto" w:fill="D9D9D9" w:themeFill="background1" w:themeFillShade="D9"/>
            <w:noWrap/>
            <w:tcMar>
              <w:top w:w="15" w:type="dxa"/>
              <w:left w:w="15" w:type="dxa"/>
              <w:bottom w:w="0" w:type="dxa"/>
              <w:right w:w="15" w:type="dxa"/>
            </w:tcMar>
            <w:vAlign w:val="bottom"/>
            <w:hideMark/>
          </w:tcPr>
          <w:p w:rsidRPr="00A41630" w:rsidR="0085235B" w:rsidP="0085235B" w:rsidRDefault="0085235B" w14:paraId="7E963046" w14:textId="6E88171F">
            <w:pPr>
              <w:jc w:val="center"/>
              <w:rPr>
                <w:b/>
                <w:bCs/>
              </w:rPr>
            </w:pPr>
            <w:r w:rsidRPr="00A41630">
              <w:rPr>
                <w:b/>
                <w:bCs/>
                <w:color w:val="000000"/>
              </w:rPr>
              <w:t>Social</w:t>
            </w:r>
          </w:p>
        </w:tc>
      </w:tr>
      <w:tr w:rsidRPr="00A41630" w:rsidR="0085235B" w:rsidTr="0085235B" w14:paraId="02A94AF5" w14:textId="77777777">
        <w:trPr>
          <w:trHeight w:val="320"/>
        </w:trPr>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05DEE2DC" w14:textId="19E70C2A">
            <w:pPr>
              <w:rPr>
                <w:color w:val="000000"/>
              </w:rPr>
            </w:pPr>
            <w:r w:rsidRPr="00A41630">
              <w:rPr>
                <w:color w:val="000000"/>
              </w:rPr>
              <w:t>Skin Conductance</w:t>
            </w: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52B1C279" w14:textId="23D8CF82">
            <w:pPr>
              <w:jc w:val="center"/>
              <w:rPr>
                <w:color w:val="000000"/>
              </w:rPr>
            </w:pPr>
            <w:r w:rsidRPr="00A41630">
              <w:rPr>
                <w:color w:val="000000"/>
              </w:rPr>
              <w:t>-0.06</w:t>
            </w: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087E90C6" w14:textId="77777777">
            <w:pPr>
              <w:jc w:val="center"/>
              <w:rPr>
                <w:color w:val="000000"/>
              </w:rPr>
            </w:pP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7A84B638" w14:textId="77777777">
            <w:pPr>
              <w:jc w:val="center"/>
            </w:pP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504F8EAF" w14:textId="77777777">
            <w:pPr>
              <w:jc w:val="center"/>
            </w:pP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85235B" w:rsidP="0085235B" w:rsidRDefault="0085235B" w14:paraId="1721B1A8" w14:textId="77777777">
            <w:pPr>
              <w:jc w:val="center"/>
            </w:pPr>
          </w:p>
        </w:tc>
      </w:tr>
      <w:tr w:rsidRPr="00A41630" w:rsidR="00A41630" w:rsidTr="0085235B" w14:paraId="07CEC423" w14:textId="77777777">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33AD5313" w14:textId="77777777">
            <w:pPr>
              <w:rPr>
                <w:color w:val="000000"/>
              </w:rPr>
            </w:pPr>
            <w:r w:rsidRPr="00A41630">
              <w:rPr>
                <w:color w:val="000000"/>
              </w:rPr>
              <w:t>Heart Period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B58D0FB" w14:textId="6435A280">
            <w:pPr>
              <w:jc w:val="center"/>
              <w:rPr>
                <w:color w:val="000000"/>
              </w:rPr>
            </w:pPr>
            <w:r w:rsidRPr="00A41630">
              <w:rPr>
                <w:color w:val="000000"/>
              </w:rPr>
              <w:t>-0.08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3955E5D5" w14:textId="01506F33">
            <w:pPr>
              <w:jc w:val="center"/>
              <w:rPr>
                <w:color w:val="000000"/>
              </w:rPr>
            </w:pPr>
            <w:r w:rsidRPr="00A41630">
              <w:rPr>
                <w:color w:val="000000"/>
              </w:rPr>
              <w:t>-0.17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2F5EDC25" w14:textId="77777777">
            <w:pPr>
              <w:jc w:val="center"/>
              <w:rPr>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65304105" w14:textId="77777777">
            <w:pPr>
              <w:jc w:val="cente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073B44E5" w14:textId="77777777">
            <w:pPr>
              <w:jc w:val="center"/>
            </w:pPr>
          </w:p>
        </w:tc>
      </w:tr>
      <w:tr w:rsidRPr="00A41630" w:rsidR="00A41630" w:rsidTr="0085235B" w14:paraId="5DC071AB" w14:textId="77777777">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22471602" w14:textId="77777777">
            <w:pPr>
              <w:rPr>
                <w:color w:val="000000"/>
              </w:rPr>
            </w:pPr>
            <w:r w:rsidRPr="00A41630">
              <w:rPr>
                <w:color w:val="000000"/>
              </w:rPr>
              <w:t>Arousal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C241369" w14:textId="5DC23CD5">
            <w:pPr>
              <w:jc w:val="center"/>
              <w:rPr>
                <w:color w:val="000000"/>
              </w:rPr>
            </w:pPr>
            <w:r w:rsidRPr="00A41630">
              <w:rPr>
                <w:color w:val="000000"/>
              </w:rPr>
              <w:t>0.08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2F095DF7" w14:textId="337E0150">
            <w:pPr>
              <w:jc w:val="center"/>
              <w:rPr>
                <w:color w:val="000000"/>
              </w:rPr>
            </w:pPr>
            <w:r w:rsidRPr="00A41630">
              <w:rPr>
                <w:color w:val="000000"/>
              </w:rPr>
              <w:t>-0.02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56696C3" w14:textId="75CB5F86">
            <w:pPr>
              <w:jc w:val="center"/>
              <w:rPr>
                <w:color w:val="000000"/>
              </w:rPr>
            </w:pPr>
            <w:r w:rsidRPr="00A41630">
              <w:rPr>
                <w:color w:val="000000"/>
              </w:rPr>
              <w:t>0.07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BB27C00" w14:textId="77777777">
            <w:pPr>
              <w:jc w:val="center"/>
              <w:rPr>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294BD894" w14:textId="77777777">
            <w:pPr>
              <w:jc w:val="center"/>
            </w:pPr>
          </w:p>
        </w:tc>
      </w:tr>
      <w:tr w:rsidRPr="00A41630" w:rsidR="00A41630" w:rsidTr="0085235B" w14:paraId="0937D66E" w14:textId="77777777">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3AD58709" w14:textId="77777777">
            <w:pPr>
              <w:rPr>
                <w:color w:val="000000"/>
              </w:rPr>
            </w:pPr>
            <w:r w:rsidRPr="00A41630">
              <w:rPr>
                <w:color w:val="000000"/>
              </w:rPr>
              <w:t>Valence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8B10C4" w:rsidR="00A41630" w:rsidP="00A41630" w:rsidRDefault="00A41630" w14:paraId="2CAA3CE9" w14:textId="6B57B57E">
            <w:pPr>
              <w:jc w:val="center"/>
              <w:rPr>
                <w:color w:val="000000"/>
                <w:highlight w:val="yellow"/>
              </w:rPr>
            </w:pPr>
            <w:r w:rsidRPr="008B10C4">
              <w:rPr>
                <w:color w:val="000000"/>
                <w:highlight w:val="yellow"/>
              </w:rPr>
              <w:t>-0.39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9EF8BEA" w14:textId="52480AD3">
            <w:pPr>
              <w:jc w:val="center"/>
              <w:rPr>
                <w:color w:val="000000"/>
              </w:rPr>
            </w:pPr>
            <w:r w:rsidRPr="00A41630">
              <w:rPr>
                <w:color w:val="000000"/>
              </w:rPr>
              <w:t>0.16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5D75E9C" w14:textId="62D04147">
            <w:pPr>
              <w:jc w:val="center"/>
              <w:rPr>
                <w:color w:val="000000"/>
              </w:rPr>
            </w:pPr>
            <w:r w:rsidRPr="00A41630">
              <w:rPr>
                <w:color w:val="000000"/>
              </w:rPr>
              <w:t>0.02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02554EE8" w14:textId="644B69DE">
            <w:pPr>
              <w:jc w:val="center"/>
              <w:rPr>
                <w:color w:val="000000"/>
              </w:rPr>
            </w:pPr>
            <w:r w:rsidRPr="00A41630">
              <w:rPr>
                <w:color w:val="000000"/>
              </w:rPr>
              <w:t>-0.03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DC0D1A8" w14:textId="77777777">
            <w:pPr>
              <w:jc w:val="center"/>
              <w:rPr>
                <w:color w:val="000000"/>
              </w:rPr>
            </w:pPr>
          </w:p>
        </w:tc>
      </w:tr>
      <w:tr w:rsidRPr="00A41630" w:rsidR="00A41630" w:rsidTr="0085235B" w14:paraId="651AF856" w14:textId="77777777">
        <w:trPr>
          <w:trHeight w:val="320"/>
        </w:trPr>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3E29ED83" w14:textId="77777777">
            <w:pPr>
              <w:rPr>
                <w:color w:val="000000"/>
              </w:rPr>
            </w:pPr>
            <w:r w:rsidRPr="00A41630">
              <w:rPr>
                <w:color w:val="000000"/>
              </w:rPr>
              <w:t>Fear</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8B10C4" w:rsidR="00A41630" w:rsidP="00A41630" w:rsidRDefault="00A41630" w14:paraId="6989933A" w14:textId="3FF3D8E2">
            <w:pPr>
              <w:jc w:val="center"/>
              <w:rPr>
                <w:color w:val="000000"/>
                <w:highlight w:val="yellow"/>
              </w:rPr>
            </w:pPr>
            <w:r w:rsidRPr="008B10C4">
              <w:rPr>
                <w:color w:val="000000"/>
                <w:highlight w:val="yellow"/>
              </w:rPr>
              <w:t>0.49</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5DE213B3" w14:textId="58070782">
            <w:pPr>
              <w:jc w:val="center"/>
              <w:rPr>
                <w:color w:val="000000"/>
              </w:rPr>
            </w:pPr>
            <w:r w:rsidRPr="00A41630">
              <w:rPr>
                <w:color w:val="000000"/>
              </w:rPr>
              <w:t>-0.02</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451AAEFE" w14:textId="45005BE9">
            <w:pPr>
              <w:jc w:val="center"/>
              <w:rPr>
                <w:color w:val="000000"/>
              </w:rPr>
            </w:pPr>
            <w:r w:rsidRPr="00A41630">
              <w:rPr>
                <w:color w:val="000000"/>
              </w:rPr>
              <w:t>-0.05</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8B10C4" w:rsidR="00A41630" w:rsidP="00A41630" w:rsidRDefault="00A41630" w14:paraId="2BB80E82" w14:textId="16A45D5C">
            <w:pPr>
              <w:jc w:val="center"/>
              <w:rPr>
                <w:color w:val="000000"/>
                <w:highlight w:val="yellow"/>
              </w:rPr>
            </w:pPr>
            <w:r w:rsidRPr="008B10C4">
              <w:rPr>
                <w:color w:val="000000"/>
                <w:highlight w:val="yellow"/>
              </w:rPr>
              <w:t>0.38</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8B10C4" w:rsidR="00A41630" w:rsidP="00A41630" w:rsidRDefault="00A41630" w14:paraId="4F114899" w14:textId="77777777">
            <w:pPr>
              <w:jc w:val="center"/>
              <w:rPr>
                <w:color w:val="000000"/>
                <w:highlight w:val="yellow"/>
              </w:rPr>
            </w:pPr>
            <w:r w:rsidRPr="008B10C4">
              <w:rPr>
                <w:color w:val="000000"/>
                <w:highlight w:val="yellow"/>
              </w:rPr>
              <w:t>-0.37</w:t>
            </w:r>
          </w:p>
        </w:tc>
      </w:tr>
      <w:tr w:rsidRPr="00A41630" w:rsidR="0085235B" w:rsidTr="0085235B" w14:paraId="5B51871D" w14:textId="77777777">
        <w:trPr>
          <w:trHeight w:val="320"/>
        </w:trPr>
        <w:tc>
          <w:tcPr>
            <w:tcW w:w="0" w:type="auto"/>
            <w:gridSpan w:val="6"/>
            <w:tcBorders>
              <w:top w:val="single" w:color="auto" w:sz="4" w:space="0"/>
              <w:left w:val="nil"/>
              <w:bottom w:val="single" w:color="auto" w:sz="4" w:space="0"/>
              <w:right w:val="nil"/>
            </w:tcBorders>
            <w:shd w:val="clear" w:color="auto" w:fill="D9D9D9" w:themeFill="background1" w:themeFillShade="D9"/>
            <w:noWrap/>
            <w:tcMar>
              <w:top w:w="15" w:type="dxa"/>
              <w:left w:w="15" w:type="dxa"/>
              <w:bottom w:w="0" w:type="dxa"/>
              <w:right w:w="15" w:type="dxa"/>
            </w:tcMar>
            <w:vAlign w:val="bottom"/>
            <w:hideMark/>
          </w:tcPr>
          <w:p w:rsidRPr="00A41630" w:rsidR="0085235B" w:rsidP="0085235B" w:rsidRDefault="0085235B" w14:paraId="17BD7C2D" w14:textId="443241C3">
            <w:pPr>
              <w:jc w:val="center"/>
              <w:rPr>
                <w:b/>
                <w:bCs/>
              </w:rPr>
            </w:pPr>
            <w:r w:rsidRPr="00A41630">
              <w:rPr>
                <w:b/>
                <w:bCs/>
                <w:color w:val="000000"/>
              </w:rPr>
              <w:t>Spider</w:t>
            </w:r>
          </w:p>
        </w:tc>
      </w:tr>
      <w:tr w:rsidRPr="00A41630" w:rsidR="00A41630" w:rsidTr="0085235B" w14:paraId="7BD1C911" w14:textId="77777777">
        <w:trPr>
          <w:trHeight w:val="320"/>
        </w:trPr>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61B94949" w14:textId="25F0C431">
            <w:pPr>
              <w:rPr>
                <w:color w:val="000000"/>
              </w:rPr>
            </w:pPr>
            <w:r w:rsidRPr="00A41630">
              <w:rPr>
                <w:color w:val="000000"/>
              </w:rPr>
              <w:t xml:space="preserve">Skin Conductance </w:t>
            </w: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C3D68FD" w14:textId="099559ED">
            <w:pPr>
              <w:jc w:val="center"/>
              <w:rPr>
                <w:color w:val="000000"/>
              </w:rPr>
            </w:pPr>
            <w:r w:rsidRPr="00A41630">
              <w:rPr>
                <w:color w:val="000000"/>
              </w:rPr>
              <w:t>0.26</w:t>
            </w: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7AF161DC" w14:textId="77777777">
            <w:pPr>
              <w:jc w:val="center"/>
              <w:rPr>
                <w:color w:val="000000"/>
              </w:rPr>
            </w:pP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9443EB8" w14:textId="77777777">
            <w:pPr>
              <w:jc w:val="center"/>
            </w:pP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6A26CDD1" w14:textId="77777777">
            <w:pPr>
              <w:jc w:val="center"/>
            </w:pP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6DB2B4DF" w14:textId="77777777">
            <w:pPr>
              <w:jc w:val="center"/>
            </w:pPr>
          </w:p>
        </w:tc>
      </w:tr>
      <w:tr w:rsidRPr="00A41630" w:rsidR="00A41630" w:rsidTr="0085235B" w14:paraId="640DC548" w14:textId="77777777">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3A1B8D55" w14:textId="77777777">
            <w:pPr>
              <w:rPr>
                <w:color w:val="000000"/>
              </w:rPr>
            </w:pPr>
            <w:r w:rsidRPr="00A41630">
              <w:rPr>
                <w:color w:val="000000"/>
              </w:rPr>
              <w:t>Heart Period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4E09CEF8" w14:textId="555E02D7">
            <w:pPr>
              <w:jc w:val="center"/>
              <w:rPr>
                <w:color w:val="000000"/>
              </w:rPr>
            </w:pPr>
            <w:r w:rsidRPr="00A41630">
              <w:rPr>
                <w:color w:val="000000"/>
              </w:rPr>
              <w:t>-0.16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6955D8CF" w14:textId="534C10FB">
            <w:pPr>
              <w:jc w:val="center"/>
              <w:rPr>
                <w:color w:val="000000"/>
              </w:rPr>
            </w:pPr>
            <w:r w:rsidRPr="00A41630">
              <w:rPr>
                <w:color w:val="000000"/>
              </w:rPr>
              <w:t>-0.24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D6B5970" w14:textId="77777777">
            <w:pPr>
              <w:jc w:val="center"/>
              <w:rPr>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3A52E82B" w14:textId="77777777">
            <w:pPr>
              <w:jc w:val="cente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9A1823B" w14:textId="77777777">
            <w:pPr>
              <w:jc w:val="center"/>
            </w:pPr>
          </w:p>
        </w:tc>
      </w:tr>
      <w:tr w:rsidRPr="00A41630" w:rsidR="00A41630" w:rsidTr="0085235B" w14:paraId="18E54AE0" w14:textId="77777777">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7F564FAB" w14:textId="77777777">
            <w:pPr>
              <w:rPr>
                <w:color w:val="000000"/>
              </w:rPr>
            </w:pPr>
            <w:r w:rsidRPr="00A41630">
              <w:rPr>
                <w:color w:val="000000"/>
              </w:rPr>
              <w:t>Arousal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2D3B3E45" w14:textId="1676FF10">
            <w:pPr>
              <w:jc w:val="center"/>
              <w:rPr>
                <w:color w:val="000000"/>
              </w:rPr>
            </w:pPr>
            <w:r w:rsidRPr="00A41630">
              <w:rPr>
                <w:color w:val="000000"/>
              </w:rPr>
              <w:t>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54D0AD50" w14:textId="78D1E022">
            <w:pPr>
              <w:jc w:val="center"/>
              <w:rPr>
                <w:color w:val="000000"/>
              </w:rPr>
            </w:pPr>
            <w:r w:rsidRPr="00A41630">
              <w:rPr>
                <w:color w:val="000000"/>
              </w:rPr>
              <w:t>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6495C481" w14:textId="055202A0">
            <w:pPr>
              <w:jc w:val="center"/>
              <w:rPr>
                <w:color w:val="000000"/>
              </w:rPr>
            </w:pPr>
            <w:r w:rsidRPr="00A41630">
              <w:rPr>
                <w:color w:val="000000"/>
              </w:rPr>
              <w:t>-0.06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60A07F06" w14:textId="77777777">
            <w:pPr>
              <w:jc w:val="center"/>
              <w:rPr>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0835F42E" w14:textId="77777777">
            <w:pPr>
              <w:jc w:val="center"/>
            </w:pPr>
          </w:p>
        </w:tc>
      </w:tr>
      <w:tr w:rsidRPr="00A41630" w:rsidR="00A41630" w:rsidTr="0085235B" w14:paraId="62515245" w14:textId="77777777">
        <w:trPr>
          <w:trHeight w:val="320"/>
        </w:trPr>
        <w:tc>
          <w:tcPr>
            <w:tcW w:w="0" w:type="auto"/>
            <w:tcBorders>
              <w:top w:val="nil"/>
              <w:left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2F7635C3" w14:textId="77777777">
            <w:pPr>
              <w:rPr>
                <w:color w:val="000000"/>
              </w:rPr>
            </w:pPr>
            <w:r w:rsidRPr="00A41630">
              <w:rPr>
                <w:color w:val="000000"/>
              </w:rPr>
              <w:t>Valence</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rsidRPr="008B10C4" w:rsidR="00A41630" w:rsidP="00A41630" w:rsidRDefault="00A41630" w14:paraId="64F95121" w14:textId="6FF1E6E6">
            <w:pPr>
              <w:jc w:val="center"/>
              <w:rPr>
                <w:color w:val="000000"/>
                <w:highlight w:val="yellow"/>
              </w:rPr>
            </w:pPr>
            <w:r w:rsidRPr="008B10C4">
              <w:rPr>
                <w:color w:val="000000"/>
                <w:highlight w:val="yellow"/>
              </w:rPr>
              <w:t>-0.36</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4BAA5048" w14:textId="0DE3E321">
            <w:pPr>
              <w:jc w:val="center"/>
              <w:rPr>
                <w:color w:val="000000"/>
              </w:rPr>
            </w:pPr>
            <w:r w:rsidRPr="00A41630">
              <w:rPr>
                <w:color w:val="000000"/>
              </w:rPr>
              <w:t>-0.25</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5FD6A635" w14:textId="221058F4">
            <w:pPr>
              <w:jc w:val="center"/>
              <w:rPr>
                <w:color w:val="000000"/>
              </w:rPr>
            </w:pPr>
            <w:r w:rsidRPr="00A41630">
              <w:rPr>
                <w:color w:val="000000"/>
              </w:rPr>
              <w:t>0.16</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48B3271B" w14:textId="502FE398">
            <w:pPr>
              <w:jc w:val="center"/>
              <w:rPr>
                <w:color w:val="000000"/>
              </w:rPr>
            </w:pPr>
            <w:r w:rsidRPr="00A41630">
              <w:rPr>
                <w:color w:val="000000"/>
              </w:rPr>
              <w:t>-0.24</w:t>
            </w:r>
          </w:p>
        </w:tc>
        <w:tc>
          <w:tcPr>
            <w:tcW w:w="0" w:type="auto"/>
            <w:tcBorders>
              <w:top w:val="nil"/>
              <w:left w:val="nil"/>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1BF00736" w14:textId="77777777">
            <w:pPr>
              <w:jc w:val="center"/>
              <w:rPr>
                <w:color w:val="000000"/>
              </w:rPr>
            </w:pPr>
          </w:p>
        </w:tc>
      </w:tr>
      <w:tr w:rsidRPr="00A41630" w:rsidR="00A41630" w:rsidTr="0085235B" w14:paraId="740E324B" w14:textId="77777777">
        <w:trPr>
          <w:trHeight w:val="320"/>
        </w:trPr>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64CE0EFC" w14:textId="77777777">
            <w:pPr>
              <w:rPr>
                <w:color w:val="000000"/>
              </w:rPr>
            </w:pPr>
            <w:r w:rsidRPr="00A41630">
              <w:rPr>
                <w:color w:val="000000"/>
              </w:rPr>
              <w:t>Fear</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8B10C4" w:rsidR="00A41630" w:rsidP="00A41630" w:rsidRDefault="00A41630" w14:paraId="5021C54B" w14:textId="1D353092">
            <w:pPr>
              <w:jc w:val="center"/>
              <w:rPr>
                <w:color w:val="000000"/>
                <w:highlight w:val="yellow"/>
              </w:rPr>
            </w:pPr>
            <w:r w:rsidRPr="008B10C4">
              <w:rPr>
                <w:color w:val="000000"/>
                <w:highlight w:val="yellow"/>
              </w:rPr>
              <w:t>0.57</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3A9AAFBA" w14:textId="12EE6E61">
            <w:pPr>
              <w:jc w:val="center"/>
              <w:rPr>
                <w:color w:val="000000"/>
              </w:rPr>
            </w:pPr>
            <w:r w:rsidRPr="00A41630">
              <w:rPr>
                <w:color w:val="000000"/>
              </w:rPr>
              <w:t>0.28</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A41630" w:rsidR="00A41630" w:rsidP="00A41630" w:rsidRDefault="00A41630" w14:paraId="5B545879" w14:textId="45C1E6B7">
            <w:pPr>
              <w:jc w:val="center"/>
              <w:rPr>
                <w:color w:val="000000"/>
              </w:rPr>
            </w:pPr>
            <w:r w:rsidRPr="00A41630">
              <w:rPr>
                <w:color w:val="000000"/>
              </w:rPr>
              <w:t>-0.19</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8B10C4" w:rsidR="00A41630" w:rsidP="00A41630" w:rsidRDefault="00A41630" w14:paraId="4DD2F4FF" w14:textId="711EE633">
            <w:pPr>
              <w:jc w:val="center"/>
              <w:rPr>
                <w:color w:val="000000"/>
                <w:highlight w:val="yellow"/>
              </w:rPr>
            </w:pPr>
            <w:r w:rsidRPr="008B10C4">
              <w:rPr>
                <w:color w:val="000000"/>
                <w:highlight w:val="yellow"/>
              </w:rPr>
              <w:t>0.53</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hideMark/>
          </w:tcPr>
          <w:p w:rsidRPr="008B10C4" w:rsidR="00A41630" w:rsidP="00A41630" w:rsidRDefault="00A41630" w14:paraId="310DA8B7" w14:textId="77777777">
            <w:pPr>
              <w:jc w:val="center"/>
              <w:rPr>
                <w:color w:val="000000"/>
                <w:highlight w:val="yellow"/>
              </w:rPr>
            </w:pPr>
            <w:r w:rsidRPr="008B10C4">
              <w:rPr>
                <w:color w:val="000000"/>
                <w:highlight w:val="yellow"/>
              </w:rPr>
              <w:t>-0.66</w:t>
            </w:r>
          </w:p>
        </w:tc>
      </w:tr>
    </w:tbl>
    <w:p w:rsidRPr="00A41630" w:rsidR="00A260E8" w:rsidP="009441CB" w:rsidRDefault="00A260E8" w14:paraId="3714AE40" w14:textId="77777777">
      <w:pPr>
        <w:rPr>
          <w:b/>
          <w:bCs/>
        </w:rPr>
      </w:pPr>
    </w:p>
    <w:p w:rsidRPr="00A41630" w:rsidR="001F0711" w:rsidP="001F0711" w:rsidRDefault="001F0711" w14:paraId="1D8A8311" w14:textId="6D9B95A0">
      <w:r w:rsidRPr="00A41630">
        <w:rPr>
          <w:b/>
          <w:bCs/>
        </w:rPr>
        <w:t xml:space="preserve">Table </w:t>
      </w:r>
      <w:r>
        <w:rPr>
          <w:b/>
          <w:bCs/>
        </w:rPr>
        <w:t>2</w:t>
      </w:r>
      <w:r w:rsidRPr="00A41630">
        <w:rPr>
          <w:b/>
          <w:bCs/>
        </w:rPr>
        <w:t xml:space="preserve">. </w:t>
      </w:r>
      <w:r>
        <w:rPr>
          <w:b/>
          <w:bCs/>
        </w:rPr>
        <w:t>Multilevel Model Predicting Fear</w:t>
      </w:r>
    </w:p>
    <w:tbl>
      <w:tblPr>
        <w:tblW w:w="5684" w:type="dxa"/>
        <w:tblCellMar>
          <w:left w:w="0" w:type="dxa"/>
          <w:right w:w="0" w:type="dxa"/>
        </w:tblCellMar>
        <w:tblLook w:val="04A0" w:firstRow="1" w:lastRow="0" w:firstColumn="1" w:lastColumn="0" w:noHBand="0" w:noVBand="1"/>
      </w:tblPr>
      <w:tblGrid>
        <w:gridCol w:w="1784"/>
        <w:gridCol w:w="1300"/>
        <w:gridCol w:w="1300"/>
        <w:gridCol w:w="1300"/>
      </w:tblGrid>
      <w:tr w:rsidRPr="00A41630" w:rsidR="001F0711" w:rsidTr="001B2041" w14:paraId="312C7937" w14:textId="57C9FC71">
        <w:trPr>
          <w:trHeight w:val="320"/>
        </w:trPr>
        <w:tc>
          <w:tcPr>
            <w:tcW w:w="1784" w:type="dxa"/>
            <w:tcBorders>
              <w:top w:val="single" w:color="auto" w:sz="4" w:space="0"/>
              <w:left w:val="nil"/>
              <w:bottom w:val="single" w:color="auto" w:sz="4" w:space="0"/>
              <w:right w:val="nil"/>
            </w:tcBorders>
            <w:shd w:val="clear" w:color="auto" w:fill="BFBFBF" w:themeFill="background1" w:themeFillShade="BF"/>
            <w:noWrap/>
            <w:tcMar>
              <w:top w:w="15" w:type="dxa"/>
              <w:left w:w="15" w:type="dxa"/>
              <w:bottom w:w="0" w:type="dxa"/>
              <w:right w:w="15" w:type="dxa"/>
            </w:tcMar>
            <w:vAlign w:val="bottom"/>
            <w:hideMark/>
          </w:tcPr>
          <w:p w:rsidRPr="00A41630" w:rsidR="001F0711" w:rsidP="001F0711" w:rsidRDefault="001F0711" w14:paraId="65D2DBD2" w14:textId="77777777"/>
        </w:tc>
        <w:tc>
          <w:tcPr>
            <w:tcW w:w="1300" w:type="dxa"/>
            <w:tcBorders>
              <w:top w:val="single" w:color="auto" w:sz="4" w:space="0"/>
              <w:left w:val="nil"/>
              <w:bottom w:val="single" w:color="auto" w:sz="4" w:space="0"/>
              <w:right w:val="nil"/>
            </w:tcBorders>
            <w:shd w:val="clear" w:color="auto" w:fill="BFBFBF" w:themeFill="background1" w:themeFillShade="BF"/>
            <w:noWrap/>
            <w:tcMar>
              <w:top w:w="15" w:type="dxa"/>
              <w:left w:w="15" w:type="dxa"/>
              <w:bottom w:w="0" w:type="dxa"/>
              <w:right w:w="15" w:type="dxa"/>
            </w:tcMar>
            <w:vAlign w:val="center"/>
            <w:hideMark/>
          </w:tcPr>
          <w:p w:rsidRPr="00A41630" w:rsidR="001F0711" w:rsidP="001B2041" w:rsidRDefault="001B2041" w14:paraId="6547ED6A" w14:textId="076CDB48">
            <w:pPr>
              <w:jc w:val="center"/>
              <w:rPr>
                <w:b/>
                <w:bCs/>
                <w:color w:val="000000"/>
              </w:rPr>
            </w:pPr>
            <w:r>
              <w:rPr>
                <w:b/>
                <w:bCs/>
                <w:color w:val="000000"/>
              </w:rPr>
              <w:t>Heights</w:t>
            </w:r>
          </w:p>
        </w:tc>
        <w:tc>
          <w:tcPr>
            <w:tcW w:w="1300" w:type="dxa"/>
            <w:tcBorders>
              <w:top w:val="single" w:color="auto" w:sz="4" w:space="0"/>
              <w:left w:val="nil"/>
              <w:bottom w:val="single" w:color="auto" w:sz="4" w:space="0"/>
              <w:right w:val="nil"/>
            </w:tcBorders>
            <w:shd w:val="clear" w:color="auto" w:fill="BFBFBF" w:themeFill="background1" w:themeFillShade="BF"/>
            <w:vAlign w:val="center"/>
          </w:tcPr>
          <w:p w:rsidRPr="00A41630" w:rsidR="001F0711" w:rsidP="001B2041" w:rsidRDefault="001B2041" w14:paraId="0181DC6A" w14:textId="6C470F60">
            <w:pPr>
              <w:jc w:val="center"/>
              <w:rPr>
                <w:b/>
                <w:bCs/>
                <w:color w:val="000000"/>
              </w:rPr>
            </w:pPr>
            <w:r>
              <w:rPr>
                <w:b/>
                <w:bCs/>
                <w:color w:val="000000"/>
              </w:rPr>
              <w:t>Social</w:t>
            </w:r>
          </w:p>
        </w:tc>
        <w:tc>
          <w:tcPr>
            <w:tcW w:w="1300" w:type="dxa"/>
            <w:tcBorders>
              <w:top w:val="single" w:color="auto" w:sz="4" w:space="0"/>
              <w:left w:val="nil"/>
              <w:bottom w:val="single" w:color="auto" w:sz="4" w:space="0"/>
              <w:right w:val="nil"/>
            </w:tcBorders>
            <w:shd w:val="clear" w:color="auto" w:fill="BFBFBF" w:themeFill="background1" w:themeFillShade="BF"/>
            <w:vAlign w:val="center"/>
          </w:tcPr>
          <w:p w:rsidRPr="00A41630" w:rsidR="001F0711" w:rsidP="001B2041" w:rsidRDefault="001F0711" w14:paraId="5F502BBC" w14:textId="0BCA18B9">
            <w:pPr>
              <w:jc w:val="center"/>
              <w:rPr>
                <w:b/>
                <w:bCs/>
                <w:color w:val="000000"/>
              </w:rPr>
            </w:pPr>
            <w:r>
              <w:rPr>
                <w:b/>
                <w:bCs/>
                <w:color w:val="000000"/>
              </w:rPr>
              <w:t>Spiders</w:t>
            </w:r>
          </w:p>
        </w:tc>
      </w:tr>
      <w:tr w:rsidRPr="00A41630" w:rsidR="001F0711" w:rsidTr="001B2041" w14:paraId="7176A04D" w14:textId="71E33A08">
        <w:trPr>
          <w:trHeight w:val="320"/>
        </w:trPr>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bottom"/>
            <w:hideMark/>
          </w:tcPr>
          <w:p w:rsidRPr="00A41630" w:rsidR="001F0711" w:rsidP="001F0711" w:rsidRDefault="001F0711" w14:paraId="252F6906" w14:textId="373C9512">
            <w:pPr>
              <w:rPr>
                <w:color w:val="000000"/>
              </w:rPr>
            </w:pPr>
            <w:r>
              <w:rPr>
                <w:color w:val="000000"/>
              </w:rPr>
              <w:t>Phobia</w:t>
            </w:r>
          </w:p>
        </w:tc>
        <w:tc>
          <w:tcPr>
            <w:tcW w:w="0" w:type="auto"/>
            <w:tcBorders>
              <w:top w:val="single" w:color="auto" w:sz="4" w:space="0"/>
              <w:left w:val="nil"/>
              <w:bottom w:val="nil"/>
              <w:right w:val="nil"/>
            </w:tcBorders>
            <w:shd w:val="clear" w:color="auto" w:fill="auto"/>
            <w:noWrap/>
            <w:tcMar>
              <w:top w:w="15" w:type="dxa"/>
              <w:left w:w="15" w:type="dxa"/>
              <w:bottom w:w="0" w:type="dxa"/>
              <w:right w:w="15" w:type="dxa"/>
            </w:tcMar>
            <w:vAlign w:val="center"/>
            <w:hideMark/>
          </w:tcPr>
          <w:p w:rsidRPr="00632AA3" w:rsidR="001F0711" w:rsidP="001B2041" w:rsidRDefault="001B2041" w14:paraId="26DCD7C2" w14:textId="29D65239">
            <w:pPr>
              <w:jc w:val="center"/>
              <w:rPr>
                <w:b/>
                <w:bCs/>
                <w:color w:val="000000"/>
              </w:rPr>
            </w:pPr>
            <w:r w:rsidRPr="00632AA3">
              <w:rPr>
                <w:b/>
                <w:bCs/>
                <w:color w:val="000000"/>
              </w:rPr>
              <w:t>3</w:t>
            </w:r>
            <w:r w:rsidRPr="00632AA3" w:rsidR="001F0711">
              <w:rPr>
                <w:b/>
                <w:bCs/>
                <w:color w:val="000000"/>
              </w:rPr>
              <w:t>.</w:t>
            </w:r>
            <w:r w:rsidRPr="00632AA3">
              <w:rPr>
                <w:b/>
                <w:bCs/>
                <w:color w:val="000000"/>
              </w:rPr>
              <w:t>35</w:t>
            </w:r>
            <w:r w:rsidRPr="00632AA3" w:rsidR="001F0711">
              <w:rPr>
                <w:b/>
                <w:bCs/>
                <w:color w:val="000000"/>
              </w:rPr>
              <w:t>***</w:t>
            </w:r>
          </w:p>
        </w:tc>
        <w:tc>
          <w:tcPr>
            <w:tcW w:w="0" w:type="auto"/>
            <w:tcBorders>
              <w:top w:val="single" w:color="auto" w:sz="4" w:space="0"/>
              <w:left w:val="nil"/>
              <w:bottom w:val="nil"/>
              <w:right w:val="nil"/>
            </w:tcBorders>
            <w:vAlign w:val="center"/>
          </w:tcPr>
          <w:p w:rsidRPr="00632AA3" w:rsidR="001F0711" w:rsidP="001B2041" w:rsidRDefault="001B2041" w14:paraId="62F80A88" w14:textId="3E9EACE5">
            <w:pPr>
              <w:jc w:val="center"/>
              <w:rPr>
                <w:b/>
                <w:bCs/>
                <w:color w:val="000000"/>
              </w:rPr>
            </w:pPr>
            <w:r w:rsidRPr="00632AA3">
              <w:rPr>
                <w:b/>
                <w:bCs/>
                <w:color w:val="000000"/>
              </w:rPr>
              <w:t>3.92***</w:t>
            </w:r>
          </w:p>
        </w:tc>
        <w:tc>
          <w:tcPr>
            <w:tcW w:w="0" w:type="auto"/>
            <w:tcBorders>
              <w:top w:val="single" w:color="auto" w:sz="4" w:space="0"/>
              <w:left w:val="nil"/>
              <w:bottom w:val="nil"/>
              <w:right w:val="nil"/>
            </w:tcBorders>
            <w:vAlign w:val="center"/>
          </w:tcPr>
          <w:p w:rsidRPr="00632AA3" w:rsidR="001F0711" w:rsidP="001B2041" w:rsidRDefault="001F0711" w14:paraId="2D038511" w14:textId="63231D90">
            <w:pPr>
              <w:jc w:val="center"/>
              <w:rPr>
                <w:b/>
                <w:bCs/>
                <w:color w:val="000000"/>
              </w:rPr>
            </w:pPr>
            <w:r w:rsidRPr="00632AA3">
              <w:rPr>
                <w:b/>
                <w:bCs/>
                <w:color w:val="000000"/>
              </w:rPr>
              <w:t>5.07***</w:t>
            </w:r>
          </w:p>
        </w:tc>
      </w:tr>
      <w:tr w:rsidRPr="00A41630" w:rsidR="001F0711" w:rsidTr="001B2041" w14:paraId="54206446" w14:textId="7BD2AE43">
        <w:trPr>
          <w:trHeight w:val="320"/>
        </w:trPr>
        <w:tc>
          <w:tcPr>
            <w:tcW w:w="0" w:type="auto"/>
            <w:tcBorders>
              <w:top w:val="nil"/>
              <w:left w:val="nil"/>
              <w:bottom w:val="nil"/>
              <w:right w:val="nil"/>
            </w:tcBorders>
            <w:shd w:val="clear" w:color="auto" w:fill="F2F2F2" w:themeFill="background1" w:themeFillShade="F2"/>
            <w:noWrap/>
            <w:tcMar>
              <w:top w:w="15" w:type="dxa"/>
              <w:left w:w="15" w:type="dxa"/>
              <w:bottom w:w="0" w:type="dxa"/>
              <w:right w:w="15" w:type="dxa"/>
            </w:tcMar>
            <w:vAlign w:val="bottom"/>
          </w:tcPr>
          <w:p w:rsidRPr="001B2041" w:rsidR="001F0711" w:rsidP="001F0711" w:rsidRDefault="001F0711" w14:paraId="1E8D0977" w14:textId="418C5835">
            <w:pPr>
              <w:rPr>
                <w:b/>
                <w:bCs/>
                <w:color w:val="000000"/>
              </w:rPr>
            </w:pPr>
            <w:r w:rsidRPr="001B2041">
              <w:rPr>
                <w:b/>
                <w:bCs/>
                <w:color w:val="000000"/>
              </w:rPr>
              <w:t>Within-Person</w:t>
            </w:r>
          </w:p>
        </w:tc>
        <w:tc>
          <w:tcPr>
            <w:tcW w:w="0" w:type="auto"/>
            <w:tcBorders>
              <w:top w:val="nil"/>
              <w:left w:val="nil"/>
              <w:bottom w:val="nil"/>
              <w:right w:val="nil"/>
            </w:tcBorders>
            <w:shd w:val="clear" w:color="auto" w:fill="F2F2F2" w:themeFill="background1" w:themeFillShade="F2"/>
            <w:noWrap/>
            <w:tcMar>
              <w:top w:w="15" w:type="dxa"/>
              <w:left w:w="15" w:type="dxa"/>
              <w:bottom w:w="0" w:type="dxa"/>
              <w:right w:w="15" w:type="dxa"/>
            </w:tcMar>
            <w:vAlign w:val="center"/>
          </w:tcPr>
          <w:p w:rsidRPr="00A41630" w:rsidR="001F0711" w:rsidP="001B2041" w:rsidRDefault="001F0711" w14:paraId="23B0E3D0" w14:textId="77777777">
            <w:pPr>
              <w:jc w:val="center"/>
              <w:rPr>
                <w:color w:val="000000"/>
              </w:rPr>
            </w:pPr>
          </w:p>
        </w:tc>
        <w:tc>
          <w:tcPr>
            <w:tcW w:w="0" w:type="auto"/>
            <w:tcBorders>
              <w:top w:val="nil"/>
              <w:left w:val="nil"/>
              <w:bottom w:val="nil"/>
              <w:right w:val="nil"/>
            </w:tcBorders>
            <w:shd w:val="clear" w:color="auto" w:fill="F2F2F2" w:themeFill="background1" w:themeFillShade="F2"/>
            <w:vAlign w:val="center"/>
          </w:tcPr>
          <w:p w:rsidRPr="00A41630" w:rsidR="001F0711" w:rsidP="001B2041" w:rsidRDefault="001F0711" w14:paraId="31D56B7D" w14:textId="77777777">
            <w:pPr>
              <w:jc w:val="center"/>
              <w:rPr>
                <w:color w:val="000000"/>
              </w:rPr>
            </w:pPr>
          </w:p>
        </w:tc>
        <w:tc>
          <w:tcPr>
            <w:tcW w:w="0" w:type="auto"/>
            <w:tcBorders>
              <w:top w:val="nil"/>
              <w:left w:val="nil"/>
              <w:bottom w:val="nil"/>
              <w:right w:val="nil"/>
            </w:tcBorders>
            <w:shd w:val="clear" w:color="auto" w:fill="F2F2F2" w:themeFill="background1" w:themeFillShade="F2"/>
            <w:vAlign w:val="center"/>
          </w:tcPr>
          <w:p w:rsidRPr="00A41630" w:rsidR="001F0711" w:rsidP="001B2041" w:rsidRDefault="001F0711" w14:paraId="61A769B0" w14:textId="77777777">
            <w:pPr>
              <w:jc w:val="center"/>
              <w:rPr>
                <w:color w:val="000000"/>
              </w:rPr>
            </w:pPr>
          </w:p>
        </w:tc>
      </w:tr>
      <w:tr w:rsidRPr="00A41630" w:rsidR="001F0711" w:rsidTr="001B2041" w14:paraId="02614DD5" w14:textId="74277771">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1F0711" w:rsidP="001F0711" w:rsidRDefault="001F0711" w14:paraId="6EF0A8AD" w14:textId="47CBF59B">
            <w:pPr>
              <w:rPr>
                <w:color w:val="000000"/>
              </w:rPr>
            </w:pPr>
            <w:r>
              <w:rPr>
                <w:color w:val="000000"/>
              </w:rPr>
              <w:t>SCR</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Pr="00632AA3" w:rsidR="001F0711" w:rsidP="001B2041" w:rsidRDefault="001B2041" w14:paraId="2183D4AF" w14:textId="6D8617AA">
            <w:pPr>
              <w:jc w:val="center"/>
              <w:rPr>
                <w:b/>
                <w:bCs/>
                <w:color w:val="000000"/>
              </w:rPr>
            </w:pPr>
            <w:r w:rsidRPr="00632AA3">
              <w:rPr>
                <w:b/>
                <w:bCs/>
                <w:color w:val="000000"/>
              </w:rPr>
              <w:t>3.41</w:t>
            </w:r>
            <w:r w:rsidRPr="00632AA3" w:rsidR="001F0711">
              <w:rPr>
                <w:b/>
                <w:bCs/>
                <w:color w:val="000000"/>
              </w:rPr>
              <w:t>***</w:t>
            </w:r>
          </w:p>
        </w:tc>
        <w:tc>
          <w:tcPr>
            <w:tcW w:w="0" w:type="auto"/>
            <w:tcBorders>
              <w:top w:val="nil"/>
              <w:left w:val="nil"/>
              <w:bottom w:val="nil"/>
              <w:right w:val="nil"/>
            </w:tcBorders>
            <w:vAlign w:val="center"/>
          </w:tcPr>
          <w:p w:rsidR="001F0711" w:rsidP="001B2041" w:rsidRDefault="001B2041" w14:paraId="277D781E" w14:textId="5BB722A1">
            <w:pPr>
              <w:jc w:val="center"/>
              <w:rPr>
                <w:color w:val="000000"/>
              </w:rPr>
            </w:pPr>
            <w:r>
              <w:rPr>
                <w:color w:val="000000"/>
              </w:rPr>
              <w:t>-0.89</w:t>
            </w:r>
          </w:p>
        </w:tc>
        <w:tc>
          <w:tcPr>
            <w:tcW w:w="0" w:type="auto"/>
            <w:tcBorders>
              <w:top w:val="nil"/>
              <w:left w:val="nil"/>
              <w:bottom w:val="nil"/>
              <w:right w:val="nil"/>
            </w:tcBorders>
            <w:vAlign w:val="center"/>
          </w:tcPr>
          <w:p w:rsidR="001F0711" w:rsidP="001B2041" w:rsidRDefault="001F0711" w14:paraId="69E4A6C9" w14:textId="139CFED5">
            <w:pPr>
              <w:jc w:val="center"/>
              <w:rPr>
                <w:color w:val="000000"/>
              </w:rPr>
            </w:pPr>
            <w:r>
              <w:rPr>
                <w:color w:val="000000"/>
              </w:rPr>
              <w:t>-1.46</w:t>
            </w:r>
          </w:p>
        </w:tc>
      </w:tr>
      <w:tr w:rsidRPr="00A41630" w:rsidR="001F0711" w:rsidTr="001B2041" w14:paraId="32182F8B" w14:textId="0544F191">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1F0711" w:rsidP="001F0711" w:rsidRDefault="001F0711" w14:paraId="69F386B2" w14:textId="769A1A51">
            <w:pPr>
              <w:rPr>
                <w:color w:val="000000"/>
              </w:rPr>
            </w:pPr>
            <w:r>
              <w:rPr>
                <w:color w:val="000000"/>
              </w:rPr>
              <w:t>HP</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Pr="00A41630" w:rsidR="001F0711" w:rsidP="001B2041" w:rsidRDefault="001B2041" w14:paraId="3E833BD9" w14:textId="6C99AD16">
            <w:pPr>
              <w:jc w:val="center"/>
              <w:rPr>
                <w:color w:val="000000"/>
              </w:rPr>
            </w:pPr>
            <w:r>
              <w:rPr>
                <w:color w:val="000000"/>
              </w:rPr>
              <w:t>0.76</w:t>
            </w:r>
          </w:p>
        </w:tc>
        <w:tc>
          <w:tcPr>
            <w:tcW w:w="0" w:type="auto"/>
            <w:tcBorders>
              <w:top w:val="nil"/>
              <w:left w:val="nil"/>
              <w:bottom w:val="nil"/>
              <w:right w:val="nil"/>
            </w:tcBorders>
            <w:vAlign w:val="center"/>
          </w:tcPr>
          <w:p w:rsidR="001F0711" w:rsidP="001B2041" w:rsidRDefault="001B2041" w14:paraId="2DDDDD21" w14:textId="041BBFEA">
            <w:pPr>
              <w:jc w:val="center"/>
              <w:rPr>
                <w:color w:val="000000"/>
              </w:rPr>
            </w:pPr>
            <w:r>
              <w:rPr>
                <w:color w:val="000000"/>
              </w:rPr>
              <w:t>-1.35</w:t>
            </w:r>
          </w:p>
        </w:tc>
        <w:tc>
          <w:tcPr>
            <w:tcW w:w="0" w:type="auto"/>
            <w:tcBorders>
              <w:top w:val="nil"/>
              <w:left w:val="nil"/>
              <w:bottom w:val="nil"/>
              <w:right w:val="nil"/>
            </w:tcBorders>
            <w:vAlign w:val="center"/>
          </w:tcPr>
          <w:p w:rsidR="001F0711" w:rsidP="001B2041" w:rsidRDefault="001F0711" w14:paraId="2C208462" w14:textId="7BF141A9">
            <w:pPr>
              <w:jc w:val="center"/>
              <w:rPr>
                <w:color w:val="000000"/>
              </w:rPr>
            </w:pPr>
            <w:r>
              <w:rPr>
                <w:color w:val="000000"/>
              </w:rPr>
              <w:t>0.50</w:t>
            </w:r>
          </w:p>
        </w:tc>
      </w:tr>
      <w:tr w:rsidRPr="00A41630" w:rsidR="001F0711" w:rsidTr="001B2041" w14:paraId="1D170FBF" w14:textId="6D9A5A7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1F0711" w:rsidP="001F0711" w:rsidRDefault="001F0711" w14:paraId="64E4C441" w14:textId="10F07B8E">
            <w:pPr>
              <w:rPr>
                <w:color w:val="000000"/>
              </w:rPr>
            </w:pPr>
            <w:r>
              <w:rPr>
                <w:color w:val="000000"/>
              </w:rPr>
              <w:t>Arousal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Pr="00632AA3" w:rsidR="001F0711" w:rsidP="001B2041" w:rsidRDefault="001B2041" w14:paraId="3749ECDF" w14:textId="51C27F2C">
            <w:pPr>
              <w:jc w:val="center"/>
              <w:rPr>
                <w:b/>
                <w:bCs/>
                <w:color w:val="000000"/>
              </w:rPr>
            </w:pPr>
            <w:r w:rsidRPr="00632AA3">
              <w:rPr>
                <w:b/>
                <w:bCs/>
                <w:color w:val="000000"/>
              </w:rPr>
              <w:t>2.32*</w:t>
            </w:r>
          </w:p>
        </w:tc>
        <w:tc>
          <w:tcPr>
            <w:tcW w:w="0" w:type="auto"/>
            <w:tcBorders>
              <w:top w:val="nil"/>
              <w:left w:val="nil"/>
              <w:bottom w:val="nil"/>
              <w:right w:val="nil"/>
            </w:tcBorders>
            <w:vAlign w:val="center"/>
          </w:tcPr>
          <w:p w:rsidR="001F0711" w:rsidP="001B2041" w:rsidRDefault="001B2041" w14:paraId="43104981" w14:textId="2B70CE63">
            <w:pPr>
              <w:jc w:val="center"/>
              <w:rPr>
                <w:color w:val="000000"/>
              </w:rPr>
            </w:pPr>
            <w:r>
              <w:rPr>
                <w:color w:val="000000"/>
              </w:rPr>
              <w:t>1.21</w:t>
            </w:r>
          </w:p>
        </w:tc>
        <w:tc>
          <w:tcPr>
            <w:tcW w:w="0" w:type="auto"/>
            <w:tcBorders>
              <w:top w:val="nil"/>
              <w:left w:val="nil"/>
              <w:bottom w:val="nil"/>
              <w:right w:val="nil"/>
            </w:tcBorders>
            <w:vAlign w:val="center"/>
          </w:tcPr>
          <w:p w:rsidRPr="00632AA3" w:rsidR="001F0711" w:rsidP="001B2041" w:rsidRDefault="001F0711" w14:paraId="2A458E32" w14:textId="7170E7C1">
            <w:pPr>
              <w:jc w:val="center"/>
              <w:rPr>
                <w:b/>
                <w:bCs/>
                <w:color w:val="000000"/>
              </w:rPr>
            </w:pPr>
            <w:r w:rsidRPr="00632AA3">
              <w:rPr>
                <w:b/>
                <w:bCs/>
                <w:color w:val="000000"/>
              </w:rPr>
              <w:t>5.28***</w:t>
            </w:r>
          </w:p>
        </w:tc>
      </w:tr>
      <w:tr w:rsidRPr="00A41630" w:rsidR="001F0711" w:rsidTr="001B2041" w14:paraId="2870B61B" w14:textId="135A3B04">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Pr="00A41630" w:rsidR="001F0711" w:rsidP="001F0711" w:rsidRDefault="001F0711" w14:paraId="18C3CB56" w14:textId="219BD335">
            <w:pPr>
              <w:rPr>
                <w:color w:val="000000"/>
              </w:rPr>
            </w:pPr>
            <w:r>
              <w:rPr>
                <w:color w:val="000000"/>
              </w:rPr>
              <w:t>Valence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Pr="00632AA3" w:rsidR="001F0711" w:rsidP="001B2041" w:rsidRDefault="001F0711" w14:paraId="2A5C5785" w14:textId="7D541F18">
            <w:pPr>
              <w:jc w:val="center"/>
              <w:rPr>
                <w:b/>
                <w:bCs/>
                <w:color w:val="000000"/>
              </w:rPr>
            </w:pPr>
            <w:r w:rsidRPr="00632AA3">
              <w:rPr>
                <w:b/>
                <w:bCs/>
                <w:color w:val="000000"/>
              </w:rPr>
              <w:t>-</w:t>
            </w:r>
            <w:r w:rsidRPr="00632AA3" w:rsidR="001B2041">
              <w:rPr>
                <w:b/>
                <w:bCs/>
                <w:color w:val="000000"/>
              </w:rPr>
              <w:t>6.64***</w:t>
            </w:r>
          </w:p>
        </w:tc>
        <w:tc>
          <w:tcPr>
            <w:tcW w:w="0" w:type="auto"/>
            <w:tcBorders>
              <w:top w:val="nil"/>
              <w:left w:val="nil"/>
              <w:bottom w:val="nil"/>
              <w:right w:val="nil"/>
            </w:tcBorders>
            <w:vAlign w:val="center"/>
          </w:tcPr>
          <w:p w:rsidRPr="00632AA3" w:rsidR="001F0711" w:rsidP="001B2041" w:rsidRDefault="001B2041" w14:paraId="60A2DA56" w14:textId="5C2F7039">
            <w:pPr>
              <w:jc w:val="center"/>
              <w:rPr>
                <w:b/>
                <w:bCs/>
                <w:color w:val="000000"/>
              </w:rPr>
            </w:pPr>
            <w:r w:rsidRPr="00632AA3">
              <w:rPr>
                <w:b/>
                <w:bCs/>
                <w:color w:val="000000"/>
              </w:rPr>
              <w:t>-3.08***</w:t>
            </w:r>
          </w:p>
        </w:tc>
        <w:tc>
          <w:tcPr>
            <w:tcW w:w="0" w:type="auto"/>
            <w:tcBorders>
              <w:top w:val="nil"/>
              <w:left w:val="nil"/>
              <w:bottom w:val="nil"/>
              <w:right w:val="nil"/>
            </w:tcBorders>
            <w:vAlign w:val="center"/>
          </w:tcPr>
          <w:p w:rsidRPr="00632AA3" w:rsidR="001F0711" w:rsidP="001B2041" w:rsidRDefault="001F0711" w14:paraId="6ED19DA0" w14:textId="1377BE98">
            <w:pPr>
              <w:jc w:val="center"/>
              <w:rPr>
                <w:b/>
                <w:bCs/>
                <w:color w:val="000000"/>
              </w:rPr>
            </w:pPr>
            <w:r w:rsidRPr="00632AA3">
              <w:rPr>
                <w:b/>
                <w:bCs/>
                <w:color w:val="000000"/>
              </w:rPr>
              <w:t>-7.64***</w:t>
            </w:r>
          </w:p>
        </w:tc>
      </w:tr>
      <w:tr w:rsidRPr="00A41630" w:rsidR="001F0711" w:rsidTr="001B2041" w14:paraId="73159AC4" w14:textId="3D0D8720">
        <w:trPr>
          <w:trHeight w:val="320"/>
        </w:trPr>
        <w:tc>
          <w:tcPr>
            <w:tcW w:w="0" w:type="auto"/>
            <w:tcBorders>
              <w:top w:val="nil"/>
              <w:left w:val="nil"/>
              <w:bottom w:val="nil"/>
              <w:right w:val="nil"/>
            </w:tcBorders>
            <w:shd w:val="clear" w:color="auto" w:fill="F2F2F2" w:themeFill="background1" w:themeFillShade="F2"/>
            <w:noWrap/>
            <w:tcMar>
              <w:top w:w="15" w:type="dxa"/>
              <w:left w:w="15" w:type="dxa"/>
              <w:bottom w:w="0" w:type="dxa"/>
              <w:right w:w="15" w:type="dxa"/>
            </w:tcMar>
            <w:vAlign w:val="bottom"/>
          </w:tcPr>
          <w:p w:rsidRPr="001B2041" w:rsidR="001F0711" w:rsidP="001F0711" w:rsidRDefault="001F0711" w14:paraId="1F981A48" w14:textId="74E2C104">
            <w:pPr>
              <w:rPr>
                <w:b/>
                <w:bCs/>
                <w:color w:val="000000"/>
              </w:rPr>
            </w:pPr>
            <w:r w:rsidRPr="001B2041">
              <w:rPr>
                <w:b/>
                <w:bCs/>
                <w:color w:val="000000"/>
              </w:rPr>
              <w:t>Between-Person</w:t>
            </w:r>
          </w:p>
        </w:tc>
        <w:tc>
          <w:tcPr>
            <w:tcW w:w="0" w:type="auto"/>
            <w:tcBorders>
              <w:top w:val="nil"/>
              <w:left w:val="nil"/>
              <w:bottom w:val="nil"/>
              <w:right w:val="nil"/>
            </w:tcBorders>
            <w:shd w:val="clear" w:color="auto" w:fill="F2F2F2" w:themeFill="background1" w:themeFillShade="F2"/>
            <w:noWrap/>
            <w:tcMar>
              <w:top w:w="15" w:type="dxa"/>
              <w:left w:w="15" w:type="dxa"/>
              <w:bottom w:w="0" w:type="dxa"/>
              <w:right w:w="15" w:type="dxa"/>
            </w:tcMar>
            <w:vAlign w:val="center"/>
          </w:tcPr>
          <w:p w:rsidRPr="00A41630" w:rsidR="001F0711" w:rsidP="001B2041" w:rsidRDefault="001F0711" w14:paraId="29350BE2" w14:textId="77777777">
            <w:pPr>
              <w:jc w:val="center"/>
              <w:rPr>
                <w:color w:val="000000"/>
              </w:rPr>
            </w:pPr>
          </w:p>
        </w:tc>
        <w:tc>
          <w:tcPr>
            <w:tcW w:w="0" w:type="auto"/>
            <w:tcBorders>
              <w:top w:val="nil"/>
              <w:left w:val="nil"/>
              <w:bottom w:val="nil"/>
              <w:right w:val="nil"/>
            </w:tcBorders>
            <w:shd w:val="clear" w:color="auto" w:fill="F2F2F2" w:themeFill="background1" w:themeFillShade="F2"/>
            <w:vAlign w:val="center"/>
          </w:tcPr>
          <w:p w:rsidRPr="00A41630" w:rsidR="001F0711" w:rsidP="001B2041" w:rsidRDefault="001F0711" w14:paraId="0B3D5124" w14:textId="77777777">
            <w:pPr>
              <w:jc w:val="center"/>
              <w:rPr>
                <w:color w:val="000000"/>
              </w:rPr>
            </w:pPr>
          </w:p>
        </w:tc>
        <w:tc>
          <w:tcPr>
            <w:tcW w:w="0" w:type="auto"/>
            <w:tcBorders>
              <w:top w:val="nil"/>
              <w:left w:val="nil"/>
              <w:bottom w:val="nil"/>
              <w:right w:val="nil"/>
            </w:tcBorders>
            <w:shd w:val="clear" w:color="auto" w:fill="F2F2F2" w:themeFill="background1" w:themeFillShade="F2"/>
            <w:vAlign w:val="center"/>
          </w:tcPr>
          <w:p w:rsidRPr="00A41630" w:rsidR="001F0711" w:rsidP="001B2041" w:rsidRDefault="001F0711" w14:paraId="585E5F13" w14:textId="77777777">
            <w:pPr>
              <w:jc w:val="center"/>
              <w:rPr>
                <w:color w:val="000000"/>
              </w:rPr>
            </w:pPr>
          </w:p>
        </w:tc>
      </w:tr>
      <w:tr w:rsidRPr="00A41630" w:rsidR="001F0711" w:rsidTr="001B2041" w14:paraId="6B385ECD" w14:textId="32588D89">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Pr="00A41630" w:rsidR="001F0711" w:rsidP="001F0711" w:rsidRDefault="001F0711" w14:paraId="18E2380C" w14:textId="72025338">
            <w:pPr>
              <w:rPr>
                <w:color w:val="000000"/>
              </w:rPr>
            </w:pPr>
            <w:r>
              <w:rPr>
                <w:color w:val="000000"/>
              </w:rPr>
              <w:t>SCR</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rsidRPr="00A41630" w:rsidR="001F0711" w:rsidP="001B2041" w:rsidRDefault="001B2041" w14:paraId="398CD79C" w14:textId="503706EC">
            <w:pPr>
              <w:jc w:val="center"/>
              <w:rPr>
                <w:color w:val="000000"/>
              </w:rPr>
            </w:pPr>
            <w:r>
              <w:rPr>
                <w:color w:val="000000"/>
              </w:rPr>
              <w:t>-0.53</w:t>
            </w:r>
          </w:p>
        </w:tc>
        <w:tc>
          <w:tcPr>
            <w:tcW w:w="0" w:type="auto"/>
            <w:tcBorders>
              <w:top w:val="nil"/>
              <w:left w:val="nil"/>
              <w:bottom w:val="nil"/>
              <w:right w:val="nil"/>
            </w:tcBorders>
            <w:vAlign w:val="center"/>
          </w:tcPr>
          <w:p w:rsidR="001F0711" w:rsidP="001B2041" w:rsidRDefault="001B2041" w14:paraId="2A21C8A2" w14:textId="2A3C67B5">
            <w:pPr>
              <w:jc w:val="center"/>
              <w:rPr>
                <w:color w:val="000000"/>
              </w:rPr>
            </w:pPr>
            <w:r>
              <w:rPr>
                <w:color w:val="000000"/>
              </w:rPr>
              <w:t>0.06</w:t>
            </w:r>
          </w:p>
        </w:tc>
        <w:tc>
          <w:tcPr>
            <w:tcW w:w="0" w:type="auto"/>
            <w:tcBorders>
              <w:top w:val="nil"/>
              <w:left w:val="nil"/>
              <w:bottom w:val="nil"/>
              <w:right w:val="nil"/>
            </w:tcBorders>
            <w:vAlign w:val="center"/>
          </w:tcPr>
          <w:p w:rsidR="001F0711" w:rsidP="001B2041" w:rsidRDefault="001F0711" w14:paraId="36F4241F" w14:textId="73D77AD9">
            <w:pPr>
              <w:jc w:val="center"/>
              <w:rPr>
                <w:color w:val="000000"/>
              </w:rPr>
            </w:pPr>
            <w:r>
              <w:rPr>
                <w:color w:val="000000"/>
              </w:rPr>
              <w:t>0.06</w:t>
            </w:r>
          </w:p>
        </w:tc>
      </w:tr>
      <w:tr w:rsidRPr="00A41630" w:rsidR="001B2041" w:rsidTr="001B2041" w14:paraId="67C0C5FA" w14:textId="0410D272">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Pr="00A41630" w:rsidR="001B2041" w:rsidP="001B2041" w:rsidRDefault="001B2041" w14:paraId="290AD81F" w14:textId="5E3F89AC">
            <w:pPr>
              <w:rPr>
                <w:color w:val="000000"/>
              </w:rPr>
            </w:pPr>
            <w:r>
              <w:rPr>
                <w:color w:val="000000"/>
              </w:rPr>
              <w:t>HP</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rsidRPr="00A41630" w:rsidR="001B2041" w:rsidP="001B2041" w:rsidRDefault="001B2041" w14:paraId="2011D90F" w14:textId="0F3C0650">
            <w:pPr>
              <w:jc w:val="center"/>
              <w:rPr>
                <w:color w:val="000000"/>
              </w:rPr>
            </w:pPr>
            <w:r>
              <w:rPr>
                <w:color w:val="000000"/>
              </w:rPr>
              <w:t>-1.57</w:t>
            </w:r>
          </w:p>
        </w:tc>
        <w:tc>
          <w:tcPr>
            <w:tcW w:w="0" w:type="auto"/>
            <w:tcBorders>
              <w:top w:val="nil"/>
              <w:left w:val="nil"/>
              <w:bottom w:val="nil"/>
              <w:right w:val="nil"/>
            </w:tcBorders>
            <w:vAlign w:val="center"/>
          </w:tcPr>
          <w:p w:rsidRPr="00632AA3" w:rsidR="001B2041" w:rsidP="001B2041" w:rsidRDefault="001B2041" w14:paraId="37E83C18" w14:textId="22F12003">
            <w:pPr>
              <w:jc w:val="center"/>
              <w:rPr>
                <w:b/>
                <w:bCs/>
                <w:color w:val="000000"/>
              </w:rPr>
            </w:pPr>
            <w:r w:rsidRPr="00632AA3">
              <w:rPr>
                <w:b/>
                <w:bCs/>
                <w:color w:val="000000"/>
              </w:rPr>
              <w:t>-1.97*</w:t>
            </w:r>
          </w:p>
        </w:tc>
        <w:tc>
          <w:tcPr>
            <w:tcW w:w="0" w:type="auto"/>
            <w:tcBorders>
              <w:top w:val="nil"/>
              <w:left w:val="nil"/>
              <w:bottom w:val="nil"/>
              <w:right w:val="nil"/>
            </w:tcBorders>
            <w:vAlign w:val="center"/>
          </w:tcPr>
          <w:p w:rsidR="001B2041" w:rsidP="001B2041" w:rsidRDefault="001B2041" w14:paraId="4A36965B" w14:textId="2C90C86D">
            <w:pPr>
              <w:jc w:val="center"/>
              <w:rPr>
                <w:color w:val="000000"/>
              </w:rPr>
            </w:pPr>
            <w:r>
              <w:rPr>
                <w:color w:val="000000"/>
              </w:rPr>
              <w:t>-1.63</w:t>
            </w:r>
          </w:p>
        </w:tc>
      </w:tr>
      <w:tr w:rsidRPr="00A41630" w:rsidR="001B2041" w:rsidTr="001B2041" w14:paraId="335A4BD9" w14:textId="2931FA8C">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Pr="00A41630" w:rsidR="001B2041" w:rsidP="001B2041" w:rsidRDefault="001B2041" w14:paraId="07B925F6" w14:textId="310B25EC">
            <w:pPr>
              <w:rPr>
                <w:color w:val="000000"/>
              </w:rPr>
            </w:pPr>
            <w:r>
              <w:rPr>
                <w:color w:val="000000"/>
              </w:rPr>
              <w:t>Arousal</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rsidRPr="00632AA3" w:rsidR="001B2041" w:rsidP="001B2041" w:rsidRDefault="001B2041" w14:paraId="64F20297" w14:textId="27AE2EDA">
            <w:pPr>
              <w:jc w:val="center"/>
              <w:rPr>
                <w:b/>
                <w:bCs/>
                <w:color w:val="000000"/>
              </w:rPr>
            </w:pPr>
            <w:r w:rsidRPr="00632AA3">
              <w:rPr>
                <w:b/>
                <w:bCs/>
                <w:color w:val="000000"/>
              </w:rPr>
              <w:t>4.36***</w:t>
            </w:r>
          </w:p>
        </w:tc>
        <w:tc>
          <w:tcPr>
            <w:tcW w:w="0" w:type="auto"/>
            <w:tcBorders>
              <w:top w:val="nil"/>
              <w:left w:val="nil"/>
              <w:bottom w:val="nil"/>
              <w:right w:val="nil"/>
            </w:tcBorders>
            <w:vAlign w:val="center"/>
          </w:tcPr>
          <w:p w:rsidRPr="00632AA3" w:rsidR="001B2041" w:rsidP="001B2041" w:rsidRDefault="001B2041" w14:paraId="7D51D523" w14:textId="54EFF15B">
            <w:pPr>
              <w:jc w:val="center"/>
              <w:rPr>
                <w:b/>
                <w:bCs/>
                <w:color w:val="000000"/>
              </w:rPr>
            </w:pPr>
            <w:r w:rsidRPr="00632AA3">
              <w:rPr>
                <w:b/>
                <w:bCs/>
                <w:color w:val="000000"/>
              </w:rPr>
              <w:t>4.22***</w:t>
            </w:r>
          </w:p>
        </w:tc>
        <w:tc>
          <w:tcPr>
            <w:tcW w:w="0" w:type="auto"/>
            <w:tcBorders>
              <w:top w:val="nil"/>
              <w:left w:val="nil"/>
              <w:bottom w:val="nil"/>
              <w:right w:val="nil"/>
            </w:tcBorders>
            <w:vAlign w:val="center"/>
          </w:tcPr>
          <w:p w:rsidRPr="00632AA3" w:rsidR="001B2041" w:rsidP="001B2041" w:rsidRDefault="001B2041" w14:paraId="60EF3746" w14:textId="4965BF29">
            <w:pPr>
              <w:jc w:val="center"/>
              <w:rPr>
                <w:b/>
                <w:bCs/>
                <w:color w:val="000000"/>
              </w:rPr>
            </w:pPr>
            <w:r w:rsidRPr="00632AA3">
              <w:rPr>
                <w:b/>
                <w:bCs/>
                <w:color w:val="000000"/>
              </w:rPr>
              <w:t>5.93***</w:t>
            </w:r>
          </w:p>
        </w:tc>
      </w:tr>
      <w:tr w:rsidRPr="00A41630" w:rsidR="001F0711" w:rsidTr="001B2041" w14:paraId="7FEAD5ED" w14:textId="3DA52AA0">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F0711" w:rsidP="001F0711" w:rsidRDefault="001F0711" w14:paraId="19CD08F8" w14:textId="5BBE282D">
            <w:pPr>
              <w:rPr>
                <w:color w:val="000000"/>
              </w:rPr>
            </w:pPr>
            <w:r>
              <w:rPr>
                <w:color w:val="000000"/>
              </w:rPr>
              <w:t>Valence</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rsidRPr="00632AA3" w:rsidR="001F0711" w:rsidP="001B2041" w:rsidRDefault="001F0711" w14:paraId="69DDE018" w14:textId="7D0AA9F7">
            <w:pPr>
              <w:jc w:val="center"/>
              <w:rPr>
                <w:b/>
                <w:bCs/>
                <w:color w:val="000000"/>
              </w:rPr>
            </w:pPr>
            <w:r w:rsidRPr="00632AA3">
              <w:rPr>
                <w:b/>
                <w:bCs/>
                <w:color w:val="000000"/>
              </w:rPr>
              <w:t>-</w:t>
            </w:r>
            <w:r w:rsidRPr="00632AA3" w:rsidR="001B2041">
              <w:rPr>
                <w:b/>
                <w:bCs/>
                <w:color w:val="000000"/>
              </w:rPr>
              <w:t>7</w:t>
            </w:r>
            <w:r w:rsidRPr="00632AA3">
              <w:rPr>
                <w:b/>
                <w:bCs/>
                <w:color w:val="000000"/>
              </w:rPr>
              <w:t>.</w:t>
            </w:r>
            <w:r w:rsidRPr="00632AA3" w:rsidR="001B2041">
              <w:rPr>
                <w:b/>
                <w:bCs/>
                <w:color w:val="000000"/>
              </w:rPr>
              <w:t>72</w:t>
            </w:r>
            <w:r w:rsidRPr="00632AA3">
              <w:rPr>
                <w:b/>
                <w:bCs/>
                <w:color w:val="000000"/>
              </w:rPr>
              <w:t>***</w:t>
            </w:r>
          </w:p>
        </w:tc>
        <w:tc>
          <w:tcPr>
            <w:tcW w:w="0" w:type="auto"/>
            <w:tcBorders>
              <w:top w:val="nil"/>
              <w:left w:val="nil"/>
              <w:bottom w:val="nil"/>
              <w:right w:val="nil"/>
            </w:tcBorders>
            <w:vAlign w:val="center"/>
          </w:tcPr>
          <w:p w:rsidRPr="00632AA3" w:rsidR="001F0711" w:rsidP="001B2041" w:rsidRDefault="001B2041" w14:paraId="5FD39422" w14:textId="140B2074">
            <w:pPr>
              <w:jc w:val="center"/>
              <w:rPr>
                <w:b/>
                <w:bCs/>
                <w:color w:val="000000"/>
              </w:rPr>
            </w:pPr>
            <w:r w:rsidRPr="00632AA3">
              <w:rPr>
                <w:b/>
                <w:bCs/>
                <w:color w:val="000000"/>
              </w:rPr>
              <w:t>-2.41*</w:t>
            </w:r>
          </w:p>
        </w:tc>
        <w:tc>
          <w:tcPr>
            <w:tcW w:w="0" w:type="auto"/>
            <w:tcBorders>
              <w:top w:val="nil"/>
              <w:left w:val="nil"/>
              <w:bottom w:val="nil"/>
              <w:right w:val="nil"/>
            </w:tcBorders>
            <w:vAlign w:val="center"/>
          </w:tcPr>
          <w:p w:rsidRPr="00632AA3" w:rsidR="001F0711" w:rsidP="001B2041" w:rsidRDefault="001F0711" w14:paraId="2AA0EA77" w14:textId="5F635F42">
            <w:pPr>
              <w:jc w:val="center"/>
              <w:rPr>
                <w:b/>
                <w:bCs/>
                <w:color w:val="000000"/>
              </w:rPr>
            </w:pPr>
            <w:r w:rsidRPr="00632AA3">
              <w:rPr>
                <w:b/>
                <w:bCs/>
                <w:color w:val="000000"/>
              </w:rPr>
              <w:t>-6.80***</w:t>
            </w:r>
          </w:p>
        </w:tc>
      </w:tr>
      <w:tr w:rsidRPr="00A41630" w:rsidR="001F0711" w:rsidTr="001B2041" w14:paraId="602D6E77" w14:textId="1ACB3F75">
        <w:trPr>
          <w:trHeight w:val="320"/>
        </w:trPr>
        <w:tc>
          <w:tcPr>
            <w:tcW w:w="0" w:type="auto"/>
            <w:tcBorders>
              <w:top w:val="nil"/>
              <w:left w:val="nil"/>
              <w:bottom w:val="nil"/>
              <w:right w:val="nil"/>
            </w:tcBorders>
            <w:shd w:val="clear" w:color="auto" w:fill="F2F2F2" w:themeFill="background1" w:themeFillShade="F2"/>
            <w:noWrap/>
            <w:tcMar>
              <w:top w:w="15" w:type="dxa"/>
              <w:left w:w="15" w:type="dxa"/>
              <w:bottom w:w="0" w:type="dxa"/>
              <w:right w:w="15" w:type="dxa"/>
            </w:tcMar>
            <w:vAlign w:val="bottom"/>
          </w:tcPr>
          <w:p w:rsidRPr="001B2041" w:rsidR="001F0711" w:rsidP="001F0711" w:rsidRDefault="001F0711" w14:paraId="26DD218D" w14:textId="28DE9B39">
            <w:pPr>
              <w:rPr>
                <w:b/>
                <w:bCs/>
                <w:color w:val="000000"/>
              </w:rPr>
            </w:pPr>
            <w:r w:rsidRPr="001B2041">
              <w:rPr>
                <w:b/>
                <w:bCs/>
                <w:color w:val="000000"/>
              </w:rPr>
              <w:t>Interaction</w:t>
            </w:r>
          </w:p>
        </w:tc>
        <w:tc>
          <w:tcPr>
            <w:tcW w:w="0" w:type="auto"/>
            <w:tcBorders>
              <w:top w:val="nil"/>
              <w:left w:val="nil"/>
              <w:bottom w:val="nil"/>
              <w:right w:val="nil"/>
            </w:tcBorders>
            <w:shd w:val="clear" w:color="auto" w:fill="F2F2F2" w:themeFill="background1" w:themeFillShade="F2"/>
            <w:noWrap/>
            <w:tcMar>
              <w:top w:w="15" w:type="dxa"/>
              <w:left w:w="15" w:type="dxa"/>
              <w:bottom w:w="0" w:type="dxa"/>
              <w:right w:w="15" w:type="dxa"/>
            </w:tcMar>
            <w:vAlign w:val="center"/>
          </w:tcPr>
          <w:p w:rsidRPr="00A41630" w:rsidR="001F0711" w:rsidP="001B2041" w:rsidRDefault="001F0711" w14:paraId="0C5CD393" w14:textId="797D6797">
            <w:pPr>
              <w:jc w:val="center"/>
              <w:rPr>
                <w:color w:val="000000"/>
              </w:rPr>
            </w:pPr>
          </w:p>
        </w:tc>
        <w:tc>
          <w:tcPr>
            <w:tcW w:w="0" w:type="auto"/>
            <w:tcBorders>
              <w:top w:val="nil"/>
              <w:left w:val="nil"/>
              <w:bottom w:val="nil"/>
              <w:right w:val="nil"/>
            </w:tcBorders>
            <w:shd w:val="clear" w:color="auto" w:fill="F2F2F2" w:themeFill="background1" w:themeFillShade="F2"/>
            <w:vAlign w:val="center"/>
          </w:tcPr>
          <w:p w:rsidRPr="00A41630" w:rsidR="001F0711" w:rsidP="001B2041" w:rsidRDefault="001F0711" w14:paraId="7CADF081" w14:textId="77777777">
            <w:pPr>
              <w:jc w:val="center"/>
              <w:rPr>
                <w:color w:val="000000"/>
              </w:rPr>
            </w:pPr>
          </w:p>
        </w:tc>
        <w:tc>
          <w:tcPr>
            <w:tcW w:w="0" w:type="auto"/>
            <w:tcBorders>
              <w:top w:val="nil"/>
              <w:left w:val="nil"/>
              <w:bottom w:val="nil"/>
              <w:right w:val="nil"/>
            </w:tcBorders>
            <w:shd w:val="clear" w:color="auto" w:fill="F2F2F2" w:themeFill="background1" w:themeFillShade="F2"/>
            <w:vAlign w:val="center"/>
          </w:tcPr>
          <w:p w:rsidRPr="00A41630" w:rsidR="001F0711" w:rsidP="001B2041" w:rsidRDefault="001F0711" w14:paraId="592FCBEC" w14:textId="77777777">
            <w:pPr>
              <w:jc w:val="center"/>
              <w:rPr>
                <w:color w:val="000000"/>
              </w:rPr>
            </w:pPr>
          </w:p>
        </w:tc>
      </w:tr>
      <w:tr w:rsidRPr="00A41630" w:rsidR="001F0711" w:rsidTr="001B2041" w14:paraId="344B4CBE" w14:textId="0CF2B33C">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F0711" w:rsidP="001F0711" w:rsidRDefault="001F0711" w14:paraId="04D3BA17" w14:textId="3D5F2970">
            <w:pPr>
              <w:rPr>
                <w:color w:val="000000"/>
              </w:rPr>
            </w:pPr>
            <w:r>
              <w:rPr>
                <w:color w:val="000000"/>
              </w:rPr>
              <w:t>SCR*Phobia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rsidRPr="00A41630" w:rsidR="001F0711" w:rsidP="001B2041" w:rsidRDefault="001B2041" w14:paraId="4996ABD8" w14:textId="078E4B84">
            <w:pPr>
              <w:jc w:val="center"/>
              <w:rPr>
                <w:color w:val="000000"/>
              </w:rPr>
            </w:pPr>
            <w:r>
              <w:rPr>
                <w:color w:val="000000"/>
              </w:rPr>
              <w:t>-</w:t>
            </w:r>
            <w:r w:rsidR="001F0711">
              <w:rPr>
                <w:color w:val="000000"/>
              </w:rPr>
              <w:t>1.</w:t>
            </w:r>
            <w:r>
              <w:rPr>
                <w:color w:val="000000"/>
              </w:rPr>
              <w:t>08</w:t>
            </w:r>
          </w:p>
        </w:tc>
        <w:tc>
          <w:tcPr>
            <w:tcW w:w="0" w:type="auto"/>
            <w:tcBorders>
              <w:top w:val="nil"/>
              <w:left w:val="nil"/>
              <w:bottom w:val="nil"/>
              <w:right w:val="nil"/>
            </w:tcBorders>
            <w:vAlign w:val="center"/>
          </w:tcPr>
          <w:p w:rsidR="001F0711" w:rsidP="001B2041" w:rsidRDefault="001B2041" w14:paraId="231938E3" w14:textId="71C2876E">
            <w:pPr>
              <w:jc w:val="center"/>
              <w:rPr>
                <w:color w:val="000000"/>
              </w:rPr>
            </w:pPr>
            <w:r>
              <w:rPr>
                <w:color w:val="000000"/>
              </w:rPr>
              <w:t>0.74</w:t>
            </w:r>
          </w:p>
        </w:tc>
        <w:tc>
          <w:tcPr>
            <w:tcW w:w="0" w:type="auto"/>
            <w:tcBorders>
              <w:top w:val="nil"/>
              <w:left w:val="nil"/>
              <w:bottom w:val="nil"/>
              <w:right w:val="nil"/>
            </w:tcBorders>
            <w:vAlign w:val="center"/>
          </w:tcPr>
          <w:p w:rsidR="001F0711" w:rsidP="001B2041" w:rsidRDefault="001F0711" w14:paraId="6C9184E5" w14:textId="024A5F3E">
            <w:pPr>
              <w:jc w:val="center"/>
              <w:rPr>
                <w:color w:val="000000"/>
              </w:rPr>
            </w:pPr>
            <w:r>
              <w:rPr>
                <w:color w:val="000000"/>
              </w:rPr>
              <w:t>1.90</w:t>
            </w:r>
          </w:p>
        </w:tc>
      </w:tr>
      <w:tr w:rsidRPr="00A41630" w:rsidR="001F0711" w:rsidTr="001B2041" w14:paraId="42955460" w14:textId="104A7A38">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rsidR="001F0711" w:rsidP="001F0711" w:rsidRDefault="001F0711" w14:paraId="392412F5" w14:textId="0EEE0FB9">
            <w:pPr>
              <w:rPr>
                <w:color w:val="000000"/>
              </w:rPr>
            </w:pPr>
            <w:r>
              <w:rPr>
                <w:color w:val="000000"/>
              </w:rPr>
              <w:t>HP*Phobia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tcPr>
          <w:p w:rsidRPr="00A41630" w:rsidR="001F0711" w:rsidP="001B2041" w:rsidRDefault="001F0711" w14:paraId="37F81047" w14:textId="22300BA9">
            <w:pPr>
              <w:jc w:val="center"/>
              <w:rPr>
                <w:color w:val="000000"/>
              </w:rPr>
            </w:pPr>
            <w:r>
              <w:rPr>
                <w:color w:val="000000"/>
              </w:rPr>
              <w:t>0.</w:t>
            </w:r>
            <w:r w:rsidR="001B2041">
              <w:rPr>
                <w:color w:val="000000"/>
              </w:rPr>
              <w:t>19</w:t>
            </w:r>
          </w:p>
        </w:tc>
        <w:tc>
          <w:tcPr>
            <w:tcW w:w="0" w:type="auto"/>
            <w:tcBorders>
              <w:top w:val="nil"/>
              <w:left w:val="nil"/>
              <w:bottom w:val="nil"/>
              <w:right w:val="nil"/>
            </w:tcBorders>
            <w:vAlign w:val="center"/>
          </w:tcPr>
          <w:p w:rsidR="001F0711" w:rsidP="001B2041" w:rsidRDefault="001B2041" w14:paraId="5F5E8363" w14:textId="1AEC49FB">
            <w:pPr>
              <w:jc w:val="center"/>
              <w:rPr>
                <w:color w:val="000000"/>
              </w:rPr>
            </w:pPr>
            <w:r>
              <w:rPr>
                <w:color w:val="000000"/>
              </w:rPr>
              <w:t>1.32</w:t>
            </w:r>
          </w:p>
        </w:tc>
        <w:tc>
          <w:tcPr>
            <w:tcW w:w="0" w:type="auto"/>
            <w:tcBorders>
              <w:top w:val="nil"/>
              <w:left w:val="nil"/>
              <w:bottom w:val="nil"/>
              <w:right w:val="nil"/>
            </w:tcBorders>
            <w:vAlign w:val="center"/>
          </w:tcPr>
          <w:p w:rsidR="001F0711" w:rsidP="001B2041" w:rsidRDefault="001F0711" w14:paraId="260D7339" w14:textId="7A346F17">
            <w:pPr>
              <w:jc w:val="center"/>
              <w:rPr>
                <w:color w:val="000000"/>
              </w:rPr>
            </w:pPr>
            <w:r>
              <w:rPr>
                <w:color w:val="000000"/>
              </w:rPr>
              <w:t>-0.33</w:t>
            </w:r>
          </w:p>
        </w:tc>
      </w:tr>
      <w:tr w:rsidRPr="00A41630" w:rsidR="001F0711" w:rsidTr="001B2041" w14:paraId="43782CF0" w14:textId="608C064B">
        <w:trPr>
          <w:trHeight w:val="320"/>
        </w:trPr>
        <w:tc>
          <w:tcPr>
            <w:tcW w:w="0" w:type="auto"/>
            <w:tcBorders>
              <w:top w:val="nil"/>
              <w:left w:val="nil"/>
              <w:right w:val="nil"/>
            </w:tcBorders>
            <w:shd w:val="clear" w:color="auto" w:fill="auto"/>
            <w:noWrap/>
            <w:tcMar>
              <w:top w:w="15" w:type="dxa"/>
              <w:left w:w="15" w:type="dxa"/>
              <w:bottom w:w="0" w:type="dxa"/>
              <w:right w:w="15" w:type="dxa"/>
            </w:tcMar>
            <w:vAlign w:val="bottom"/>
          </w:tcPr>
          <w:p w:rsidR="001F0711" w:rsidP="001F0711" w:rsidRDefault="001F0711" w14:paraId="1404CA2B" w14:textId="379E71A2">
            <w:pPr>
              <w:rPr>
                <w:color w:val="000000"/>
              </w:rPr>
            </w:pPr>
            <w:r>
              <w:rPr>
                <w:color w:val="000000"/>
              </w:rPr>
              <w:t>Arousal*Phobia</w:t>
            </w:r>
          </w:p>
        </w:tc>
        <w:tc>
          <w:tcPr>
            <w:tcW w:w="0" w:type="auto"/>
            <w:tcBorders>
              <w:top w:val="nil"/>
              <w:left w:val="nil"/>
              <w:right w:val="nil"/>
            </w:tcBorders>
            <w:shd w:val="clear" w:color="auto" w:fill="auto"/>
            <w:noWrap/>
            <w:tcMar>
              <w:top w:w="15" w:type="dxa"/>
              <w:left w:w="15" w:type="dxa"/>
              <w:bottom w:w="0" w:type="dxa"/>
              <w:right w:w="15" w:type="dxa"/>
            </w:tcMar>
            <w:vAlign w:val="center"/>
          </w:tcPr>
          <w:p w:rsidRPr="00A41630" w:rsidR="001F0711" w:rsidP="001B2041" w:rsidRDefault="001B2041" w14:paraId="16CCA239" w14:textId="56460BBD">
            <w:pPr>
              <w:jc w:val="center"/>
              <w:rPr>
                <w:color w:val="000000"/>
              </w:rPr>
            </w:pPr>
            <w:r>
              <w:rPr>
                <w:color w:val="000000"/>
              </w:rPr>
              <w:t>0</w:t>
            </w:r>
            <w:r w:rsidR="001F0711">
              <w:rPr>
                <w:color w:val="000000"/>
              </w:rPr>
              <w:t>.</w:t>
            </w:r>
            <w:r>
              <w:rPr>
                <w:color w:val="000000"/>
              </w:rPr>
              <w:t>76</w:t>
            </w:r>
          </w:p>
        </w:tc>
        <w:tc>
          <w:tcPr>
            <w:tcW w:w="0" w:type="auto"/>
            <w:tcBorders>
              <w:top w:val="nil"/>
              <w:left w:val="nil"/>
              <w:right w:val="nil"/>
            </w:tcBorders>
            <w:vAlign w:val="center"/>
          </w:tcPr>
          <w:p w:rsidR="001F0711" w:rsidP="001B2041" w:rsidRDefault="001B2041" w14:paraId="74DE017B" w14:textId="3392EED5">
            <w:pPr>
              <w:jc w:val="center"/>
              <w:rPr>
                <w:color w:val="000000"/>
              </w:rPr>
            </w:pPr>
            <w:r>
              <w:rPr>
                <w:color w:val="000000"/>
              </w:rPr>
              <w:t>1.67</w:t>
            </w:r>
          </w:p>
        </w:tc>
        <w:tc>
          <w:tcPr>
            <w:tcW w:w="0" w:type="auto"/>
            <w:tcBorders>
              <w:top w:val="nil"/>
              <w:left w:val="nil"/>
              <w:right w:val="nil"/>
            </w:tcBorders>
            <w:vAlign w:val="center"/>
          </w:tcPr>
          <w:p w:rsidR="001F0711" w:rsidP="001B2041" w:rsidRDefault="001F0711" w14:paraId="359800AF" w14:textId="4896AD95">
            <w:pPr>
              <w:jc w:val="center"/>
              <w:rPr>
                <w:color w:val="000000"/>
              </w:rPr>
            </w:pPr>
            <w:r>
              <w:rPr>
                <w:color w:val="000000"/>
              </w:rPr>
              <w:t>1.93</w:t>
            </w:r>
          </w:p>
        </w:tc>
      </w:tr>
      <w:tr w:rsidRPr="00A41630" w:rsidR="001F0711" w:rsidTr="001B2041" w14:paraId="20B0417B" w14:textId="33255A4A">
        <w:trPr>
          <w:trHeight w:val="320"/>
        </w:trPr>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bottom"/>
          </w:tcPr>
          <w:p w:rsidR="001F0711" w:rsidP="001F0711" w:rsidRDefault="001F0711" w14:paraId="7940AEC8" w14:textId="7BE00338">
            <w:pPr>
              <w:rPr>
                <w:color w:val="000000"/>
              </w:rPr>
            </w:pPr>
            <w:r>
              <w:rPr>
                <w:color w:val="000000"/>
              </w:rPr>
              <w:t>Valence*Phobia</w:t>
            </w:r>
          </w:p>
        </w:tc>
        <w:tc>
          <w:tcPr>
            <w:tcW w:w="0" w:type="auto"/>
            <w:tcBorders>
              <w:top w:val="nil"/>
              <w:left w:val="nil"/>
              <w:bottom w:val="single" w:color="auto" w:sz="4" w:space="0"/>
              <w:right w:val="nil"/>
            </w:tcBorders>
            <w:shd w:val="clear" w:color="auto" w:fill="auto"/>
            <w:noWrap/>
            <w:tcMar>
              <w:top w:w="15" w:type="dxa"/>
              <w:left w:w="15" w:type="dxa"/>
              <w:bottom w:w="0" w:type="dxa"/>
              <w:right w:w="15" w:type="dxa"/>
            </w:tcMar>
            <w:vAlign w:val="center"/>
          </w:tcPr>
          <w:p w:rsidRPr="00A41630" w:rsidR="001F0711" w:rsidP="001B2041" w:rsidRDefault="001F0711" w14:paraId="417E2DCF" w14:textId="3EE9A52E">
            <w:pPr>
              <w:jc w:val="center"/>
              <w:rPr>
                <w:color w:val="000000"/>
              </w:rPr>
            </w:pPr>
            <w:r>
              <w:rPr>
                <w:color w:val="000000"/>
              </w:rPr>
              <w:t>-0.</w:t>
            </w:r>
            <w:r w:rsidR="001B2041">
              <w:rPr>
                <w:color w:val="000000"/>
              </w:rPr>
              <w:t>43</w:t>
            </w:r>
          </w:p>
        </w:tc>
        <w:tc>
          <w:tcPr>
            <w:tcW w:w="0" w:type="auto"/>
            <w:tcBorders>
              <w:top w:val="nil"/>
              <w:left w:val="nil"/>
              <w:bottom w:val="single" w:color="auto" w:sz="4" w:space="0"/>
              <w:right w:val="nil"/>
            </w:tcBorders>
            <w:vAlign w:val="center"/>
          </w:tcPr>
          <w:p w:rsidR="001F0711" w:rsidP="001B2041" w:rsidRDefault="001B2041" w14:paraId="04DD591D" w14:textId="5D0D5C5B">
            <w:pPr>
              <w:jc w:val="center"/>
              <w:rPr>
                <w:color w:val="000000"/>
              </w:rPr>
            </w:pPr>
            <w:r>
              <w:rPr>
                <w:color w:val="000000"/>
              </w:rPr>
              <w:t>-1.52</w:t>
            </w:r>
          </w:p>
        </w:tc>
        <w:tc>
          <w:tcPr>
            <w:tcW w:w="0" w:type="auto"/>
            <w:tcBorders>
              <w:top w:val="nil"/>
              <w:left w:val="nil"/>
              <w:bottom w:val="single" w:color="auto" w:sz="4" w:space="0"/>
              <w:right w:val="nil"/>
            </w:tcBorders>
            <w:vAlign w:val="center"/>
          </w:tcPr>
          <w:p w:rsidR="001F0711" w:rsidP="001B2041" w:rsidRDefault="001F0711" w14:paraId="124791DF" w14:textId="578E1102">
            <w:pPr>
              <w:jc w:val="center"/>
              <w:rPr>
                <w:color w:val="000000"/>
              </w:rPr>
            </w:pPr>
            <w:r>
              <w:rPr>
                <w:color w:val="000000"/>
              </w:rPr>
              <w:t>-0.20</w:t>
            </w:r>
          </w:p>
        </w:tc>
      </w:tr>
    </w:tbl>
    <w:p w:rsidRPr="00A41630" w:rsidR="00A260E8" w:rsidP="009441CB" w:rsidRDefault="00A260E8" w14:paraId="19741447" w14:textId="499C121B">
      <w:pPr>
        <w:rPr>
          <w:b/>
          <w:bCs/>
        </w:rPr>
      </w:pPr>
    </w:p>
    <w:p w:rsidR="00A260E8" w:rsidP="009441CB" w:rsidRDefault="00A260E8" w14:paraId="03F63CA8" w14:textId="77777777">
      <w:pPr>
        <w:rPr>
          <w:b/>
          <w:bCs/>
        </w:rPr>
      </w:pPr>
    </w:p>
    <w:p w:rsidR="00D43CD2" w:rsidP="009441CB" w:rsidRDefault="00D43CD2" w14:paraId="2D5EDAA9" w14:textId="77777777">
      <w:pPr>
        <w:rPr>
          <w:b/>
          <w:bCs/>
        </w:rPr>
      </w:pPr>
    </w:p>
    <w:p w:rsidRPr="00D43CD2" w:rsidR="00D43CD2" w:rsidP="009441CB" w:rsidRDefault="00D43CD2" w14:paraId="6DFC3EC1" w14:textId="0370E1D0">
      <w:r w:rsidRPr="00D43CD2">
        <w:t xml:space="preserve">Consistent with a predictive processing framework in which phobia is more about the concept than about active processing of internal or external sensations. </w:t>
      </w:r>
    </w:p>
    <w:p w:rsidRPr="00A41630" w:rsidR="00D43CD2" w:rsidP="009441CB" w:rsidRDefault="00D43CD2" w14:paraId="048B34AA" w14:textId="77777777">
      <w:pPr>
        <w:rPr>
          <w:b/>
          <w:bCs/>
        </w:rPr>
      </w:pPr>
    </w:p>
    <w:p w:rsidRPr="00A41630" w:rsidR="00B82628" w:rsidP="009441CB" w:rsidRDefault="009441CB" w14:paraId="2CD4D33A" w14:textId="2E02A763">
      <w:pPr>
        <w:rPr>
          <w:b/>
          <w:bCs/>
        </w:rPr>
      </w:pPr>
      <w:r w:rsidRPr="00A41630">
        <w:rPr>
          <w:b/>
          <w:bCs/>
        </w:rPr>
        <w:t>IV. Discussion</w:t>
      </w:r>
    </w:p>
    <w:p w:rsidRPr="00A41630" w:rsidR="00A41630" w:rsidP="00A41630" w:rsidRDefault="00A41630" w14:paraId="36085743" w14:textId="77777777">
      <w:pPr>
        <w:pStyle w:val="ListParagraph"/>
        <w:numPr>
          <w:ilvl w:val="0"/>
          <w:numId w:val="3"/>
        </w:numPr>
        <w:rPr>
          <w:rFonts w:ascii="Times New Roman" w:hAnsi="Times New Roman" w:cs="Times New Roman"/>
          <w:b/>
          <w:bCs/>
        </w:rPr>
      </w:pPr>
      <w:r>
        <w:rPr>
          <w:rFonts w:ascii="Times New Roman" w:hAnsi="Times New Roman" w:cs="Times New Roman"/>
        </w:rPr>
        <w:t>Core findings</w:t>
      </w:r>
    </w:p>
    <w:p w:rsidRPr="00A41630" w:rsidR="00A41630" w:rsidP="00A41630" w:rsidRDefault="00A41630" w14:paraId="2C2F66BB" w14:textId="300F24C0">
      <w:pPr>
        <w:pStyle w:val="ListParagraph"/>
        <w:numPr>
          <w:ilvl w:val="1"/>
          <w:numId w:val="3"/>
        </w:numPr>
        <w:rPr>
          <w:rFonts w:ascii="Times New Roman" w:hAnsi="Times New Roman" w:cs="Times New Roman"/>
          <w:b/>
          <w:bCs/>
        </w:rPr>
      </w:pPr>
      <w:r>
        <w:rPr>
          <w:rFonts w:ascii="Times New Roman" w:hAnsi="Times New Roman" w:cs="Times New Roman"/>
        </w:rPr>
        <w:t>Subjective arousal and valence were significant predictors of fear response, both between-person and within-person</w:t>
      </w:r>
    </w:p>
    <w:p w:rsidRPr="00A41630" w:rsidR="00A41630" w:rsidP="00A41630" w:rsidRDefault="00A41630" w14:paraId="08FC5BBC" w14:textId="7B0B13B9">
      <w:pPr>
        <w:pStyle w:val="ListParagraph"/>
        <w:numPr>
          <w:ilvl w:val="1"/>
          <w:numId w:val="3"/>
        </w:numPr>
        <w:rPr>
          <w:rFonts w:ascii="Times New Roman" w:hAnsi="Times New Roman" w:cs="Times New Roman"/>
          <w:b/>
          <w:bCs/>
        </w:rPr>
      </w:pPr>
      <w:r>
        <w:rPr>
          <w:rFonts w:ascii="Times New Roman" w:hAnsi="Times New Roman" w:cs="Times New Roman"/>
        </w:rPr>
        <w:t xml:space="preserve">These findings were consistent across </w:t>
      </w:r>
      <w:r w:rsidR="00275137">
        <w:rPr>
          <w:rFonts w:ascii="Times New Roman" w:hAnsi="Times New Roman" w:cs="Times New Roman"/>
        </w:rPr>
        <w:t xml:space="preserve">heights phobia, spider phobia, and social </w:t>
      </w:r>
      <w:proofErr w:type="gramStart"/>
      <w:r w:rsidR="00275137">
        <w:rPr>
          <w:rFonts w:ascii="Times New Roman" w:hAnsi="Times New Roman" w:cs="Times New Roman"/>
        </w:rPr>
        <w:t>phobia</w:t>
      </w:r>
      <w:proofErr w:type="gramEnd"/>
    </w:p>
    <w:p w:rsidRPr="00275137" w:rsidR="00A41630" w:rsidP="00A41630" w:rsidRDefault="00A41630" w14:paraId="6B3F85F1" w14:textId="7924176E">
      <w:pPr>
        <w:pStyle w:val="ListParagraph"/>
        <w:numPr>
          <w:ilvl w:val="1"/>
          <w:numId w:val="3"/>
        </w:numPr>
        <w:rPr>
          <w:rFonts w:ascii="Times New Roman" w:hAnsi="Times New Roman" w:cs="Times New Roman"/>
          <w:b/>
          <w:bCs/>
        </w:rPr>
      </w:pPr>
      <w:r>
        <w:rPr>
          <w:rFonts w:ascii="Times New Roman" w:hAnsi="Times New Roman" w:cs="Times New Roman"/>
        </w:rPr>
        <w:t>When subjective arousal and valence were included in the model, objective indic</w:t>
      </w:r>
      <w:r w:rsidR="00275137">
        <w:rPr>
          <w:rFonts w:ascii="Times New Roman" w:hAnsi="Times New Roman" w:cs="Times New Roman"/>
        </w:rPr>
        <w:t xml:space="preserve">es of arousal were not significant </w:t>
      </w:r>
      <w:proofErr w:type="gramStart"/>
      <w:r w:rsidR="00275137">
        <w:rPr>
          <w:rFonts w:ascii="Times New Roman" w:hAnsi="Times New Roman" w:cs="Times New Roman"/>
        </w:rPr>
        <w:t>predictors</w:t>
      </w:r>
      <w:proofErr w:type="gramEnd"/>
    </w:p>
    <w:p w:rsidRPr="00275137" w:rsidR="00275137" w:rsidP="00A41630" w:rsidRDefault="00275137" w14:paraId="7B9A07B2" w14:textId="325FBDC3">
      <w:pPr>
        <w:pStyle w:val="ListParagraph"/>
        <w:numPr>
          <w:ilvl w:val="1"/>
          <w:numId w:val="3"/>
        </w:numPr>
        <w:rPr>
          <w:rFonts w:ascii="Times New Roman" w:hAnsi="Times New Roman" w:cs="Times New Roman"/>
          <w:b/>
          <w:bCs/>
        </w:rPr>
      </w:pPr>
      <w:r>
        <w:rPr>
          <w:rFonts w:ascii="Times New Roman" w:hAnsi="Times New Roman" w:cs="Times New Roman"/>
        </w:rPr>
        <w:t xml:space="preserve">Specific phobia did not moderate the relationship between any variables as predictors of </w:t>
      </w:r>
      <w:proofErr w:type="gramStart"/>
      <w:r>
        <w:rPr>
          <w:rFonts w:ascii="Times New Roman" w:hAnsi="Times New Roman" w:cs="Times New Roman"/>
        </w:rPr>
        <w:t>fear</w:t>
      </w:r>
      <w:proofErr w:type="gramEnd"/>
    </w:p>
    <w:p w:rsidRPr="00275137" w:rsidR="00275137" w:rsidP="00A41630" w:rsidRDefault="00275137" w14:paraId="420C0636" w14:textId="61F55993">
      <w:pPr>
        <w:pStyle w:val="ListParagraph"/>
        <w:numPr>
          <w:ilvl w:val="1"/>
          <w:numId w:val="3"/>
        </w:numPr>
        <w:rPr>
          <w:rFonts w:ascii="Times New Roman" w:hAnsi="Times New Roman" w:cs="Times New Roman"/>
          <w:b/>
          <w:bCs/>
        </w:rPr>
      </w:pPr>
      <w:r>
        <w:rPr>
          <w:rFonts w:ascii="Times New Roman" w:hAnsi="Times New Roman" w:cs="Times New Roman"/>
        </w:rPr>
        <w:t xml:space="preserve">Specific phobia remained a significant predictor after accounting for the effects of objective indices of arousal, subjective arousal, and subjective valence. </w:t>
      </w:r>
    </w:p>
    <w:p w:rsidRPr="00275137" w:rsidR="00275137" w:rsidP="00275137" w:rsidRDefault="00275137" w14:paraId="1A14DC74" w14:textId="2277F89B">
      <w:pPr>
        <w:pStyle w:val="ListParagraph"/>
        <w:numPr>
          <w:ilvl w:val="0"/>
          <w:numId w:val="3"/>
        </w:numPr>
        <w:rPr>
          <w:rFonts w:ascii="Times New Roman" w:hAnsi="Times New Roman" w:cs="Times New Roman"/>
          <w:b/>
          <w:bCs/>
        </w:rPr>
      </w:pPr>
      <w:r>
        <w:rPr>
          <w:rFonts w:ascii="Times New Roman" w:hAnsi="Times New Roman" w:cs="Times New Roman"/>
        </w:rPr>
        <w:t>Discussion of Arousal/Valence findings</w:t>
      </w:r>
    </w:p>
    <w:p w:rsidRPr="00275137" w:rsidR="00275137" w:rsidP="00275137" w:rsidRDefault="00275137" w14:paraId="185E3EA5" w14:textId="5E873EB4">
      <w:pPr>
        <w:pStyle w:val="ListParagraph"/>
        <w:numPr>
          <w:ilvl w:val="0"/>
          <w:numId w:val="3"/>
        </w:numPr>
        <w:rPr>
          <w:rFonts w:ascii="Times New Roman" w:hAnsi="Times New Roman" w:cs="Times New Roman"/>
          <w:b/>
          <w:bCs/>
        </w:rPr>
      </w:pPr>
      <w:r>
        <w:rPr>
          <w:rFonts w:ascii="Times New Roman" w:hAnsi="Times New Roman" w:cs="Times New Roman"/>
        </w:rPr>
        <w:t>Persistence of Specific Phobia findings</w:t>
      </w:r>
    </w:p>
    <w:p w:rsidRPr="00275137" w:rsidR="00275137" w:rsidP="00275137" w:rsidRDefault="00275137" w14:paraId="34FA5C6D" w14:textId="15B83424">
      <w:pPr>
        <w:pStyle w:val="ListParagraph"/>
        <w:numPr>
          <w:ilvl w:val="1"/>
          <w:numId w:val="3"/>
        </w:numPr>
        <w:rPr>
          <w:rFonts w:ascii="Times New Roman" w:hAnsi="Times New Roman" w:cs="Times New Roman"/>
          <w:b/>
          <w:bCs/>
        </w:rPr>
      </w:pPr>
      <w:r>
        <w:rPr>
          <w:rFonts w:ascii="Times New Roman" w:hAnsi="Times New Roman" w:cs="Times New Roman"/>
        </w:rPr>
        <w:t xml:space="preserve">If not for elevated physiological reactivity and subjectively experienced arousal and fear, what accounts for the relationship between specific phobia and fear? </w:t>
      </w:r>
    </w:p>
    <w:p w:rsidRPr="00D515FA" w:rsidR="00275137" w:rsidP="00275137" w:rsidRDefault="00275137" w14:paraId="17B25EEE" w14:textId="59DEAA74">
      <w:pPr>
        <w:pStyle w:val="ListParagraph"/>
        <w:numPr>
          <w:ilvl w:val="2"/>
          <w:numId w:val="3"/>
        </w:numPr>
        <w:rPr>
          <w:rFonts w:ascii="Times New Roman" w:hAnsi="Times New Roman" w:cs="Times New Roman"/>
          <w:b/>
          <w:bCs/>
        </w:rPr>
      </w:pPr>
      <w:r>
        <w:rPr>
          <w:rFonts w:ascii="Times New Roman" w:hAnsi="Times New Roman" w:cs="Times New Roman"/>
        </w:rPr>
        <w:t>One possibility: expectation. Those with specific phobia expect and, consequently, experience, fear in response to these stimuli.</w:t>
      </w:r>
    </w:p>
    <w:p w:rsidRPr="00742A52" w:rsidR="00D515FA" w:rsidP="00D515FA" w:rsidRDefault="00D515FA" w14:paraId="3A291EEE" w14:textId="0797720C">
      <w:pPr>
        <w:pStyle w:val="ListParagraph"/>
        <w:numPr>
          <w:ilvl w:val="0"/>
          <w:numId w:val="3"/>
        </w:numPr>
        <w:rPr>
          <w:rFonts w:ascii="Times New Roman" w:hAnsi="Times New Roman" w:cs="Times New Roman"/>
          <w:b/>
          <w:bCs/>
        </w:rPr>
      </w:pPr>
      <w:r>
        <w:rPr>
          <w:rFonts w:ascii="Times New Roman" w:hAnsi="Times New Roman" w:cs="Times New Roman"/>
        </w:rPr>
        <w:t>Limitations</w:t>
      </w:r>
    </w:p>
    <w:p w:rsidRPr="003A0125" w:rsidR="003A0125" w:rsidP="00742A52" w:rsidRDefault="003A0125" w14:paraId="25598000" w14:textId="04FD419A">
      <w:pPr>
        <w:pStyle w:val="ListParagraph"/>
        <w:numPr>
          <w:ilvl w:val="1"/>
          <w:numId w:val="3"/>
        </w:numPr>
        <w:rPr>
          <w:rFonts w:ascii="Times New Roman" w:hAnsi="Times New Roman" w:cs="Times New Roman"/>
          <w:b/>
          <w:bCs/>
        </w:rPr>
      </w:pPr>
      <w:r>
        <w:rPr>
          <w:rFonts w:ascii="Times New Roman" w:hAnsi="Times New Roman" w:cs="Times New Roman"/>
        </w:rPr>
        <w:t>Not causal. Cross-sectional.</w:t>
      </w:r>
    </w:p>
    <w:p w:rsidRPr="001C7E87" w:rsidR="001C7E87" w:rsidP="00742A52" w:rsidRDefault="001C7E87" w14:paraId="2A165672" w14:textId="07AD7B22">
      <w:pPr>
        <w:pStyle w:val="ListParagraph"/>
        <w:numPr>
          <w:ilvl w:val="1"/>
          <w:numId w:val="3"/>
        </w:numPr>
        <w:rPr>
          <w:rFonts w:ascii="Times New Roman" w:hAnsi="Times New Roman" w:cs="Times New Roman"/>
          <w:b/>
          <w:bCs/>
        </w:rPr>
      </w:pPr>
      <w:r>
        <w:rPr>
          <w:rFonts w:ascii="Times New Roman" w:hAnsi="Times New Roman" w:cs="Times New Roman"/>
        </w:rPr>
        <w:t>Self-report severity of specific phobia rather than diagnosis</w:t>
      </w:r>
    </w:p>
    <w:p w:rsidRPr="00D515FA" w:rsidR="00742A52" w:rsidP="00742A52" w:rsidRDefault="00742A52" w14:paraId="38F4EC12" w14:textId="3DDB88A7">
      <w:pPr>
        <w:pStyle w:val="ListParagraph"/>
        <w:numPr>
          <w:ilvl w:val="1"/>
          <w:numId w:val="3"/>
        </w:numPr>
        <w:rPr>
          <w:rFonts w:ascii="Times New Roman" w:hAnsi="Times New Roman" w:cs="Times New Roman"/>
          <w:b/>
          <w:bCs/>
        </w:rPr>
      </w:pPr>
      <w:r>
        <w:rPr>
          <w:rFonts w:ascii="Times New Roman" w:hAnsi="Times New Roman" w:cs="Times New Roman"/>
        </w:rPr>
        <w:t>Common-method variance may account for at least some of the relationship between subjective arousal, valence, and fear</w:t>
      </w:r>
    </w:p>
    <w:p w:rsidRPr="00275137" w:rsidR="00D515FA" w:rsidP="00D515FA" w:rsidRDefault="00D515FA" w14:paraId="6C5D05E2" w14:textId="69F590EF">
      <w:pPr>
        <w:pStyle w:val="ListParagraph"/>
        <w:numPr>
          <w:ilvl w:val="0"/>
          <w:numId w:val="3"/>
        </w:numPr>
        <w:rPr>
          <w:rFonts w:ascii="Times New Roman" w:hAnsi="Times New Roman" w:cs="Times New Roman"/>
          <w:b/>
          <w:bCs/>
        </w:rPr>
      </w:pPr>
      <w:r>
        <w:rPr>
          <w:rFonts w:ascii="Times New Roman" w:hAnsi="Times New Roman" w:cs="Times New Roman"/>
        </w:rPr>
        <w:t>Conclusion</w:t>
      </w:r>
    </w:p>
    <w:sectPr w:rsidRPr="00275137" w:rsidR="00D515FA" w:rsidSect="0024395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7F25"/>
    <w:multiLevelType w:val="hybridMultilevel"/>
    <w:tmpl w:val="263AD536"/>
    <w:lvl w:ilvl="0" w:tplc="39A4D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191F7A"/>
    <w:multiLevelType w:val="hybridMultilevel"/>
    <w:tmpl w:val="02DE6A76"/>
    <w:lvl w:ilvl="0" w:tplc="55C266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E10D3"/>
    <w:multiLevelType w:val="hybridMultilevel"/>
    <w:tmpl w:val="8822F8D4"/>
    <w:lvl w:ilvl="0" w:tplc="FC38B32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A754E9"/>
    <w:multiLevelType w:val="hybridMultilevel"/>
    <w:tmpl w:val="DD409D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388010">
    <w:abstractNumId w:val="1"/>
  </w:num>
  <w:num w:numId="2" w16cid:durableId="1501656926">
    <w:abstractNumId w:val="0"/>
  </w:num>
  <w:num w:numId="3" w16cid:durableId="1078019770">
    <w:abstractNumId w:val="2"/>
  </w:num>
  <w:num w:numId="4" w16cid:durableId="138112839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4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C8"/>
    <w:rsid w:val="000072F4"/>
    <w:rsid w:val="00022013"/>
    <w:rsid w:val="00024515"/>
    <w:rsid w:val="00031304"/>
    <w:rsid w:val="00034F9C"/>
    <w:rsid w:val="00062B65"/>
    <w:rsid w:val="000701CF"/>
    <w:rsid w:val="00077F7A"/>
    <w:rsid w:val="000A5949"/>
    <w:rsid w:val="000B39F1"/>
    <w:rsid w:val="000C4BEB"/>
    <w:rsid w:val="000D0472"/>
    <w:rsid w:val="00104850"/>
    <w:rsid w:val="001121A4"/>
    <w:rsid w:val="001142CA"/>
    <w:rsid w:val="00117427"/>
    <w:rsid w:val="00125D38"/>
    <w:rsid w:val="00135432"/>
    <w:rsid w:val="00147301"/>
    <w:rsid w:val="00171C4E"/>
    <w:rsid w:val="001738D8"/>
    <w:rsid w:val="00181062"/>
    <w:rsid w:val="00191BF1"/>
    <w:rsid w:val="001937D9"/>
    <w:rsid w:val="001B2041"/>
    <w:rsid w:val="001B2E75"/>
    <w:rsid w:val="001C7E87"/>
    <w:rsid w:val="001D2FB5"/>
    <w:rsid w:val="001D532A"/>
    <w:rsid w:val="001F0711"/>
    <w:rsid w:val="0022053E"/>
    <w:rsid w:val="002224BF"/>
    <w:rsid w:val="00224C99"/>
    <w:rsid w:val="00242B6A"/>
    <w:rsid w:val="00243957"/>
    <w:rsid w:val="00252246"/>
    <w:rsid w:val="00264F24"/>
    <w:rsid w:val="002713D2"/>
    <w:rsid w:val="00275137"/>
    <w:rsid w:val="00275809"/>
    <w:rsid w:val="00281F89"/>
    <w:rsid w:val="0029424F"/>
    <w:rsid w:val="00295DA2"/>
    <w:rsid w:val="002964C0"/>
    <w:rsid w:val="002C6382"/>
    <w:rsid w:val="002C7CD9"/>
    <w:rsid w:val="002D06C9"/>
    <w:rsid w:val="002D2332"/>
    <w:rsid w:val="002D4E36"/>
    <w:rsid w:val="002E0933"/>
    <w:rsid w:val="002F1351"/>
    <w:rsid w:val="002F34C3"/>
    <w:rsid w:val="00301149"/>
    <w:rsid w:val="0031425D"/>
    <w:rsid w:val="00315790"/>
    <w:rsid w:val="003159B3"/>
    <w:rsid w:val="00327699"/>
    <w:rsid w:val="003342E2"/>
    <w:rsid w:val="0036364D"/>
    <w:rsid w:val="00365721"/>
    <w:rsid w:val="0036727D"/>
    <w:rsid w:val="00380D62"/>
    <w:rsid w:val="00381B56"/>
    <w:rsid w:val="003A0125"/>
    <w:rsid w:val="003A5AEF"/>
    <w:rsid w:val="003A681E"/>
    <w:rsid w:val="003D665E"/>
    <w:rsid w:val="00404A84"/>
    <w:rsid w:val="00412B66"/>
    <w:rsid w:val="00446EE1"/>
    <w:rsid w:val="00474B05"/>
    <w:rsid w:val="00480B36"/>
    <w:rsid w:val="00482FD8"/>
    <w:rsid w:val="00496D84"/>
    <w:rsid w:val="004A491E"/>
    <w:rsid w:val="004A583F"/>
    <w:rsid w:val="004B2FB6"/>
    <w:rsid w:val="004B6615"/>
    <w:rsid w:val="004D14AB"/>
    <w:rsid w:val="004D255C"/>
    <w:rsid w:val="004E30E3"/>
    <w:rsid w:val="00500856"/>
    <w:rsid w:val="00503004"/>
    <w:rsid w:val="00513EA8"/>
    <w:rsid w:val="005215F8"/>
    <w:rsid w:val="00523862"/>
    <w:rsid w:val="00531B90"/>
    <w:rsid w:val="00534D07"/>
    <w:rsid w:val="00544DFD"/>
    <w:rsid w:val="0054699B"/>
    <w:rsid w:val="00563C72"/>
    <w:rsid w:val="00565643"/>
    <w:rsid w:val="005733D5"/>
    <w:rsid w:val="005775C2"/>
    <w:rsid w:val="00582B5C"/>
    <w:rsid w:val="00586ECF"/>
    <w:rsid w:val="00593A45"/>
    <w:rsid w:val="005A1577"/>
    <w:rsid w:val="005B4C03"/>
    <w:rsid w:val="005C71E9"/>
    <w:rsid w:val="005D33BF"/>
    <w:rsid w:val="005D365A"/>
    <w:rsid w:val="005F0402"/>
    <w:rsid w:val="005F46D6"/>
    <w:rsid w:val="005F7875"/>
    <w:rsid w:val="00606D01"/>
    <w:rsid w:val="00613F66"/>
    <w:rsid w:val="00623338"/>
    <w:rsid w:val="00630C9A"/>
    <w:rsid w:val="00632AA3"/>
    <w:rsid w:val="00641EA8"/>
    <w:rsid w:val="0064343E"/>
    <w:rsid w:val="006566EF"/>
    <w:rsid w:val="00661781"/>
    <w:rsid w:val="006622CC"/>
    <w:rsid w:val="00671D5D"/>
    <w:rsid w:val="00676AC8"/>
    <w:rsid w:val="00691178"/>
    <w:rsid w:val="0069335E"/>
    <w:rsid w:val="00697917"/>
    <w:rsid w:val="006A5B10"/>
    <w:rsid w:val="006B00A6"/>
    <w:rsid w:val="006B548C"/>
    <w:rsid w:val="006C01E9"/>
    <w:rsid w:val="006E0037"/>
    <w:rsid w:val="006E6455"/>
    <w:rsid w:val="006F089D"/>
    <w:rsid w:val="00711D54"/>
    <w:rsid w:val="0071448E"/>
    <w:rsid w:val="007247C0"/>
    <w:rsid w:val="00736746"/>
    <w:rsid w:val="00742A52"/>
    <w:rsid w:val="0074591A"/>
    <w:rsid w:val="00746D26"/>
    <w:rsid w:val="00764F46"/>
    <w:rsid w:val="00767CBC"/>
    <w:rsid w:val="007752D9"/>
    <w:rsid w:val="007934A8"/>
    <w:rsid w:val="007E02F0"/>
    <w:rsid w:val="007F352A"/>
    <w:rsid w:val="007F5E48"/>
    <w:rsid w:val="0081770B"/>
    <w:rsid w:val="008220DF"/>
    <w:rsid w:val="00831A20"/>
    <w:rsid w:val="00833724"/>
    <w:rsid w:val="00837BA2"/>
    <w:rsid w:val="00843216"/>
    <w:rsid w:val="008437D7"/>
    <w:rsid w:val="00851A81"/>
    <w:rsid w:val="0085235B"/>
    <w:rsid w:val="00873514"/>
    <w:rsid w:val="00892EE5"/>
    <w:rsid w:val="008970E4"/>
    <w:rsid w:val="008B10C4"/>
    <w:rsid w:val="008B1505"/>
    <w:rsid w:val="008D414B"/>
    <w:rsid w:val="008D694B"/>
    <w:rsid w:val="008E4776"/>
    <w:rsid w:val="008E5A00"/>
    <w:rsid w:val="008F508A"/>
    <w:rsid w:val="008F64E6"/>
    <w:rsid w:val="00901657"/>
    <w:rsid w:val="00902862"/>
    <w:rsid w:val="009225E9"/>
    <w:rsid w:val="009253A7"/>
    <w:rsid w:val="00927445"/>
    <w:rsid w:val="009441CB"/>
    <w:rsid w:val="00947D37"/>
    <w:rsid w:val="00953577"/>
    <w:rsid w:val="00967B29"/>
    <w:rsid w:val="009873C9"/>
    <w:rsid w:val="00990D74"/>
    <w:rsid w:val="00993D7C"/>
    <w:rsid w:val="009B6097"/>
    <w:rsid w:val="009B6E83"/>
    <w:rsid w:val="009B7725"/>
    <w:rsid w:val="009E13B4"/>
    <w:rsid w:val="009F252A"/>
    <w:rsid w:val="009F3376"/>
    <w:rsid w:val="009F5F67"/>
    <w:rsid w:val="00A10FC4"/>
    <w:rsid w:val="00A140A0"/>
    <w:rsid w:val="00A206DE"/>
    <w:rsid w:val="00A21562"/>
    <w:rsid w:val="00A23596"/>
    <w:rsid w:val="00A260E8"/>
    <w:rsid w:val="00A26586"/>
    <w:rsid w:val="00A34229"/>
    <w:rsid w:val="00A41630"/>
    <w:rsid w:val="00A5561B"/>
    <w:rsid w:val="00A84F18"/>
    <w:rsid w:val="00A96183"/>
    <w:rsid w:val="00AA5E9A"/>
    <w:rsid w:val="00AB2C68"/>
    <w:rsid w:val="00AC053F"/>
    <w:rsid w:val="00AC5AC4"/>
    <w:rsid w:val="00AC7A8B"/>
    <w:rsid w:val="00AD5723"/>
    <w:rsid w:val="00AE3F1B"/>
    <w:rsid w:val="00AE60A8"/>
    <w:rsid w:val="00B03EA2"/>
    <w:rsid w:val="00B04452"/>
    <w:rsid w:val="00B22183"/>
    <w:rsid w:val="00B2295E"/>
    <w:rsid w:val="00B26D65"/>
    <w:rsid w:val="00B337C6"/>
    <w:rsid w:val="00B37E02"/>
    <w:rsid w:val="00B65F06"/>
    <w:rsid w:val="00B66B5E"/>
    <w:rsid w:val="00B71679"/>
    <w:rsid w:val="00B730BA"/>
    <w:rsid w:val="00B7618A"/>
    <w:rsid w:val="00B82628"/>
    <w:rsid w:val="00BA4212"/>
    <w:rsid w:val="00BB5C5A"/>
    <w:rsid w:val="00BC357D"/>
    <w:rsid w:val="00BD533A"/>
    <w:rsid w:val="00BD723A"/>
    <w:rsid w:val="00BE7DEF"/>
    <w:rsid w:val="00BF732E"/>
    <w:rsid w:val="00C07120"/>
    <w:rsid w:val="00C10957"/>
    <w:rsid w:val="00C143BC"/>
    <w:rsid w:val="00C21F79"/>
    <w:rsid w:val="00C2306C"/>
    <w:rsid w:val="00C333BD"/>
    <w:rsid w:val="00C37681"/>
    <w:rsid w:val="00C376E3"/>
    <w:rsid w:val="00C40925"/>
    <w:rsid w:val="00C5328E"/>
    <w:rsid w:val="00C57D37"/>
    <w:rsid w:val="00C638B5"/>
    <w:rsid w:val="00C64A6C"/>
    <w:rsid w:val="00C81737"/>
    <w:rsid w:val="00C94907"/>
    <w:rsid w:val="00CB0A69"/>
    <w:rsid w:val="00CC0AB8"/>
    <w:rsid w:val="00CC2798"/>
    <w:rsid w:val="00CD776C"/>
    <w:rsid w:val="00CE16DF"/>
    <w:rsid w:val="00CE1F42"/>
    <w:rsid w:val="00CE53AD"/>
    <w:rsid w:val="00CE70CE"/>
    <w:rsid w:val="00CF1B8C"/>
    <w:rsid w:val="00CF2AB8"/>
    <w:rsid w:val="00D1059C"/>
    <w:rsid w:val="00D3052D"/>
    <w:rsid w:val="00D4041D"/>
    <w:rsid w:val="00D431B1"/>
    <w:rsid w:val="00D43CD2"/>
    <w:rsid w:val="00D515FA"/>
    <w:rsid w:val="00D548EF"/>
    <w:rsid w:val="00D57351"/>
    <w:rsid w:val="00D718A1"/>
    <w:rsid w:val="00D850BF"/>
    <w:rsid w:val="00D90F45"/>
    <w:rsid w:val="00D93057"/>
    <w:rsid w:val="00D94443"/>
    <w:rsid w:val="00D96B63"/>
    <w:rsid w:val="00D97FD0"/>
    <w:rsid w:val="00DB0F38"/>
    <w:rsid w:val="00DB629B"/>
    <w:rsid w:val="00DB6507"/>
    <w:rsid w:val="00DC181C"/>
    <w:rsid w:val="00DE7B90"/>
    <w:rsid w:val="00DF14A1"/>
    <w:rsid w:val="00E12A1D"/>
    <w:rsid w:val="00E20439"/>
    <w:rsid w:val="00E20816"/>
    <w:rsid w:val="00E3149D"/>
    <w:rsid w:val="00E36C64"/>
    <w:rsid w:val="00E41A1D"/>
    <w:rsid w:val="00E505CB"/>
    <w:rsid w:val="00E63273"/>
    <w:rsid w:val="00E645DA"/>
    <w:rsid w:val="00E669A7"/>
    <w:rsid w:val="00E773A7"/>
    <w:rsid w:val="00EB3ED9"/>
    <w:rsid w:val="00EC1CDE"/>
    <w:rsid w:val="00EC66AE"/>
    <w:rsid w:val="00ED17C0"/>
    <w:rsid w:val="00ED610B"/>
    <w:rsid w:val="00EE067A"/>
    <w:rsid w:val="00EF70C8"/>
    <w:rsid w:val="00F04015"/>
    <w:rsid w:val="00F04438"/>
    <w:rsid w:val="00F06593"/>
    <w:rsid w:val="00F10B4A"/>
    <w:rsid w:val="00F2438E"/>
    <w:rsid w:val="00F473A1"/>
    <w:rsid w:val="00F54ABC"/>
    <w:rsid w:val="00F75D23"/>
    <w:rsid w:val="00F8646C"/>
    <w:rsid w:val="00F920E7"/>
    <w:rsid w:val="00FC1F89"/>
    <w:rsid w:val="00FC34FD"/>
    <w:rsid w:val="00FC538F"/>
    <w:rsid w:val="00FC5EB9"/>
    <w:rsid w:val="00FD7E2F"/>
    <w:rsid w:val="00FE2FDA"/>
    <w:rsid w:val="00FE3F2C"/>
    <w:rsid w:val="00FE7A1E"/>
    <w:rsid w:val="00FF25CA"/>
    <w:rsid w:val="00FF5B8D"/>
    <w:rsid w:val="6DECD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D723E"/>
  <w14:defaultImageDpi w14:val="32767"/>
  <w15:chartTrackingRefBased/>
  <w15:docId w15:val="{9EC413A1-0845-6244-A166-D1199CAB61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260E8"/>
    <w:rPr>
      <w:rFonts w:ascii="Times New Roman" w:hAnsi="Times New Roman" w:eastAsia="Times New Roman" w:cs="Times New Roman"/>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1B2E75"/>
    <w:rPr>
      <w:sz w:val="18"/>
      <w:szCs w:val="18"/>
    </w:rPr>
  </w:style>
  <w:style w:type="character" w:styleId="BalloonTextChar" w:customStyle="1">
    <w:name w:val="Balloon Text Char"/>
    <w:basedOn w:val="DefaultParagraphFont"/>
    <w:link w:val="BalloonText"/>
    <w:uiPriority w:val="99"/>
    <w:semiHidden/>
    <w:rsid w:val="001B2E75"/>
    <w:rPr>
      <w:rFonts w:ascii="Times New Roman" w:hAnsi="Times New Roman" w:cs="Times New Roman"/>
      <w:sz w:val="18"/>
      <w:szCs w:val="18"/>
    </w:rPr>
  </w:style>
  <w:style w:type="paragraph" w:styleId="ListParagraph">
    <w:name w:val="List Paragraph"/>
    <w:basedOn w:val="Normal"/>
    <w:uiPriority w:val="34"/>
    <w:qFormat/>
    <w:rsid w:val="009441CB"/>
    <w:pPr>
      <w:ind w:left="720"/>
      <w:contextualSpacing/>
    </w:pPr>
    <w:rPr>
      <w:rFonts w:asciiTheme="minorHAnsi" w:hAnsiTheme="minorHAnsi" w:eastAsia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 r</dc:creator>
  <keywords/>
  <dc:description/>
  <lastModifiedBy>Kieran McVeigh</lastModifiedBy>
  <revision>10</revision>
  <dcterms:created xsi:type="dcterms:W3CDTF">2023-05-12T18:38:00.0000000Z</dcterms:created>
  <dcterms:modified xsi:type="dcterms:W3CDTF">2023-12-01T21:01:15.5520767Z</dcterms:modified>
</coreProperties>
</file>