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0B2810" w14:textId="4C4FD0E8" w:rsidR="00F203C1" w:rsidRPr="00F203C1" w:rsidRDefault="00F203C1" w:rsidP="00F203C1">
      <w:pPr>
        <w:pStyle w:val="Title"/>
        <w:jc w:val="center"/>
        <w:rPr>
          <w:u w:val="single"/>
        </w:rPr>
      </w:pPr>
      <w:r w:rsidRPr="00F203C1">
        <w:rPr>
          <w:u w:val="single"/>
        </w:rPr>
        <w:t>Assignment # 8</w:t>
      </w:r>
    </w:p>
    <w:p w14:paraId="2D0E3CBC" w14:textId="163CB3B8" w:rsidR="00F203C1" w:rsidRDefault="00F203C1" w:rsidP="00F203C1"/>
    <w:p w14:paraId="31C74EE5" w14:textId="2BB9CC8A" w:rsidR="00F203C1" w:rsidRPr="00F203C1" w:rsidRDefault="00F203C1" w:rsidP="00F203C1">
      <w:pPr>
        <w:pStyle w:val="Subtitle"/>
        <w:jc w:val="center"/>
        <w:rPr>
          <w:sz w:val="32"/>
        </w:rPr>
      </w:pPr>
      <w:r w:rsidRPr="00F203C1">
        <w:rPr>
          <w:sz w:val="32"/>
        </w:rPr>
        <w:t>The Parallels between Statistical Testing and Jurisprudence</w:t>
      </w:r>
    </w:p>
    <w:p w14:paraId="116ACB4A" w14:textId="77777777" w:rsidR="00F203C1" w:rsidRDefault="00F203C1" w:rsidP="00F203C1">
      <w:pPr>
        <w:pStyle w:val="Heading1"/>
        <w:spacing w:after="150"/>
      </w:pPr>
    </w:p>
    <w:p w14:paraId="05478D6B" w14:textId="120CD597" w:rsidR="00F203C1" w:rsidRDefault="00F203C1" w:rsidP="00F203C1">
      <w:pPr>
        <w:pStyle w:val="Heading1"/>
        <w:spacing w:after="150"/>
      </w:pPr>
      <w:r>
        <w:t>PREFACE</w:t>
      </w:r>
      <w:r>
        <w:rPr>
          <w:u w:val="none"/>
        </w:rPr>
        <w:t xml:space="preserve"> </w:t>
      </w:r>
    </w:p>
    <w:p w14:paraId="2508FC3E" w14:textId="77777777" w:rsidR="00F203C1" w:rsidRDefault="00F203C1" w:rsidP="00A71548">
      <w:pPr>
        <w:spacing w:after="112" w:line="259" w:lineRule="auto"/>
        <w:ind w:left="0" w:right="331" w:firstLine="0"/>
        <w:jc w:val="both"/>
      </w:pPr>
      <w:r>
        <w:rPr>
          <w:sz w:val="28"/>
        </w:rPr>
        <w:t xml:space="preserve"> </w:t>
      </w:r>
    </w:p>
    <w:p w14:paraId="64C19D1B" w14:textId="6F31AF75" w:rsidR="00F203C1" w:rsidRDefault="000A40F0" w:rsidP="00A71548">
      <w:pPr>
        <w:ind w:left="-5" w:right="400"/>
        <w:jc w:val="both"/>
      </w:pPr>
      <w:r>
        <w:t>For our study, let us consider the following hypotheses to draw an analogy between statistical testing and jurisprudence.</w:t>
      </w:r>
    </w:p>
    <w:p w14:paraId="22CF60FF" w14:textId="12702357" w:rsidR="00F203C1" w:rsidRDefault="000A40F0" w:rsidP="00A71548">
      <w:pPr>
        <w:ind w:left="285" w:right="400"/>
        <w:jc w:val="both"/>
        <w:rPr>
          <w:i/>
        </w:rPr>
      </w:pPr>
      <w:r w:rsidRPr="000A40F0">
        <w:rPr>
          <w:b/>
        </w:rPr>
        <w:t>H</w:t>
      </w:r>
      <w:proofErr w:type="gramStart"/>
      <w:r w:rsidRPr="000A40F0">
        <w:rPr>
          <w:b/>
          <w:vertAlign w:val="subscript"/>
        </w:rPr>
        <w:t>0</w:t>
      </w:r>
      <w:r w:rsidRPr="000A40F0">
        <w:rPr>
          <w:b/>
        </w:rPr>
        <w:t xml:space="preserve"> :</w:t>
      </w:r>
      <w:proofErr w:type="gramEnd"/>
      <w:r w:rsidRPr="000A40F0">
        <w:rPr>
          <w:i/>
        </w:rPr>
        <w:t xml:space="preserve"> The accused is innocent</w:t>
      </w:r>
    </w:p>
    <w:p w14:paraId="7308805E" w14:textId="13315520" w:rsidR="000A40F0" w:rsidRPr="000A40F0" w:rsidRDefault="000A40F0" w:rsidP="00A71548">
      <w:pPr>
        <w:ind w:left="285" w:right="400"/>
        <w:jc w:val="both"/>
        <w:rPr>
          <w:i/>
        </w:rPr>
      </w:pPr>
      <w:r>
        <w:rPr>
          <w:b/>
        </w:rPr>
        <w:tab/>
      </w:r>
      <w:r>
        <w:rPr>
          <w:b/>
        </w:rPr>
        <w:tab/>
        <w:t>(Null Hypothesis)</w:t>
      </w:r>
    </w:p>
    <w:p w14:paraId="309EC843" w14:textId="669B5CA7" w:rsidR="000A40F0" w:rsidRDefault="000A40F0" w:rsidP="00A71548">
      <w:pPr>
        <w:ind w:left="285" w:right="400"/>
        <w:jc w:val="both"/>
        <w:rPr>
          <w:i/>
        </w:rPr>
      </w:pPr>
      <w:r w:rsidRPr="000A40F0">
        <w:rPr>
          <w:b/>
        </w:rPr>
        <w:t>H</w:t>
      </w:r>
      <w:proofErr w:type="gramStart"/>
      <w:r w:rsidRPr="000A40F0">
        <w:rPr>
          <w:b/>
          <w:vertAlign w:val="subscript"/>
        </w:rPr>
        <w:t>1</w:t>
      </w:r>
      <w:r w:rsidRPr="000A40F0">
        <w:rPr>
          <w:b/>
        </w:rPr>
        <w:t xml:space="preserve"> :</w:t>
      </w:r>
      <w:proofErr w:type="gramEnd"/>
      <w:r w:rsidRPr="000A40F0">
        <w:rPr>
          <w:i/>
        </w:rPr>
        <w:t xml:space="preserve"> The accused is guilty</w:t>
      </w:r>
    </w:p>
    <w:p w14:paraId="713E5D10" w14:textId="28B8FD76" w:rsidR="000A40F0" w:rsidRPr="000A40F0" w:rsidRDefault="000A40F0" w:rsidP="00A71548">
      <w:pPr>
        <w:ind w:left="285" w:right="400"/>
        <w:jc w:val="both"/>
        <w:rPr>
          <w:i/>
        </w:rPr>
      </w:pPr>
      <w:r>
        <w:rPr>
          <w:b/>
        </w:rPr>
        <w:tab/>
      </w:r>
      <w:r>
        <w:rPr>
          <w:b/>
        </w:rPr>
        <w:tab/>
        <w:t>(Alternate Hypothesis)</w:t>
      </w:r>
    </w:p>
    <w:p w14:paraId="4194AD3B" w14:textId="77777777" w:rsidR="000A40F0" w:rsidRDefault="00F203C1" w:rsidP="00A71548">
      <w:pPr>
        <w:ind w:left="-5" w:right="400"/>
        <w:jc w:val="both"/>
      </w:pPr>
      <w:r>
        <w:t>During the trial, the jury will be presented with data (information, exhibits, testimonies, evidence) that will help, or hinder, their decision-making process.</w:t>
      </w:r>
    </w:p>
    <w:p w14:paraId="08C8D14F" w14:textId="486C2CFC" w:rsidR="00F203C1" w:rsidRDefault="00F203C1" w:rsidP="00A71548">
      <w:pPr>
        <w:ind w:left="-5" w:right="400"/>
        <w:jc w:val="both"/>
      </w:pPr>
      <w:r>
        <w:t xml:space="preserve">The original hypothesis is that the person is </w:t>
      </w:r>
      <w:r w:rsidRPr="000A40F0">
        <w:rPr>
          <w:u w:val="single"/>
        </w:rPr>
        <w:t>innocent until proven guilty</w:t>
      </w:r>
      <w:r w:rsidR="000A40F0">
        <w:t>, which is a fundamental feature of the judicial proceedings</w:t>
      </w:r>
      <w:r>
        <w:t xml:space="preserve">. Evidence will conflict and the jury will never know the true </w:t>
      </w:r>
      <w:r w:rsidR="000A40F0">
        <w:t>situation but</w:t>
      </w:r>
      <w:r>
        <w:t xml:space="preserve"> will be required to render a decision. They will find the defendant either guilty or not guilty, when in fact if all the data were known, the person is either guilty or innocent of the crime.  </w:t>
      </w:r>
    </w:p>
    <w:p w14:paraId="30B37B68" w14:textId="77777777" w:rsidR="000A40F0" w:rsidRDefault="00F203C1" w:rsidP="00A71548">
      <w:pPr>
        <w:spacing w:after="2" w:line="399" w:lineRule="auto"/>
        <w:ind w:left="2160" w:right="1498" w:hanging="2161"/>
        <w:jc w:val="both"/>
      </w:pPr>
      <w:r>
        <w:t>Two errors are possible:</w:t>
      </w:r>
    </w:p>
    <w:p w14:paraId="18B8F00D" w14:textId="422F3E3F" w:rsidR="000A40F0" w:rsidRDefault="000A40F0" w:rsidP="00A71548">
      <w:pPr>
        <w:pStyle w:val="ListParagraph"/>
        <w:numPr>
          <w:ilvl w:val="0"/>
          <w:numId w:val="1"/>
        </w:numPr>
        <w:spacing w:after="2" w:line="399" w:lineRule="auto"/>
        <w:ind w:right="1498"/>
        <w:jc w:val="both"/>
      </w:pPr>
      <w:r>
        <w:t xml:space="preserve">Sending </w:t>
      </w:r>
      <w:r w:rsidR="00F203C1">
        <w:t>an innocent person to prison (</w:t>
      </w:r>
      <w:r>
        <w:t>Type</w:t>
      </w:r>
      <w:r w:rsidR="00F203C1">
        <w:t xml:space="preserve"> I)</w:t>
      </w:r>
    </w:p>
    <w:p w14:paraId="2973C171" w14:textId="71648410" w:rsidR="000A40F0" w:rsidRDefault="000A40F0" w:rsidP="00A71548">
      <w:pPr>
        <w:pStyle w:val="ListParagraph"/>
        <w:numPr>
          <w:ilvl w:val="1"/>
          <w:numId w:val="1"/>
        </w:numPr>
        <w:spacing w:after="2" w:line="399" w:lineRule="auto"/>
        <w:ind w:right="1498"/>
        <w:jc w:val="both"/>
      </w:pPr>
      <w:r>
        <w:t>i.e., Rejecting the null hypothesis when it is true</w:t>
      </w:r>
    </w:p>
    <w:p w14:paraId="1B127FCB" w14:textId="7E981343" w:rsidR="00F203C1" w:rsidRDefault="00F203C1" w:rsidP="00A71548">
      <w:pPr>
        <w:pStyle w:val="ListParagraph"/>
        <w:numPr>
          <w:ilvl w:val="0"/>
          <w:numId w:val="1"/>
        </w:numPr>
        <w:spacing w:after="2" w:line="399" w:lineRule="auto"/>
        <w:ind w:right="1498"/>
        <w:jc w:val="both"/>
      </w:pPr>
      <w:r>
        <w:t>Freeing a guilty person (error II)</w:t>
      </w:r>
    </w:p>
    <w:p w14:paraId="2B27F25E" w14:textId="777D0685" w:rsidR="000A40F0" w:rsidRDefault="000A40F0" w:rsidP="00A71548">
      <w:pPr>
        <w:pStyle w:val="ListParagraph"/>
        <w:numPr>
          <w:ilvl w:val="1"/>
          <w:numId w:val="1"/>
        </w:numPr>
        <w:spacing w:after="2" w:line="399" w:lineRule="auto"/>
        <w:ind w:right="1498"/>
        <w:jc w:val="both"/>
      </w:pPr>
      <w:r>
        <w:t>i.e., accepting the null hypothesis when it is false</w:t>
      </w:r>
    </w:p>
    <w:p w14:paraId="2FBD5C26" w14:textId="77777777" w:rsidR="00F203C1" w:rsidRDefault="00F203C1" w:rsidP="00A71548">
      <w:pPr>
        <w:spacing w:after="155" w:line="261" w:lineRule="auto"/>
        <w:ind w:left="-5" w:right="18"/>
        <w:jc w:val="both"/>
      </w:pPr>
      <w:r>
        <w:rPr>
          <w:i/>
        </w:rPr>
        <w:t xml:space="preserve">For most, the former error would be the more grievous of the two mistakes. </w:t>
      </w:r>
    </w:p>
    <w:p w14:paraId="0E84E9A3" w14:textId="77777777" w:rsidR="00F203C1" w:rsidRDefault="00F203C1" w:rsidP="00A71548">
      <w:pPr>
        <w:ind w:left="-5" w:right="400"/>
        <w:jc w:val="both"/>
      </w:pPr>
      <w:r>
        <w:t xml:space="preserve">Note that in this analogy, if the jury fails to find the person guilty their decision is not that the person is “innocent.” Instead they render a verdict of “not guilty” (they failed to have enough evidence to prove guilt). In a similar vein, the decision is not to accept a null hypothesis, but to fail to reject it. If we cannot reject the null hypothesis, it does not prove that the statement is </w:t>
      </w:r>
      <w:proofErr w:type="gramStart"/>
      <w:r>
        <w:t>actually true</w:t>
      </w:r>
      <w:proofErr w:type="gramEnd"/>
      <w:r>
        <w:t xml:space="preserve">. It only indicates that there is insufficient evidence to justify rejection. One cannot prove a null hypothesis and can only fail to reject it. It is hoped that outcomes from our court system will end in the clear areas of the previous illustration and the innocent are freed and the guilty sent to jail. Similarly, it is hoped that the results of our statistical analysis will not fall into the shaded error regions. Like our system of jurisprudence, a statistical test can only disprove the null hypothesis; it can never prove the hypothesis is true. </w:t>
      </w:r>
    </w:p>
    <w:p w14:paraId="1C03BECD" w14:textId="77777777" w:rsidR="00F203C1" w:rsidRDefault="00F203C1" w:rsidP="00A71548">
      <w:pPr>
        <w:pStyle w:val="Subtitle"/>
        <w:jc w:val="both"/>
      </w:pPr>
      <w:r>
        <w:rPr>
          <w:u w:color="000000"/>
        </w:rPr>
        <w:lastRenderedPageBreak/>
        <w:t>Types of Errors</w:t>
      </w:r>
      <w:r>
        <w:t xml:space="preserve"> </w:t>
      </w:r>
    </w:p>
    <w:p w14:paraId="56BB74DF" w14:textId="77777777" w:rsidR="00F203C1" w:rsidRDefault="00F203C1" w:rsidP="00A71548">
      <w:pPr>
        <w:ind w:left="-5" w:right="400"/>
        <w:jc w:val="both"/>
      </w:pPr>
      <w:proofErr w:type="gramStart"/>
      <w:r>
        <w:t>Similar to</w:t>
      </w:r>
      <w:proofErr w:type="gramEnd"/>
      <w:r>
        <w:t xml:space="preserve"> our jurisprudence example, there are two possible errors associated with hypothesis testing. Type I error is the probability of rejecting a true null hypothesis (H </w:t>
      </w:r>
      <w:proofErr w:type="gramStart"/>
      <w:r>
        <w:t>0 )</w:t>
      </w:r>
      <w:proofErr w:type="gramEnd"/>
      <w:r>
        <w:t xml:space="preserve"> and Type II error is the probability of accepting a false H 0 . Type I error is also called the level of significance and uses the symbol α or p. Like sending an innocent person to jail, this is the most important error to minimize or control. </w:t>
      </w:r>
    </w:p>
    <w:p w14:paraId="707F63E7" w14:textId="77777777" w:rsidR="00F203C1" w:rsidRDefault="00F203C1" w:rsidP="00A71548">
      <w:pPr>
        <w:ind w:left="-5" w:right="400"/>
        <w:jc w:val="both"/>
      </w:pPr>
      <w:r>
        <w:t xml:space="preserve">Fortunately, the researcher has more control over the amount of acceptable Type I error. Alternatively, our level of confidence in our decision, or confidence level, is 1 - α (the probability of all outcomes less Type I error). Type II error is symbolized using the Greek letter beta </w:t>
      </w:r>
      <w:proofErr w:type="gramStart"/>
      <w:r>
        <w:t>( β</w:t>
      </w:r>
      <w:proofErr w:type="gramEnd"/>
      <w:r>
        <w:t xml:space="preserve"> ). The probability of rejecting a false H 0 is called power (1 − </w:t>
      </w:r>
      <w:proofErr w:type="gramStart"/>
      <w:r>
        <w:t>β )</w:t>
      </w:r>
      <w:proofErr w:type="gramEnd"/>
      <w:r>
        <w:t xml:space="preserve">. In hypothesis testing we always want to minimize the α and maximize 1 − β. </w:t>
      </w:r>
    </w:p>
    <w:p w14:paraId="62288D67" w14:textId="77777777" w:rsidR="00F203C1" w:rsidRDefault="00F203C1" w:rsidP="00A71548">
      <w:pPr>
        <w:spacing w:after="0" w:line="259" w:lineRule="auto"/>
        <w:ind w:left="0" w:right="0" w:firstLine="0"/>
        <w:jc w:val="both"/>
      </w:pPr>
      <w:r>
        <w:t xml:space="preserve"> </w:t>
      </w:r>
    </w:p>
    <w:p w14:paraId="48C58541" w14:textId="0AD238AC" w:rsidR="00F203C1" w:rsidRPr="000A40F0" w:rsidRDefault="00F203C1" w:rsidP="00A71548">
      <w:pPr>
        <w:pStyle w:val="Heading2"/>
        <w:jc w:val="center"/>
        <w:rPr>
          <w:sz w:val="32"/>
          <w:u w:val="single"/>
        </w:rPr>
      </w:pPr>
      <w:r w:rsidRPr="000A40F0">
        <w:rPr>
          <w:sz w:val="32"/>
          <w:u w:val="single"/>
        </w:rPr>
        <w:t>INTRODUCTION</w:t>
      </w:r>
    </w:p>
    <w:p w14:paraId="5C95EA79" w14:textId="77777777" w:rsidR="00F203C1" w:rsidRDefault="00F203C1" w:rsidP="00A71548">
      <w:pPr>
        <w:spacing w:after="153" w:line="259" w:lineRule="auto"/>
        <w:ind w:left="0" w:right="344" w:firstLine="0"/>
        <w:jc w:val="both"/>
      </w:pPr>
      <w:r>
        <w:rPr>
          <w:b/>
        </w:rPr>
        <w:t xml:space="preserve"> </w:t>
      </w:r>
    </w:p>
    <w:p w14:paraId="7E511851" w14:textId="77777777" w:rsidR="00F203C1" w:rsidRDefault="00F203C1" w:rsidP="00A71548">
      <w:pPr>
        <w:ind w:left="-5" w:right="400"/>
        <w:jc w:val="both"/>
      </w:pPr>
      <w:r>
        <w:t xml:space="preserve">The relationship between legal decision rules and thresholds of statistical significance is a well-known and studied phenomena in the academic literature.  Moreover, this distinction has been recognized in law. A primary issue for courts faced with evaluating statistical evidence offered by experts in litigation is how to make legal inferences from the statistical results.  One approach taken by some courts is to use the standard tools of statistical inference to make legal inferences. </w:t>
      </w:r>
    </w:p>
    <w:p w14:paraId="081EDF01" w14:textId="77777777" w:rsidR="00F203C1" w:rsidRDefault="00F203C1" w:rsidP="00A71548">
      <w:pPr>
        <w:ind w:left="-5" w:right="400"/>
        <w:jc w:val="both"/>
      </w:pPr>
      <w:r>
        <w:t xml:space="preserve">The relationship between statistical and legal significance depends on the nature of the legal standard, including how the legal standard defines and constrains the alternative hypothesis.  Adapting statistical hypothesis testing to address legal standards will also depend on the nature of the properties of the relevant sampling distributions for both the null and alternative hypotheses.  As a result, it is generally not possible to simply replace one fixed level of statistical significance with other fixed levels of significance to make these statistical tests coincide with the applicable legal standard. </w:t>
      </w:r>
    </w:p>
    <w:p w14:paraId="235DDB58" w14:textId="77777777" w:rsidR="00F203C1" w:rsidRDefault="00F203C1" w:rsidP="00A71548">
      <w:pPr>
        <w:spacing w:after="158" w:line="259" w:lineRule="auto"/>
        <w:ind w:left="0" w:right="0" w:firstLine="0"/>
        <w:jc w:val="both"/>
      </w:pPr>
      <w:r>
        <w:t xml:space="preserve"> </w:t>
      </w:r>
    </w:p>
    <w:p w14:paraId="62B4785D" w14:textId="77777777" w:rsidR="00F203C1" w:rsidRDefault="00F203C1" w:rsidP="00A71548">
      <w:pPr>
        <w:pStyle w:val="Subtitle"/>
        <w:jc w:val="both"/>
      </w:pPr>
      <w:r>
        <w:rPr>
          <w:u w:color="000000"/>
        </w:rPr>
        <w:t>Null and Alternative Hypotheses</w:t>
      </w:r>
      <w:r>
        <w:t xml:space="preserve">  </w:t>
      </w:r>
    </w:p>
    <w:p w14:paraId="407A66DF" w14:textId="77777777" w:rsidR="00F203C1" w:rsidRDefault="00F203C1" w:rsidP="00A71548">
      <w:pPr>
        <w:ind w:left="-5" w:right="400"/>
        <w:jc w:val="both"/>
      </w:pPr>
      <w:r>
        <w:t xml:space="preserve">In order to illustrate both the standard Null Hypothesis Statistical Testing approach to hypothesis testing and the general error cost framework used in later sections, we use the following example throughout the paper.  </w:t>
      </w:r>
    </w:p>
    <w:p w14:paraId="32C93FBF" w14:textId="42EACEC6" w:rsidR="00F203C1" w:rsidRDefault="00A71548" w:rsidP="00A71548">
      <w:pPr>
        <w:spacing w:after="155" w:line="261" w:lineRule="auto"/>
        <w:ind w:left="-5" w:right="18"/>
        <w:jc w:val="both"/>
      </w:pPr>
      <w:r>
        <w:rPr>
          <w:b/>
        </w:rPr>
        <w:t>E</w:t>
      </w:r>
      <w:r w:rsidR="00F203C1">
        <w:rPr>
          <w:b/>
        </w:rPr>
        <w:t xml:space="preserve">xample: </w:t>
      </w:r>
      <w:r w:rsidR="00F203C1">
        <w:rPr>
          <w:i/>
        </w:rPr>
        <w:t xml:space="preserve">Suppose that an </w:t>
      </w:r>
      <w:proofErr w:type="gramStart"/>
      <w:r w:rsidR="00F203C1">
        <w:rPr>
          <w:i/>
        </w:rPr>
        <w:t>employer fills N vacancies</w:t>
      </w:r>
      <w:proofErr w:type="gramEnd"/>
      <w:r w:rsidR="00F203C1">
        <w:rPr>
          <w:i/>
        </w:rPr>
        <w:t xml:space="preserve"> by hiring thirty percent women and seventy percent men. A non-hired female applicant sues the employer under Title VII for discriminating against women.  The complaint alleges that the employer’s hiring practices had a disparate impact on women. The plaintiff’s initial burden of production is to prove a prima facie case of statistical discrimination.</w:t>
      </w:r>
      <w:r w:rsidR="00F203C1">
        <w:t xml:space="preserve">  </w:t>
      </w:r>
    </w:p>
    <w:p w14:paraId="6D9F47D8" w14:textId="61CCA351" w:rsidR="00F203C1" w:rsidRDefault="00F203C1" w:rsidP="00A71548">
      <w:pPr>
        <w:ind w:left="-5" w:right="400"/>
        <w:jc w:val="both"/>
      </w:pPr>
      <w:r>
        <w:t xml:space="preserve">The inferential problem for both legal and statistical analysis is to decide when the observed outcome (a lower than expected number of women hired) </w:t>
      </w:r>
      <w:proofErr w:type="spellStart"/>
      <w:r>
        <w:t>favors</w:t>
      </w:r>
      <w:proofErr w:type="spellEnd"/>
      <w:r>
        <w:t xml:space="preserve"> an alternative hypothesis that the employer is discriminating against women over the null hypothesis that the employer hired employees without regard to the applicant’s sex.24  Under the NHST </w:t>
      </w:r>
      <w:r>
        <w:lastRenderedPageBreak/>
        <w:t xml:space="preserve">approach to statistical inference, the null hypothesis of no discrimination is rejected in </w:t>
      </w:r>
      <w:proofErr w:type="spellStart"/>
      <w:r>
        <w:t>favor</w:t>
      </w:r>
      <w:proofErr w:type="spellEnd"/>
      <w:r>
        <w:t xml:space="preserve"> of an alternative hypothesis of discrimination when the observed outcome exceeds a threshold determined by an arbitrarily set fixed level of statistical significance. </w:t>
      </w:r>
    </w:p>
    <w:p w14:paraId="02A23FF5" w14:textId="77777777" w:rsidR="000A40F0" w:rsidRDefault="000A40F0" w:rsidP="00A71548">
      <w:pPr>
        <w:ind w:left="-5" w:right="400"/>
        <w:jc w:val="both"/>
      </w:pPr>
    </w:p>
    <w:p w14:paraId="129411EC" w14:textId="77777777" w:rsidR="00F203C1" w:rsidRDefault="00F203C1" w:rsidP="00A71548">
      <w:pPr>
        <w:pStyle w:val="Heading3"/>
        <w:jc w:val="both"/>
      </w:pPr>
      <w:r>
        <w:rPr>
          <w:u w:color="000000"/>
        </w:rPr>
        <w:t>1. Null Hypothesis (H</w:t>
      </w:r>
      <w:r w:rsidRPr="000A40F0">
        <w:rPr>
          <w:u w:color="000000"/>
          <w:vertAlign w:val="subscript"/>
        </w:rPr>
        <w:t>0</w:t>
      </w:r>
      <w:r>
        <w:rPr>
          <w:u w:color="000000"/>
        </w:rPr>
        <w:t>):</w:t>
      </w:r>
      <w:r>
        <w:t xml:space="preserve"> </w:t>
      </w:r>
    </w:p>
    <w:p w14:paraId="5580464D" w14:textId="77777777" w:rsidR="00F203C1" w:rsidRDefault="00F203C1" w:rsidP="00A71548">
      <w:pPr>
        <w:ind w:left="-5" w:right="400"/>
        <w:jc w:val="both"/>
      </w:pPr>
      <w:r>
        <w:t xml:space="preserve">The null hypothesis is the hypothesis to be tested; in the parlance of statistics, the null hypothesis will either be rejected or failed to be rejected.  It is commonly defined as the hypothesis that any observed difference (for example, between two sample means or a sample mean and baseline value) is due to random chance and not systematic causes.    </w:t>
      </w:r>
    </w:p>
    <w:p w14:paraId="3515E153" w14:textId="77777777" w:rsidR="00F203C1" w:rsidRDefault="00F203C1" w:rsidP="00A71548">
      <w:pPr>
        <w:ind w:left="-5" w:right="400"/>
        <w:jc w:val="both"/>
      </w:pPr>
      <w:r>
        <w:t xml:space="preserve">In the gender discrimination example, the null hypothesis is that the employer hires N employees without regard to sex from a large pool of equally qualified applicants.  In the pool of qualified applicants, p0 is the proportion of qualified applicants that are female, and 1 - p0 is the proportion of qualified applicants that are male.  The firm hires x females and N – x males.  Under the null hypothesis, the count variable x (the number of females hired) has a binomial sampling distribution, with a density function given by: </w:t>
      </w:r>
    </w:p>
    <w:p w14:paraId="2371EF77" w14:textId="77777777" w:rsidR="00F203C1" w:rsidRDefault="00F203C1" w:rsidP="00A71548">
      <w:pPr>
        <w:spacing w:after="103" w:line="259" w:lineRule="auto"/>
        <w:ind w:left="0" w:right="344" w:firstLine="0"/>
        <w:jc w:val="both"/>
      </w:pPr>
      <w:r>
        <w:rPr>
          <w:noProof/>
        </w:rPr>
        <w:drawing>
          <wp:inline distT="0" distB="0" distL="0" distR="0" wp14:anchorId="2A3856B2" wp14:editId="4E62B6A4">
            <wp:extent cx="2276856" cy="400812"/>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7"/>
                    <a:stretch>
                      <a:fillRect/>
                    </a:stretch>
                  </pic:blipFill>
                  <pic:spPr>
                    <a:xfrm>
                      <a:off x="0" y="0"/>
                      <a:ext cx="2276856" cy="400812"/>
                    </a:xfrm>
                    <a:prstGeom prst="rect">
                      <a:avLst/>
                    </a:prstGeom>
                  </pic:spPr>
                </pic:pic>
              </a:graphicData>
            </a:graphic>
          </wp:inline>
        </w:drawing>
      </w:r>
      <w:r>
        <w:t xml:space="preserve"> </w:t>
      </w:r>
    </w:p>
    <w:p w14:paraId="64FC788D" w14:textId="77777777" w:rsidR="00F203C1" w:rsidRDefault="00F203C1" w:rsidP="00A71548">
      <w:pPr>
        <w:spacing w:after="0" w:line="257" w:lineRule="auto"/>
        <w:ind w:left="0" w:right="397" w:firstLine="0"/>
        <w:jc w:val="both"/>
      </w:pPr>
      <w:r>
        <w:t xml:space="preserve">The binomial density function gives the probability of hiring exactly x females for the N open slots.  The expected number of females hired if H0 is true is µ 0 = Np0, and the variance equals </w:t>
      </w:r>
    </w:p>
    <w:p w14:paraId="3C9D6EE5" w14:textId="77777777" w:rsidR="00F203C1" w:rsidRDefault="00F203C1" w:rsidP="00A71548">
      <w:pPr>
        <w:spacing w:after="156" w:line="259" w:lineRule="auto"/>
        <w:ind w:left="0" w:right="0" w:firstLine="0"/>
        <w:jc w:val="both"/>
      </w:pPr>
      <w:r>
        <w:t xml:space="preserve"> </w:t>
      </w:r>
    </w:p>
    <w:p w14:paraId="7EB40C32" w14:textId="50194376" w:rsidR="00F203C1" w:rsidRDefault="00F203C1" w:rsidP="00A71548">
      <w:pPr>
        <w:pStyle w:val="Heading3"/>
        <w:jc w:val="both"/>
      </w:pPr>
      <w:r>
        <w:rPr>
          <w:u w:color="000000"/>
        </w:rPr>
        <w:t>The Alternative Hypothesis (H</w:t>
      </w:r>
      <w:r w:rsidRPr="000A40F0">
        <w:rPr>
          <w:u w:color="000000"/>
          <w:vertAlign w:val="subscript"/>
        </w:rPr>
        <w:t>1</w:t>
      </w:r>
      <w:r w:rsidR="000A40F0">
        <w:rPr>
          <w:u w:color="000000"/>
        </w:rPr>
        <w:t xml:space="preserve"> or H</w:t>
      </w:r>
      <w:r w:rsidR="000A40F0" w:rsidRPr="000A40F0">
        <w:rPr>
          <w:u w:color="000000"/>
          <w:vertAlign w:val="subscript"/>
        </w:rPr>
        <w:t>a</w:t>
      </w:r>
      <w:r>
        <w:rPr>
          <w:u w:color="000000"/>
        </w:rPr>
        <w:t>):</w:t>
      </w:r>
      <w:r>
        <w:t xml:space="preserve"> </w:t>
      </w:r>
    </w:p>
    <w:p w14:paraId="62BA5790" w14:textId="77777777" w:rsidR="000A40F0" w:rsidRPr="000A40F0" w:rsidRDefault="000A40F0" w:rsidP="00A71548">
      <w:pPr>
        <w:jc w:val="both"/>
      </w:pPr>
    </w:p>
    <w:p w14:paraId="5C44E587" w14:textId="77777777" w:rsidR="00F203C1" w:rsidRDefault="00F203C1" w:rsidP="00A71548">
      <w:pPr>
        <w:ind w:left="-5" w:right="400"/>
        <w:jc w:val="both"/>
      </w:pPr>
      <w:r>
        <w:t xml:space="preserve">Under NHST, the alternative hypothesis is the hypothesis that is </w:t>
      </w:r>
      <w:proofErr w:type="spellStart"/>
      <w:r>
        <w:t>favored</w:t>
      </w:r>
      <w:proofErr w:type="spellEnd"/>
      <w:r>
        <w:t xml:space="preserve"> when the null is rejected.  There are several types of alternative hypotheses.  These include nonspecific compound hypotheses, which include non-directional alternative hypotheses, one-and two-tailed directional alternative hypotheses, and point hypotheses. Non-directional alternative hypothesis, such as the negation of the null hypothesis, are often used in settings where the only concern is whether the null hypothesis is true.  Directional alternative hypotheses can be one-tailed, where only one tail of the region of rejection is of concern, or two tailed, where both regions of rejections are of concern. </w:t>
      </w:r>
    </w:p>
    <w:p w14:paraId="5A26668D" w14:textId="77777777" w:rsidR="00F203C1" w:rsidRDefault="00F203C1" w:rsidP="00A71548">
      <w:pPr>
        <w:ind w:left="-5" w:right="400"/>
        <w:jc w:val="both"/>
      </w:pPr>
      <w:r>
        <w:rPr>
          <w:u w:val="single" w:color="000000"/>
        </w:rPr>
        <w:t>Point alternative</w:t>
      </w:r>
      <w:r>
        <w:t xml:space="preserve"> hypotheses are hypotheses where the sampling distribution under the alternative hypothesis is a fully defined distribution with no unknown parameters.  While their explicit use in empirical analysis is relatively rare, specific alternative hypotheses are fundamental to the N-P approach to statistical inference. </w:t>
      </w:r>
    </w:p>
    <w:p w14:paraId="0E390864" w14:textId="77777777" w:rsidR="00F203C1" w:rsidRDefault="00F203C1" w:rsidP="00A71548">
      <w:pPr>
        <w:ind w:left="-5" w:right="400"/>
        <w:jc w:val="both"/>
      </w:pPr>
      <w:r>
        <w:t xml:space="preserve">Use of point or specific alternative hypotheses also is fundamental to understanding the relationship between statistical inference and legal inference.  Kaplow’s approach to legal decision rules, based on </w:t>
      </w:r>
      <w:proofErr w:type="spellStart"/>
      <w:r>
        <w:t>Neyman</w:t>
      </w:r>
      <w:proofErr w:type="spellEnd"/>
      <w:r>
        <w:t>-Pearson likelihood ratio tests30 and Cheng’s relative probability approach use specific alternative hypotheses.</w:t>
      </w:r>
      <w:proofErr w:type="gramStart"/>
      <w:r>
        <w:t>31  And</w:t>
      </w:r>
      <w:proofErr w:type="gramEnd"/>
      <w:r>
        <w:t xml:space="preserve"> recent approaches to legal inference and burdens of proof incorporate specific explanations of the evidence, the legal </w:t>
      </w:r>
      <w:proofErr w:type="spellStart"/>
      <w:r>
        <w:t>analog</w:t>
      </w:r>
      <w:proofErr w:type="spellEnd"/>
      <w:r>
        <w:t xml:space="preserve"> of point hypotheses.  </w:t>
      </w:r>
      <w:proofErr w:type="gramStart"/>
      <w:r>
        <w:t>In particular, Pardo &amp; Allen’s</w:t>
      </w:r>
      <w:proofErr w:type="gramEnd"/>
      <w:r>
        <w:t xml:space="preserve"> explanation-based reasoning and the process of inference to the best explanation make use of a finite set of specific </w:t>
      </w:r>
      <w:r>
        <w:lastRenderedPageBreak/>
        <w:t xml:space="preserve">explanations, generated by the parties in the first stage of the two-stage explanation-based inferential process. </w:t>
      </w:r>
    </w:p>
    <w:p w14:paraId="3D039DA6" w14:textId="77777777" w:rsidR="00F203C1" w:rsidRDefault="00F203C1" w:rsidP="00A71548">
      <w:pPr>
        <w:spacing w:after="198" w:line="259" w:lineRule="auto"/>
        <w:ind w:left="-5" w:right="0"/>
        <w:jc w:val="both"/>
      </w:pPr>
      <w:r>
        <w:rPr>
          <w:u w:val="single" w:color="000000"/>
        </w:rPr>
        <w:t>Statistical Inference and Error Cost Analysis:</w:t>
      </w:r>
      <w:r>
        <w:t xml:space="preserve"> </w:t>
      </w:r>
    </w:p>
    <w:p w14:paraId="46E01716" w14:textId="053D4E9C" w:rsidR="00F203C1" w:rsidRDefault="00F203C1" w:rsidP="00A71548">
      <w:pPr>
        <w:ind w:left="-5" w:right="400"/>
        <w:jc w:val="both"/>
      </w:pPr>
      <w:r>
        <w:t xml:space="preserve">A second preliminary matter is the choice of a “loss function” to evaluate alternative statistical tests and legal standards.  The performance of these tests and standards, like all screening functions, will be determined by the loss function chosen to evaluate the tests.  A common loss function used to evaluate evidentiary and other procedural systems is one that minimizes the sum of two types of costs – error costs and the costs of system.36  That is, this loss function attempts to minimize the costs of making type I errors (false positives) and type II errors (false negatives), plus the direct costs associated with operating the system.  This loss function recognizes that while avoidance of both types of errors is desirable, such avoidance will be prohibitively expensive and time consuming.  The function below shows the rate and cost of each type of error; the loss function is the minimization of the sum of those costs.  </w:t>
      </w:r>
    </w:p>
    <w:p w14:paraId="1DE29271" w14:textId="77777777" w:rsidR="00F203C1" w:rsidRDefault="00F203C1" w:rsidP="00A71548">
      <w:pPr>
        <w:ind w:left="-5" w:right="400"/>
        <w:jc w:val="both"/>
      </w:pPr>
      <w:r>
        <w:t xml:space="preserve">To illustrate the </w:t>
      </w:r>
      <w:proofErr w:type="spellStart"/>
      <w:r>
        <w:t>tradeoffs</w:t>
      </w:r>
      <w:proofErr w:type="spellEnd"/>
      <w:r>
        <w:t xml:space="preserve"> to be made, consider the outcomes of a criminal trial, depicted in Table below. There are two correct outcomes (the shaded boxes on the diagonal) where the truly guilty are found to be guilty, and where the truly innocent are acquitted.  There are also two types of errors, false positives, or type I errors, where the truly innocent are convicted, and false negatives, or type II errors, where the truly guilty are acquitted.   An ideal criminal system would attempt to avoid both types of errors.  However, the extent to which an actual system approaches this ideal is limited by available information and the prohibitive costs of acquiring additional relevant information. </w:t>
      </w:r>
    </w:p>
    <w:p w14:paraId="1818BEA9" w14:textId="77777777" w:rsidR="00F203C1" w:rsidRDefault="00F203C1" w:rsidP="00F203C1">
      <w:pPr>
        <w:spacing w:after="0" w:line="259" w:lineRule="auto"/>
        <w:ind w:left="0" w:right="0" w:firstLine="0"/>
      </w:pPr>
      <w:r>
        <w:t xml:space="preserve"> </w:t>
      </w:r>
    </w:p>
    <w:p w14:paraId="0857296C" w14:textId="61FB3F5F" w:rsidR="00F203C1" w:rsidRDefault="00F203C1" w:rsidP="00F203C1">
      <w:pPr>
        <w:spacing w:after="98" w:line="259" w:lineRule="auto"/>
        <w:ind w:left="1495" w:right="0" w:firstLine="0"/>
      </w:pPr>
      <w:r>
        <w:t xml:space="preserve"> </w:t>
      </w:r>
    </w:p>
    <w:tbl>
      <w:tblPr>
        <w:tblStyle w:val="GridTable1Light"/>
        <w:tblW w:w="0" w:type="auto"/>
        <w:tblLook w:val="04A0" w:firstRow="1" w:lastRow="0" w:firstColumn="1" w:lastColumn="0" w:noHBand="0" w:noVBand="1"/>
      </w:tblPr>
      <w:tblGrid>
        <w:gridCol w:w="2917"/>
        <w:gridCol w:w="2918"/>
        <w:gridCol w:w="2918"/>
      </w:tblGrid>
      <w:tr w:rsidR="000A40F0" w14:paraId="54E18B91" w14:textId="77777777" w:rsidTr="00A715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0E226BF1" w14:textId="77777777" w:rsidR="000A40F0" w:rsidRDefault="000A40F0" w:rsidP="00F203C1">
            <w:pPr>
              <w:spacing w:after="98" w:line="259" w:lineRule="auto"/>
              <w:ind w:left="0" w:right="0" w:firstLine="0"/>
            </w:pPr>
          </w:p>
        </w:tc>
        <w:tc>
          <w:tcPr>
            <w:tcW w:w="2918" w:type="dxa"/>
          </w:tcPr>
          <w:p w14:paraId="5993C1B5" w14:textId="71465BED" w:rsidR="000A40F0" w:rsidRDefault="000A40F0" w:rsidP="00F203C1">
            <w:pPr>
              <w:spacing w:after="98" w:line="259" w:lineRule="auto"/>
              <w:ind w:left="0" w:right="0" w:firstLine="0"/>
              <w:cnfStyle w:val="100000000000" w:firstRow="1" w:lastRow="0" w:firstColumn="0" w:lastColumn="0" w:oddVBand="0" w:evenVBand="0" w:oddHBand="0" w:evenHBand="0" w:firstRowFirstColumn="0" w:firstRowLastColumn="0" w:lastRowFirstColumn="0" w:lastRowLastColumn="0"/>
            </w:pPr>
            <w:r>
              <w:t>Person is Innocent</w:t>
            </w:r>
          </w:p>
        </w:tc>
        <w:tc>
          <w:tcPr>
            <w:tcW w:w="2918" w:type="dxa"/>
          </w:tcPr>
          <w:p w14:paraId="147B2FB2" w14:textId="30D7384F" w:rsidR="000A40F0" w:rsidRDefault="000A40F0" w:rsidP="00F203C1">
            <w:pPr>
              <w:spacing w:after="98" w:line="259" w:lineRule="auto"/>
              <w:ind w:left="0" w:right="0" w:firstLine="0"/>
              <w:cnfStyle w:val="100000000000" w:firstRow="1" w:lastRow="0" w:firstColumn="0" w:lastColumn="0" w:oddVBand="0" w:evenVBand="0" w:oddHBand="0" w:evenHBand="0" w:firstRowFirstColumn="0" w:firstRowLastColumn="0" w:lastRowFirstColumn="0" w:lastRowLastColumn="0"/>
            </w:pPr>
            <w:r>
              <w:t>Person is Guilty</w:t>
            </w:r>
          </w:p>
        </w:tc>
      </w:tr>
      <w:tr w:rsidR="000A40F0" w14:paraId="690BED53" w14:textId="77777777" w:rsidTr="00A71548">
        <w:tc>
          <w:tcPr>
            <w:cnfStyle w:val="001000000000" w:firstRow="0" w:lastRow="0" w:firstColumn="1" w:lastColumn="0" w:oddVBand="0" w:evenVBand="0" w:oddHBand="0" w:evenHBand="0" w:firstRowFirstColumn="0" w:firstRowLastColumn="0" w:lastRowFirstColumn="0" w:lastRowLastColumn="0"/>
            <w:tcW w:w="2917" w:type="dxa"/>
          </w:tcPr>
          <w:p w14:paraId="6BB41396" w14:textId="3958901D" w:rsidR="000A40F0" w:rsidRDefault="00A71548" w:rsidP="00F203C1">
            <w:pPr>
              <w:spacing w:after="98" w:line="259" w:lineRule="auto"/>
              <w:ind w:left="0" w:right="0" w:firstLine="0"/>
            </w:pPr>
            <w:r>
              <w:t>Convicted</w:t>
            </w:r>
          </w:p>
        </w:tc>
        <w:tc>
          <w:tcPr>
            <w:tcW w:w="2918" w:type="dxa"/>
          </w:tcPr>
          <w:p w14:paraId="7660607E" w14:textId="12E5E748" w:rsidR="000A40F0" w:rsidRDefault="00A71548" w:rsidP="00F203C1">
            <w:pPr>
              <w:spacing w:after="98" w:line="259" w:lineRule="auto"/>
              <w:ind w:left="0" w:right="0" w:firstLine="0"/>
              <w:cnfStyle w:val="000000000000" w:firstRow="0" w:lastRow="0" w:firstColumn="0" w:lastColumn="0" w:oddVBand="0" w:evenVBand="0" w:oddHBand="0" w:evenHBand="0" w:firstRowFirstColumn="0" w:firstRowLastColumn="0" w:lastRowFirstColumn="0" w:lastRowLastColumn="0"/>
            </w:pPr>
            <w:r w:rsidRPr="00A71548">
              <w:rPr>
                <w:highlight w:val="red"/>
              </w:rPr>
              <w:t>Type I Error</w:t>
            </w:r>
          </w:p>
        </w:tc>
        <w:tc>
          <w:tcPr>
            <w:tcW w:w="2918" w:type="dxa"/>
          </w:tcPr>
          <w:p w14:paraId="6A62BD7A" w14:textId="2606A0C4" w:rsidR="000A40F0" w:rsidRPr="00A71548" w:rsidRDefault="00A71548" w:rsidP="00F203C1">
            <w:pPr>
              <w:spacing w:after="98" w:line="259" w:lineRule="auto"/>
              <w:ind w:left="0" w:right="0" w:firstLine="0"/>
              <w:cnfStyle w:val="000000000000" w:firstRow="0" w:lastRow="0" w:firstColumn="0" w:lastColumn="0" w:oddVBand="0" w:evenVBand="0" w:oddHBand="0" w:evenHBand="0" w:firstRowFirstColumn="0" w:firstRowLastColumn="0" w:lastRowFirstColumn="0" w:lastRowLastColumn="0"/>
              <w:rPr>
                <w:highlight w:val="green"/>
              </w:rPr>
            </w:pPr>
            <w:r w:rsidRPr="00A71548">
              <w:rPr>
                <w:highlight w:val="green"/>
              </w:rPr>
              <w:t>CORRECT</w:t>
            </w:r>
          </w:p>
        </w:tc>
      </w:tr>
      <w:tr w:rsidR="000A40F0" w14:paraId="41D24A6F" w14:textId="77777777" w:rsidTr="00A71548">
        <w:tc>
          <w:tcPr>
            <w:cnfStyle w:val="001000000000" w:firstRow="0" w:lastRow="0" w:firstColumn="1" w:lastColumn="0" w:oddVBand="0" w:evenVBand="0" w:oddHBand="0" w:evenHBand="0" w:firstRowFirstColumn="0" w:firstRowLastColumn="0" w:lastRowFirstColumn="0" w:lastRowLastColumn="0"/>
            <w:tcW w:w="2917" w:type="dxa"/>
          </w:tcPr>
          <w:p w14:paraId="099C7A99" w14:textId="3699E56F" w:rsidR="000A40F0" w:rsidRDefault="00A71548" w:rsidP="00F203C1">
            <w:pPr>
              <w:spacing w:after="98" w:line="259" w:lineRule="auto"/>
              <w:ind w:left="0" w:right="0" w:firstLine="0"/>
            </w:pPr>
            <w:proofErr w:type="spellStart"/>
            <w:r>
              <w:t>Acquited</w:t>
            </w:r>
            <w:proofErr w:type="spellEnd"/>
          </w:p>
        </w:tc>
        <w:tc>
          <w:tcPr>
            <w:tcW w:w="2918" w:type="dxa"/>
          </w:tcPr>
          <w:p w14:paraId="5317F335" w14:textId="10644E50" w:rsidR="000A40F0" w:rsidRDefault="00A71548" w:rsidP="00F203C1">
            <w:pPr>
              <w:spacing w:after="98" w:line="259" w:lineRule="auto"/>
              <w:ind w:left="0" w:right="0" w:firstLine="0"/>
              <w:cnfStyle w:val="000000000000" w:firstRow="0" w:lastRow="0" w:firstColumn="0" w:lastColumn="0" w:oddVBand="0" w:evenVBand="0" w:oddHBand="0" w:evenHBand="0" w:firstRowFirstColumn="0" w:firstRowLastColumn="0" w:lastRowFirstColumn="0" w:lastRowLastColumn="0"/>
            </w:pPr>
            <w:r w:rsidRPr="00A71548">
              <w:rPr>
                <w:highlight w:val="green"/>
              </w:rPr>
              <w:t>CORRECT</w:t>
            </w:r>
          </w:p>
        </w:tc>
        <w:tc>
          <w:tcPr>
            <w:tcW w:w="2918" w:type="dxa"/>
          </w:tcPr>
          <w:p w14:paraId="58DA17DC" w14:textId="350D802E" w:rsidR="000A40F0" w:rsidRDefault="00A71548" w:rsidP="00F203C1">
            <w:pPr>
              <w:spacing w:after="98" w:line="259" w:lineRule="auto"/>
              <w:ind w:left="0" w:right="0" w:firstLine="0"/>
              <w:cnfStyle w:val="000000000000" w:firstRow="0" w:lastRow="0" w:firstColumn="0" w:lastColumn="0" w:oddVBand="0" w:evenVBand="0" w:oddHBand="0" w:evenHBand="0" w:firstRowFirstColumn="0" w:firstRowLastColumn="0" w:lastRowFirstColumn="0" w:lastRowLastColumn="0"/>
            </w:pPr>
            <w:r w:rsidRPr="00A71548">
              <w:rPr>
                <w:highlight w:val="red"/>
              </w:rPr>
              <w:t>Type II Error</w:t>
            </w:r>
          </w:p>
        </w:tc>
      </w:tr>
    </w:tbl>
    <w:p w14:paraId="64C3FB21" w14:textId="77777777" w:rsidR="000A40F0" w:rsidRDefault="000A40F0" w:rsidP="00F203C1">
      <w:pPr>
        <w:spacing w:after="98" w:line="259" w:lineRule="auto"/>
        <w:ind w:left="1495" w:right="0" w:firstLine="0"/>
      </w:pPr>
    </w:p>
    <w:p w14:paraId="3ADAE34F" w14:textId="052EBF53" w:rsidR="00F203C1" w:rsidRDefault="00F203C1" w:rsidP="00A71548">
      <w:pPr>
        <w:spacing w:after="159" w:line="259" w:lineRule="auto"/>
        <w:ind w:left="0" w:right="344" w:firstLine="0"/>
        <w:jc w:val="both"/>
      </w:pPr>
      <w:r>
        <w:t xml:space="preserve"> Given the cost and limitations of information in determining an outcome, there will be a large set of feasible systems which differ in terms of the rates of errors and the costs associated with administering and participating in the system.  The choice of which of many feasible, but imperfect, tests is preferred will be determined by the relative cost of type I and type II errors.  For example, many commentators have suggested that in the context of a criminal trial, the cost of a type I error is many times a cost of a type II error.  This normative weighting of type I and type II errors is consistent with the high burdens of proof (beyond a reasonable doubt) placed on the prosecutor in criminal trials, as well as the robust procedural protections given criminal defendants. </w:t>
      </w:r>
    </w:p>
    <w:p w14:paraId="7A4F1135" w14:textId="450B60B7" w:rsidR="00F203C1" w:rsidRDefault="00F203C1" w:rsidP="00F203C1">
      <w:pPr>
        <w:spacing w:after="207" w:line="259" w:lineRule="auto"/>
        <w:ind w:left="0" w:right="0" w:firstLine="0"/>
      </w:pPr>
      <w:r>
        <w:t xml:space="preserve"> </w:t>
      </w:r>
    </w:p>
    <w:p w14:paraId="608A1DB3" w14:textId="2DA25856" w:rsidR="00A71548" w:rsidRDefault="00A71548" w:rsidP="00F203C1">
      <w:pPr>
        <w:spacing w:after="207" w:line="259" w:lineRule="auto"/>
        <w:ind w:left="0" w:right="0" w:firstLine="0"/>
      </w:pPr>
    </w:p>
    <w:p w14:paraId="48239BD5" w14:textId="191E03E3" w:rsidR="00A71548" w:rsidRDefault="00A71548" w:rsidP="00F203C1">
      <w:pPr>
        <w:spacing w:after="207" w:line="259" w:lineRule="auto"/>
        <w:ind w:left="0" w:right="0" w:firstLine="0"/>
      </w:pPr>
      <w:bookmarkStart w:id="0" w:name="_GoBack"/>
      <w:bookmarkEnd w:id="0"/>
    </w:p>
    <w:p w14:paraId="2F87D636" w14:textId="77777777" w:rsidR="00A71548" w:rsidRDefault="00A71548" w:rsidP="00F203C1">
      <w:pPr>
        <w:spacing w:after="207" w:line="259" w:lineRule="auto"/>
        <w:ind w:left="0" w:right="0" w:firstLine="0"/>
      </w:pPr>
    </w:p>
    <w:p w14:paraId="46541158" w14:textId="16FC1803" w:rsidR="00F203C1" w:rsidRPr="00A71548" w:rsidRDefault="00F203C1" w:rsidP="00A71548">
      <w:pPr>
        <w:pStyle w:val="Heading2"/>
        <w:jc w:val="center"/>
        <w:rPr>
          <w:sz w:val="32"/>
          <w:u w:val="single"/>
        </w:rPr>
      </w:pPr>
      <w:r w:rsidRPr="00A71548">
        <w:rPr>
          <w:sz w:val="32"/>
          <w:u w:val="single"/>
        </w:rPr>
        <w:lastRenderedPageBreak/>
        <w:t>CONCLUSION</w:t>
      </w:r>
    </w:p>
    <w:p w14:paraId="222A36CF" w14:textId="77777777" w:rsidR="00F203C1" w:rsidRDefault="00F203C1" w:rsidP="00F203C1">
      <w:pPr>
        <w:spacing w:after="151" w:line="259" w:lineRule="auto"/>
        <w:ind w:left="0" w:right="344" w:firstLine="0"/>
        <w:jc w:val="center"/>
      </w:pPr>
      <w:r>
        <w:rPr>
          <w:b/>
        </w:rPr>
        <w:t xml:space="preserve"> </w:t>
      </w:r>
    </w:p>
    <w:p w14:paraId="488574DF" w14:textId="77777777" w:rsidR="00F203C1" w:rsidRDefault="00F203C1" w:rsidP="00F203C1">
      <w:pPr>
        <w:ind w:left="-5" w:right="400"/>
      </w:pPr>
      <w:r>
        <w:t xml:space="preserve">  Models of optimal legal decision rules use loss functions that seek to minimize the sum of error costs and direct costs.  In theory, the choice of a statistical </w:t>
      </w:r>
      <w:proofErr w:type="spellStart"/>
      <w:r>
        <w:t>cutoff</w:t>
      </w:r>
      <w:proofErr w:type="spellEnd"/>
      <w:r>
        <w:t xml:space="preserve"> can reflect a similar calculus, but the standard practice under fixed significance level Null Hypothesis Statistical Testing does not.  Thus, it is not surprising that use of fixed significance level NHST will not correspond to optimal legal decision rules.  This potential for divergence between NHST statistical </w:t>
      </w:r>
      <w:proofErr w:type="spellStart"/>
      <w:r>
        <w:t>cutoffs</w:t>
      </w:r>
      <w:proofErr w:type="spellEnd"/>
      <w:r>
        <w:t xml:space="preserve"> and optimal legal decision rules can inform how to reconcile the tools of statistical inference to be consistent with the applicable legal standard.   </w:t>
      </w:r>
    </w:p>
    <w:p w14:paraId="4566850F" w14:textId="77777777" w:rsidR="00227071" w:rsidRDefault="00227071"/>
    <w:sectPr w:rsidR="00227071" w:rsidSect="000A40F0">
      <w:headerReference w:type="default" r:id="rId8"/>
      <w:footerReference w:type="even" r:id="rId9"/>
      <w:footerReference w:type="default" r:id="rId10"/>
      <w:footerReference w:type="first" r:id="rId11"/>
      <w:pgSz w:w="11906" w:h="16838"/>
      <w:pgMar w:top="1440" w:right="1299" w:bottom="1530" w:left="1844" w:header="63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F11987" w14:textId="77777777" w:rsidR="004B44AA" w:rsidRDefault="004B44AA" w:rsidP="00F203C1">
      <w:pPr>
        <w:spacing w:after="0" w:line="240" w:lineRule="auto"/>
      </w:pPr>
      <w:r>
        <w:separator/>
      </w:r>
    </w:p>
  </w:endnote>
  <w:endnote w:type="continuationSeparator" w:id="0">
    <w:p w14:paraId="226AB824" w14:textId="77777777" w:rsidR="004B44AA" w:rsidRDefault="004B44AA" w:rsidP="00F20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DD0428" w14:textId="77777777" w:rsidR="004C57E8" w:rsidRDefault="004B44AA">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BBE804B" wp14:editId="464C839B">
              <wp:simplePos x="0" y="0"/>
              <wp:positionH relativeFrom="page">
                <wp:posOffset>1152449</wp:posOffset>
              </wp:positionH>
              <wp:positionV relativeFrom="page">
                <wp:posOffset>9884359</wp:posOffset>
              </wp:positionV>
              <wp:extent cx="5348605" cy="6096"/>
              <wp:effectExtent l="0" t="0" r="0" b="0"/>
              <wp:wrapSquare wrapText="bothSides"/>
              <wp:docPr id="4313" name="Group 4313"/>
              <wp:cNvGraphicFramePr/>
              <a:graphic xmlns:a="http://schemas.openxmlformats.org/drawingml/2006/main">
                <a:graphicData uri="http://schemas.microsoft.com/office/word/2010/wordprocessingGroup">
                  <wpg:wgp>
                    <wpg:cNvGrpSpPr/>
                    <wpg:grpSpPr>
                      <a:xfrm>
                        <a:off x="0" y="0"/>
                        <a:ext cx="5348605" cy="6096"/>
                        <a:chOff x="0" y="0"/>
                        <a:chExt cx="5348605" cy="6096"/>
                      </a:xfrm>
                    </wpg:grpSpPr>
                    <wps:wsp>
                      <wps:cNvPr id="4393" name="Shape 4393"/>
                      <wps:cNvSpPr/>
                      <wps:spPr>
                        <a:xfrm>
                          <a:off x="0" y="0"/>
                          <a:ext cx="5348605" cy="9144"/>
                        </a:xfrm>
                        <a:custGeom>
                          <a:avLst/>
                          <a:gdLst/>
                          <a:ahLst/>
                          <a:cxnLst/>
                          <a:rect l="0" t="0" r="0" b="0"/>
                          <a:pathLst>
                            <a:path w="5348605" h="9144">
                              <a:moveTo>
                                <a:pt x="0" y="0"/>
                              </a:moveTo>
                              <a:lnTo>
                                <a:pt x="5348605" y="0"/>
                              </a:lnTo>
                              <a:lnTo>
                                <a:pt x="534860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492E14A" id="Group 4313" o:spid="_x0000_s1026" style="position:absolute;margin-left:90.75pt;margin-top:778.3pt;width:421.15pt;height:.5pt;z-index:251659264;mso-position-horizontal-relative:page;mso-position-vertical-relative:page" coordsize="534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">
              <v:shape id="Shape 4393" o:spid="_x0000_s1027" style="position:absolute;width:53486;height:91;visibility:visible;mso-wrap-style:square;v-text-anchor:top" coordsize="5348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" path="m,l5348605,r,9144l,9144,,e" fillcolor="#d9d9d9" stroked="f" strokeweight="0">
                <v:stroke miterlimit="83231f" joinstyle="miter"/>
                <v:path arrowok="t" textboxrect="0,0,534860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52F56AB7" w14:textId="77777777" w:rsidR="004C57E8" w:rsidRDefault="004B44AA">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162C2E" w14:textId="77777777" w:rsidR="004C57E8" w:rsidRDefault="004B44AA">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61A5CB" wp14:editId="3D221BB0">
              <wp:simplePos x="0" y="0"/>
              <wp:positionH relativeFrom="page">
                <wp:posOffset>1152449</wp:posOffset>
              </wp:positionH>
              <wp:positionV relativeFrom="page">
                <wp:posOffset>9884359</wp:posOffset>
              </wp:positionV>
              <wp:extent cx="5348605" cy="6096"/>
              <wp:effectExtent l="0" t="0" r="0" b="0"/>
              <wp:wrapSquare wrapText="bothSides"/>
              <wp:docPr id="4298" name="Group 4298"/>
              <wp:cNvGraphicFramePr/>
              <a:graphic xmlns:a="http://schemas.openxmlformats.org/drawingml/2006/main">
                <a:graphicData uri="http://schemas.microsoft.com/office/word/2010/wordprocessingGroup">
                  <wpg:wgp>
                    <wpg:cNvGrpSpPr/>
                    <wpg:grpSpPr>
                      <a:xfrm>
                        <a:off x="0" y="0"/>
                        <a:ext cx="5348605" cy="6096"/>
                        <a:chOff x="0" y="0"/>
                        <a:chExt cx="5348605" cy="6096"/>
                      </a:xfrm>
                    </wpg:grpSpPr>
                    <wps:wsp>
                      <wps:cNvPr id="4391" name="Shape 4391"/>
                      <wps:cNvSpPr/>
                      <wps:spPr>
                        <a:xfrm>
                          <a:off x="0" y="0"/>
                          <a:ext cx="5348605" cy="9144"/>
                        </a:xfrm>
                        <a:custGeom>
                          <a:avLst/>
                          <a:gdLst/>
                          <a:ahLst/>
                          <a:cxnLst/>
                          <a:rect l="0" t="0" r="0" b="0"/>
                          <a:pathLst>
                            <a:path w="5348605" h="9144">
                              <a:moveTo>
                                <a:pt x="0" y="0"/>
                              </a:moveTo>
                              <a:lnTo>
                                <a:pt x="5348605" y="0"/>
                              </a:lnTo>
                              <a:lnTo>
                                <a:pt x="534860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6DAC239" id="Group 4298" o:spid="_x0000_s1026" style="position:absolute;margin-left:90.75pt;margin-top:778.3pt;width:421.15pt;height:.5pt;z-index:251660288;mso-position-horizontal-relative:page;mso-position-vertical-relative:page" coordsize="534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">
              <v:shape id="Shape 4391" o:spid="_x0000_s1027" style="position:absolute;width:53486;height:91;visibility:visible;mso-wrap-style:square;v-text-anchor:top" coordsize="5348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" path="m,l5348605,r,9144l,9144,,e" fillcolor="#d9d9d9" stroked="f" strokeweight="0">
                <v:stroke miterlimit="83231f" joinstyle="miter"/>
                <v:path arrowok="t" textboxrect="0,0,534860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36A9D394" w14:textId="77777777" w:rsidR="004C57E8" w:rsidRDefault="004B44AA">
    <w:pPr>
      <w:spacing w:after="0" w:line="259" w:lineRule="auto"/>
      <w:ind w:left="0" w:righ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34610" w14:textId="77777777" w:rsidR="004C57E8" w:rsidRDefault="004B44AA">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08CF898" wp14:editId="1B29B64A">
              <wp:simplePos x="0" y="0"/>
              <wp:positionH relativeFrom="page">
                <wp:posOffset>1152449</wp:posOffset>
              </wp:positionH>
              <wp:positionV relativeFrom="page">
                <wp:posOffset>9884359</wp:posOffset>
              </wp:positionV>
              <wp:extent cx="5348605" cy="6096"/>
              <wp:effectExtent l="0" t="0" r="0" b="0"/>
              <wp:wrapSquare wrapText="bothSides"/>
              <wp:docPr id="4283" name="Group 4283"/>
              <wp:cNvGraphicFramePr/>
              <a:graphic xmlns:a="http://schemas.openxmlformats.org/drawingml/2006/main">
                <a:graphicData uri="http://schemas.microsoft.com/office/word/2010/wordprocessingGroup">
                  <wpg:wgp>
                    <wpg:cNvGrpSpPr/>
                    <wpg:grpSpPr>
                      <a:xfrm>
                        <a:off x="0" y="0"/>
                        <a:ext cx="5348605" cy="6096"/>
                        <a:chOff x="0" y="0"/>
                        <a:chExt cx="5348605" cy="6096"/>
                      </a:xfrm>
                    </wpg:grpSpPr>
                    <wps:wsp>
                      <wps:cNvPr id="4389" name="Shape 4389"/>
                      <wps:cNvSpPr/>
                      <wps:spPr>
                        <a:xfrm>
                          <a:off x="0" y="0"/>
                          <a:ext cx="5348605" cy="9144"/>
                        </a:xfrm>
                        <a:custGeom>
                          <a:avLst/>
                          <a:gdLst/>
                          <a:ahLst/>
                          <a:cxnLst/>
                          <a:rect l="0" t="0" r="0" b="0"/>
                          <a:pathLst>
                            <a:path w="5348605" h="9144">
                              <a:moveTo>
                                <a:pt x="0" y="0"/>
                              </a:moveTo>
                              <a:lnTo>
                                <a:pt x="5348605" y="0"/>
                              </a:lnTo>
                              <a:lnTo>
                                <a:pt x="534860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B056DFA" id="Group 4283" o:spid="_x0000_s1026" style="position:absolute;margin-left:90.75pt;margin-top:778.3pt;width:421.15pt;height:.5pt;z-index:251661312;mso-position-horizontal-relative:page;mso-position-vertical-relative:page" coordsize="534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">
              <v:shape id="Shape 4389" o:spid="_x0000_s1027" style="position:absolute;width:53486;height:91;visibility:visible;mso-wrap-style:square;v-text-anchor:top" coordsize="53486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" path="m,l5348605,r,9144l,9144,,e" fillcolor="#d9d9d9" stroked="f" strokeweight="0">
                <v:stroke miterlimit="83231f" joinstyle="miter"/>
                <v:path arrowok="t" textboxrect="0,0,5348605,9144"/>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b/>
        <w:sz w:val="22"/>
      </w:rPr>
      <w:t xml:space="preserve"> | </w:t>
    </w:r>
    <w:r>
      <w:rPr>
        <w:rFonts w:ascii="Calibri" w:eastAsia="Calibri" w:hAnsi="Calibri" w:cs="Calibri"/>
        <w:color w:val="7F7F7F"/>
        <w:sz w:val="22"/>
      </w:rPr>
      <w:t>P a g e</w:t>
    </w:r>
    <w:r>
      <w:rPr>
        <w:rFonts w:ascii="Calibri" w:eastAsia="Calibri" w:hAnsi="Calibri" w:cs="Calibri"/>
        <w:b/>
        <w:sz w:val="22"/>
      </w:rPr>
      <w:t xml:space="preserve"> </w:t>
    </w:r>
  </w:p>
  <w:p w14:paraId="2D03AC14" w14:textId="77777777" w:rsidR="004C57E8" w:rsidRDefault="004B44AA">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6C8B38" w14:textId="77777777" w:rsidR="004B44AA" w:rsidRDefault="004B44AA" w:rsidP="00F203C1">
      <w:pPr>
        <w:spacing w:after="0" w:line="240" w:lineRule="auto"/>
      </w:pPr>
      <w:r>
        <w:separator/>
      </w:r>
    </w:p>
  </w:footnote>
  <w:footnote w:type="continuationSeparator" w:id="0">
    <w:p w14:paraId="03B9C20F" w14:textId="77777777" w:rsidR="004B44AA" w:rsidRDefault="004B44AA" w:rsidP="00F20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F525A" w14:textId="1B7512C7" w:rsidR="00F203C1" w:rsidRDefault="00F203C1">
    <w:pPr>
      <w:pStyle w:val="Header"/>
    </w:pPr>
    <w:r>
      <w:t>CSD 209</w:t>
    </w:r>
    <w:r>
      <w:ptab w:relativeTo="margin" w:alignment="center" w:leader="none"/>
    </w:r>
    <w:r>
      <w:t>Kabir Kanha Arora</w:t>
    </w:r>
    <w:r>
      <w:ptab w:relativeTo="margin" w:alignment="right" w:leader="none"/>
    </w:r>
    <w:r>
      <w:t>04-May-2019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CF16C4"/>
    <w:multiLevelType w:val="hybridMultilevel"/>
    <w:tmpl w:val="19CE368A"/>
    <w:lvl w:ilvl="0" w:tplc="40090001">
      <w:start w:val="1"/>
      <w:numFmt w:val="bullet"/>
      <w:lvlText w:val=""/>
      <w:lvlJc w:val="left"/>
      <w:pPr>
        <w:ind w:left="719" w:hanging="360"/>
      </w:pPr>
      <w:rPr>
        <w:rFonts w:ascii="Symbol" w:hAnsi="Symbol" w:hint="default"/>
      </w:rPr>
    </w:lvl>
    <w:lvl w:ilvl="1" w:tplc="40090003">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3C1"/>
    <w:rsid w:val="000A40F0"/>
    <w:rsid w:val="00227071"/>
    <w:rsid w:val="00384993"/>
    <w:rsid w:val="004B44AA"/>
    <w:rsid w:val="00A71548"/>
    <w:rsid w:val="00F203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31DE2"/>
  <w15:chartTrackingRefBased/>
  <w15:docId w15:val="{C3854634-E94E-4A75-B6AA-D0D9B0286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3C1"/>
    <w:pPr>
      <w:spacing w:after="152" w:line="264" w:lineRule="auto"/>
      <w:ind w:left="10" w:right="114" w:hanging="10"/>
    </w:pPr>
    <w:rPr>
      <w:rFonts w:ascii="Times New Roman" w:eastAsia="Times New Roman" w:hAnsi="Times New Roman" w:cs="Times New Roman"/>
      <w:color w:val="000000"/>
      <w:sz w:val="23"/>
      <w:lang w:eastAsia="en-IN"/>
    </w:rPr>
  </w:style>
  <w:style w:type="paragraph" w:styleId="Heading1">
    <w:name w:val="heading 1"/>
    <w:next w:val="Normal"/>
    <w:link w:val="Heading1Char"/>
    <w:uiPriority w:val="9"/>
    <w:qFormat/>
    <w:rsid w:val="00F203C1"/>
    <w:pPr>
      <w:keepNext/>
      <w:keepLines/>
      <w:spacing w:after="111"/>
      <w:ind w:left="10" w:right="401" w:hanging="10"/>
      <w:jc w:val="center"/>
      <w:outlineLvl w:val="0"/>
    </w:pPr>
    <w:rPr>
      <w:rFonts w:ascii="Times New Roman" w:eastAsia="Times New Roman" w:hAnsi="Times New Roman" w:cs="Times New Roman"/>
      <w:b/>
      <w:color w:val="000000"/>
      <w:sz w:val="28"/>
      <w:u w:val="single" w:color="000000"/>
      <w:lang w:eastAsia="en-IN"/>
    </w:rPr>
  </w:style>
  <w:style w:type="paragraph" w:styleId="Heading2">
    <w:name w:val="heading 2"/>
    <w:basedOn w:val="Normal"/>
    <w:next w:val="Normal"/>
    <w:link w:val="Heading2Char"/>
    <w:uiPriority w:val="9"/>
    <w:unhideWhenUsed/>
    <w:qFormat/>
    <w:rsid w:val="000A40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40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3C1"/>
    <w:rPr>
      <w:rFonts w:ascii="Times New Roman" w:eastAsia="Times New Roman" w:hAnsi="Times New Roman" w:cs="Times New Roman"/>
      <w:b/>
      <w:color w:val="000000"/>
      <w:sz w:val="28"/>
      <w:u w:val="single" w:color="000000"/>
      <w:lang w:eastAsia="en-IN"/>
    </w:rPr>
  </w:style>
  <w:style w:type="paragraph" w:styleId="Header">
    <w:name w:val="header"/>
    <w:basedOn w:val="Normal"/>
    <w:link w:val="HeaderChar"/>
    <w:uiPriority w:val="99"/>
    <w:unhideWhenUsed/>
    <w:rsid w:val="00F203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03C1"/>
    <w:rPr>
      <w:rFonts w:ascii="Times New Roman" w:eastAsia="Times New Roman" w:hAnsi="Times New Roman" w:cs="Times New Roman"/>
      <w:color w:val="000000"/>
      <w:sz w:val="23"/>
      <w:lang w:eastAsia="en-IN"/>
    </w:rPr>
  </w:style>
  <w:style w:type="paragraph" w:styleId="Title">
    <w:name w:val="Title"/>
    <w:basedOn w:val="Normal"/>
    <w:next w:val="Normal"/>
    <w:link w:val="TitleChar"/>
    <w:uiPriority w:val="10"/>
    <w:qFormat/>
    <w:rsid w:val="00F203C1"/>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03C1"/>
    <w:rPr>
      <w:rFonts w:asciiTheme="majorHAnsi" w:eastAsiaTheme="majorEastAsia" w:hAnsiTheme="majorHAnsi" w:cstheme="majorBidi"/>
      <w:spacing w:val="-10"/>
      <w:kern w:val="28"/>
      <w:sz w:val="56"/>
      <w:szCs w:val="56"/>
      <w:lang w:eastAsia="en-IN"/>
    </w:rPr>
  </w:style>
  <w:style w:type="paragraph" w:styleId="Subtitle">
    <w:name w:val="Subtitle"/>
    <w:basedOn w:val="Normal"/>
    <w:next w:val="Normal"/>
    <w:link w:val="SubtitleChar"/>
    <w:uiPriority w:val="11"/>
    <w:qFormat/>
    <w:rsid w:val="00F203C1"/>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F203C1"/>
    <w:rPr>
      <w:rFonts w:eastAsiaTheme="minorEastAsia"/>
      <w:color w:val="5A5A5A" w:themeColor="text1" w:themeTint="A5"/>
      <w:spacing w:val="15"/>
      <w:lang w:eastAsia="en-IN"/>
    </w:rPr>
  </w:style>
  <w:style w:type="paragraph" w:styleId="ListParagraph">
    <w:name w:val="List Paragraph"/>
    <w:basedOn w:val="Normal"/>
    <w:uiPriority w:val="34"/>
    <w:qFormat/>
    <w:rsid w:val="000A40F0"/>
    <w:pPr>
      <w:ind w:left="720"/>
      <w:contextualSpacing/>
    </w:pPr>
  </w:style>
  <w:style w:type="character" w:customStyle="1" w:styleId="Heading2Char">
    <w:name w:val="Heading 2 Char"/>
    <w:basedOn w:val="DefaultParagraphFont"/>
    <w:link w:val="Heading2"/>
    <w:uiPriority w:val="9"/>
    <w:rsid w:val="000A40F0"/>
    <w:rPr>
      <w:rFonts w:asciiTheme="majorHAnsi" w:eastAsiaTheme="majorEastAsia" w:hAnsiTheme="majorHAnsi" w:cstheme="majorBidi"/>
      <w:color w:val="2F5496" w:themeColor="accent1" w:themeShade="BF"/>
      <w:sz w:val="26"/>
      <w:szCs w:val="26"/>
      <w:lang w:eastAsia="en-IN"/>
    </w:rPr>
  </w:style>
  <w:style w:type="character" w:customStyle="1" w:styleId="Heading3Char">
    <w:name w:val="Heading 3 Char"/>
    <w:basedOn w:val="DefaultParagraphFont"/>
    <w:link w:val="Heading3"/>
    <w:uiPriority w:val="9"/>
    <w:rsid w:val="000A40F0"/>
    <w:rPr>
      <w:rFonts w:asciiTheme="majorHAnsi" w:eastAsiaTheme="majorEastAsia" w:hAnsiTheme="majorHAnsi" w:cstheme="majorBidi"/>
      <w:color w:val="1F3763" w:themeColor="accent1" w:themeShade="7F"/>
      <w:sz w:val="24"/>
      <w:szCs w:val="24"/>
      <w:lang w:eastAsia="en-IN"/>
    </w:rPr>
  </w:style>
  <w:style w:type="table" w:styleId="TableGrid">
    <w:name w:val="Table Grid"/>
    <w:basedOn w:val="TableNormal"/>
    <w:uiPriority w:val="39"/>
    <w:rsid w:val="000A4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715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2</cp:revision>
  <dcterms:created xsi:type="dcterms:W3CDTF">2019-05-04T13:30:00Z</dcterms:created>
  <dcterms:modified xsi:type="dcterms:W3CDTF">2019-05-04T13:44:00Z</dcterms:modified>
</cp:coreProperties>
</file>