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0F9FA">
      <w:pPr>
        <w:rPr>
          <w:rFonts w:hint="default" w:ascii="Times New Roman Regular" w:hAnsi="Times New Roman Regular" w:eastAsia="楷体" w:cs="Times New Roman Regular"/>
        </w:rPr>
        <w:sectPr>
          <w:headerReference r:id="rId3" w:type="first"/>
          <w:pgSz w:w="11906" w:h="16838"/>
          <w:pgMar w:top="1440" w:right="1800" w:bottom="1440" w:left="1800" w:header="851" w:footer="992" w:gutter="0"/>
          <w:cols w:space="425" w:num="1"/>
          <w:titlePg/>
          <w:docGrid w:type="lines" w:linePitch="312" w:charSpace="0"/>
        </w:sectPr>
      </w:pPr>
      <w:r>
        <w:rPr>
          <w:rFonts w:hint="default" w:ascii="Times New Roman Regular" w:hAnsi="Times New Roman Regular" w:eastAsia="楷体" w:cs="Times New Roman Regular"/>
        </w:rPr>
        <w:pict>
          <v:shape id="000040" o:spid="_x0000_s1036" o:spt="202" type="#_x0000_t202" style="position:absolute;left:0pt;flip:x;margin-left:371.15pt;margin-top:388pt;height:227.35pt;width:40.8pt;z-index:251661312;mso-width-relative:page;mso-height-relative:page;" filled="f" stroked="f" coordsize="21600,21600">
            <v:path/>
            <v:fill on="f" focussize="0,0"/>
            <v:stroke on="f"/>
            <v:imagedata o:title=""/>
            <o:lock v:ext="edit" aspectratio="f"/>
            <v:textbox>
              <w:txbxContent>
                <w:p w14:paraId="38DB5BAF">
                  <w:pPr>
                    <w:spacing w:line="1000" w:lineRule="exact"/>
                    <w:ind w:left="0" w:leftChars="0" w:firstLine="275" w:firstLineChars="131"/>
                    <w:rPr>
                      <w:u w:val="single" w:color="auto"/>
                    </w:rPr>
                  </w:pPr>
                </w:p>
              </w:txbxContent>
            </v:textbox>
          </v:shape>
        </w:pict>
      </w:r>
      <w:r>
        <w:rPr>
          <w:rFonts w:hint="default" w:ascii="Times New Roman Regular" w:hAnsi="Times New Roman Regular" w:eastAsia="楷体" w:cs="Times New Roman Regular"/>
        </w:rPr>
        <w:pict>
          <v:shape id="000041" o:spid="_x0000_s1035" o:spt="202" type="#_x0000_t202" style="position:absolute;left:0pt;flip:x;margin-left:130.35pt;margin-top:1pt;height:6pt;width:26.15pt;z-index:251659264;mso-width-relative:page;mso-height-relative:page;" filled="f" stroked="f" coordsize="21600,21600">
            <v:path/>
            <v:fill on="f" focussize="0,0"/>
            <v:stroke on="f"/>
            <v:imagedata o:title=""/>
            <o:lock v:ext="edit" aspectratio="f"/>
            <v:textbox>
              <w:txbxContent>
                <w:p w14:paraId="171EC26B">
                  <w:pPr>
                    <w:ind w:left="0" w:leftChars="0" w:right="0" w:rightChars="0" w:firstLine="0" w:firstLineChars="0"/>
                    <w:jc w:val="center"/>
                  </w:pPr>
                </w:p>
              </w:txbxContent>
            </v:textbox>
          </v:shape>
        </w:pict>
      </w:r>
      <w:r>
        <w:rPr>
          <w:rFonts w:hint="default" w:ascii="Times New Roman Regular" w:hAnsi="Times New Roman Regular" w:eastAsia="楷体" w:cs="Times New Roman Regular"/>
        </w:rPr>
        <w:pict>
          <v:shape id="000042" o:spid="_x0000_s1034" o:spt="202" type="#_x0000_t202" style="position:absolute;left:0pt;margin-left:373.2pt;margin-top:105.85pt;height:38.3pt;width:71.2pt;z-index:251660288;mso-width-relative:page;mso-height-relative:page;" filled="f" stroked="f" coordsize="21600,21600">
            <v:path/>
            <v:fill on="f" focussize="0,0"/>
            <v:stroke on="f"/>
            <v:imagedata o:title=""/>
            <o:lock v:ext="edit" aspectratio="f"/>
            <v:textbox>
              <w:txbxContent>
                <w:p w14:paraId="48768F24">
                  <w:pPr>
                    <w:ind w:left="0" w:leftChars="0" w:right="0" w:rightChars="0" w:firstLine="0" w:firstLineChars="0"/>
                    <w:jc w:val="center"/>
                    <w:rPr>
                      <w:rFonts w:hint="eastAsia" w:ascii="黑体" w:hAnsi="黑体" w:eastAsia="黑体"/>
                      <w:sz w:val="52"/>
                      <w:lang w:val="en-US" w:eastAsia="zh-CN"/>
                    </w:rPr>
                  </w:pPr>
                </w:p>
              </w:txbxContent>
            </v:textbox>
          </v:shape>
        </w:pict>
      </w:r>
    </w:p>
    <w:p w14:paraId="5978FE54">
      <w:pPr>
        <w:jc w:val="center"/>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b/>
          <w:bCs/>
          <w:sz w:val="44"/>
          <w:szCs w:val="44"/>
        </w:rPr>
        <w:t>目录</w:t>
      </w:r>
    </w:p>
    <w:p w14:paraId="086D118B">
      <w:pPr>
        <w:pStyle w:val="8"/>
        <w:tabs>
          <w:tab w:val="right" w:leader="dot" w:pos="8306"/>
        </w:tabs>
      </w:pPr>
      <w:r>
        <w:rPr>
          <w:rFonts w:hint="default" w:ascii="Times New Roman Regular" w:hAnsi="Times New Roman Regular" w:eastAsia="楷体" w:cs="Times New Roman Regular"/>
          <w:sz w:val="24"/>
          <w:szCs w:val="24"/>
        </w:rPr>
        <w:fldChar w:fldCharType="begin"/>
      </w:r>
      <w:r>
        <w:rPr>
          <w:rFonts w:hint="default" w:ascii="Times New Roman Regular" w:hAnsi="Times New Roman Regular" w:eastAsia="楷体" w:cs="Times New Roman Regular"/>
          <w:sz w:val="24"/>
          <w:szCs w:val="24"/>
        </w:rPr>
        <w:instrText xml:space="preserve">TOC \o "1-3" \h \u </w:instrText>
      </w:r>
      <w:r>
        <w:rPr>
          <w:rFonts w:hint="default" w:ascii="Times New Roman Regular" w:hAnsi="Times New Roman Regular" w:eastAsia="楷体" w:cs="Times New Roman Regular"/>
          <w:sz w:val="24"/>
          <w:szCs w:val="24"/>
        </w:rPr>
        <w:fldChar w:fldCharType="separate"/>
      </w: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_Toc1253119787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 目标与服务模型</w:t>
      </w:r>
      <w:r>
        <w:tab/>
      </w:r>
      <w:r>
        <w:fldChar w:fldCharType="begin"/>
      </w:r>
      <w:r>
        <w:instrText xml:space="preserve"> PAGEREF _Toc1253119787 \h </w:instrText>
      </w:r>
      <w:r>
        <w:fldChar w:fldCharType="separate"/>
      </w:r>
      <w:r>
        <w:t>4</w:t>
      </w:r>
      <w:r>
        <w:fldChar w:fldCharType="end"/>
      </w:r>
      <w:r>
        <w:rPr>
          <w:rFonts w:hint="default" w:ascii="Times New Roman Regular" w:hAnsi="Times New Roman Regular" w:eastAsia="楷体" w:cs="Times New Roman Regular"/>
          <w:szCs w:val="24"/>
        </w:rPr>
        <w:fldChar w:fldCharType="end"/>
      </w:r>
    </w:p>
    <w:p w14:paraId="4EBDA838">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_Toc812133980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2"/>
        </w:rPr>
        <w:t>1.1 项目背景</w:t>
      </w:r>
      <w:r>
        <w:tab/>
      </w:r>
      <w:r>
        <w:fldChar w:fldCharType="begin"/>
      </w:r>
      <w:r>
        <w:instrText xml:space="preserve"> PAGEREF _Toc812133980 \h </w:instrText>
      </w:r>
      <w:r>
        <w:fldChar w:fldCharType="separate"/>
      </w:r>
      <w:r>
        <w:t>4</w:t>
      </w:r>
      <w:r>
        <w:fldChar w:fldCharType="end"/>
      </w:r>
      <w:r>
        <w:rPr>
          <w:rFonts w:hint="default" w:ascii="Times New Roman Regular" w:hAnsi="Times New Roman Regular" w:eastAsia="楷体" w:cs="Times New Roman Regular"/>
          <w:szCs w:val="24"/>
        </w:rPr>
        <w:fldChar w:fldCharType="end"/>
      </w:r>
    </w:p>
    <w:p w14:paraId="597ACE58">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_Toc129741528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1.1.1 行业研究工作面临效率与质量双重挑战</w:t>
      </w:r>
      <w:r>
        <w:tab/>
      </w:r>
      <w:r>
        <w:fldChar w:fldCharType="begin"/>
      </w:r>
      <w:r>
        <w:instrText xml:space="preserve"> PAGEREF _Toc129741528 \h </w:instrText>
      </w:r>
      <w:r>
        <w:fldChar w:fldCharType="separate"/>
      </w:r>
      <w:r>
        <w:t>5</w:t>
      </w:r>
      <w:r>
        <w:fldChar w:fldCharType="end"/>
      </w:r>
      <w:r>
        <w:rPr>
          <w:rFonts w:hint="default" w:ascii="Times New Roman Regular" w:hAnsi="Times New Roman Regular" w:eastAsia="楷体" w:cs="Times New Roman Regular"/>
          <w:szCs w:val="24"/>
        </w:rPr>
        <w:fldChar w:fldCharType="end"/>
      </w:r>
    </w:p>
    <w:p w14:paraId="225289F0">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_Toc869959391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1.1.2 问财 SkillHub 提供金融数据能力基础</w:t>
      </w:r>
      <w:r>
        <w:tab/>
      </w:r>
      <w:r>
        <w:fldChar w:fldCharType="begin"/>
      </w:r>
      <w:r>
        <w:instrText xml:space="preserve"> PAGEREF _Toc869959391 \h </w:instrText>
      </w:r>
      <w:r>
        <w:fldChar w:fldCharType="separate"/>
      </w:r>
      <w:r>
        <w:t>5</w:t>
      </w:r>
      <w:r>
        <w:fldChar w:fldCharType="end"/>
      </w:r>
      <w:r>
        <w:rPr>
          <w:rFonts w:hint="default" w:ascii="Times New Roman Regular" w:hAnsi="Times New Roman Regular" w:eastAsia="楷体" w:cs="Times New Roman Regular"/>
          <w:szCs w:val="24"/>
        </w:rPr>
        <w:fldChar w:fldCharType="end"/>
      </w:r>
    </w:p>
    <w:p w14:paraId="1C50887F">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_Toc1338815761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1.2 项目拟解决的核心问题</w:t>
      </w:r>
      <w:r>
        <w:tab/>
      </w:r>
      <w:r>
        <w:fldChar w:fldCharType="begin"/>
      </w:r>
      <w:r>
        <w:instrText xml:space="preserve"> PAGEREF _Toc1338815761 \h </w:instrText>
      </w:r>
      <w:r>
        <w:fldChar w:fldCharType="separate"/>
      </w:r>
      <w:r>
        <w:t>5</w:t>
      </w:r>
      <w:r>
        <w:fldChar w:fldCharType="end"/>
      </w:r>
      <w:r>
        <w:rPr>
          <w:rFonts w:hint="default" w:ascii="Times New Roman Regular" w:hAnsi="Times New Roman Regular" w:eastAsia="楷体" w:cs="Times New Roman Regular"/>
          <w:szCs w:val="24"/>
        </w:rPr>
        <w:fldChar w:fldCharType="end"/>
      </w:r>
    </w:p>
    <w:p w14:paraId="0881EEAD">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_Toc142841861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1.2.1 多技能协同问题</w:t>
      </w:r>
      <w:r>
        <w:tab/>
      </w:r>
      <w:r>
        <w:fldChar w:fldCharType="begin"/>
      </w:r>
      <w:r>
        <w:instrText xml:space="preserve"> PAGEREF _Toc142841861 \h </w:instrText>
      </w:r>
      <w:r>
        <w:fldChar w:fldCharType="separate"/>
      </w:r>
      <w:r>
        <w:t>5</w:t>
      </w:r>
      <w:r>
        <w:fldChar w:fldCharType="end"/>
      </w:r>
      <w:r>
        <w:rPr>
          <w:rFonts w:hint="default" w:ascii="Times New Roman Regular" w:hAnsi="Times New Roman Regular" w:eastAsia="楷体" w:cs="Times New Roman Regular"/>
          <w:szCs w:val="24"/>
        </w:rPr>
        <w:fldChar w:fldCharType="end"/>
      </w:r>
    </w:p>
    <w:p w14:paraId="07D87EDE">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_Toc2003924128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1.2.2 数据质量与口径一致性问题</w:t>
      </w:r>
      <w:r>
        <w:tab/>
      </w:r>
      <w:r>
        <w:fldChar w:fldCharType="begin"/>
      </w:r>
      <w:r>
        <w:instrText xml:space="preserve"> PAGEREF _Toc2003924128 \h </w:instrText>
      </w:r>
      <w:r>
        <w:fldChar w:fldCharType="separate"/>
      </w:r>
      <w:r>
        <w:t>6</w:t>
      </w:r>
      <w:r>
        <w:fldChar w:fldCharType="end"/>
      </w:r>
      <w:r>
        <w:rPr>
          <w:rFonts w:hint="default" w:ascii="Times New Roman Regular" w:hAnsi="Times New Roman Regular" w:eastAsia="楷体" w:cs="Times New Roman Regular"/>
          <w:szCs w:val="24"/>
        </w:rPr>
        <w:fldChar w:fldCharType="end"/>
      </w:r>
    </w:p>
    <w:p w14:paraId="0F0BF056">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_Toc966783395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1.2.3 大模型事实幻觉问题</w:t>
      </w:r>
      <w:r>
        <w:tab/>
      </w:r>
      <w:r>
        <w:fldChar w:fldCharType="begin"/>
      </w:r>
      <w:r>
        <w:instrText xml:space="preserve"> PAGEREF _Toc966783395 \h </w:instrText>
      </w:r>
      <w:r>
        <w:fldChar w:fldCharType="separate"/>
      </w:r>
      <w:r>
        <w:t>6</w:t>
      </w:r>
      <w:r>
        <w:fldChar w:fldCharType="end"/>
      </w:r>
      <w:r>
        <w:rPr>
          <w:rFonts w:hint="default" w:ascii="Times New Roman Regular" w:hAnsi="Times New Roman Regular" w:eastAsia="楷体" w:cs="Times New Roman Regular"/>
          <w:szCs w:val="24"/>
        </w:rPr>
        <w:fldChar w:fldCharType="end"/>
      </w:r>
    </w:p>
    <w:p w14:paraId="37C49A40">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_Toc867246563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1.2.4 报告生成过程不可审核问题</w:t>
      </w:r>
      <w:r>
        <w:tab/>
      </w:r>
      <w:r>
        <w:fldChar w:fldCharType="begin"/>
      </w:r>
      <w:r>
        <w:instrText xml:space="preserve"> PAGEREF _Toc867246563 \h </w:instrText>
      </w:r>
      <w:r>
        <w:fldChar w:fldCharType="separate"/>
      </w:r>
      <w:r>
        <w:t>6</w:t>
      </w:r>
      <w:r>
        <w:fldChar w:fldCharType="end"/>
      </w:r>
      <w:r>
        <w:rPr>
          <w:rFonts w:hint="default" w:ascii="Times New Roman Regular" w:hAnsi="Times New Roman Regular" w:eastAsia="楷体" w:cs="Times New Roman Regular"/>
          <w:szCs w:val="24"/>
        </w:rPr>
        <w:fldChar w:fldCharType="end"/>
      </w:r>
    </w:p>
    <w:p w14:paraId="6F91AC7C">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_Toc841472152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2"/>
        </w:rPr>
        <w:t>1.3 项目价值与意义</w:t>
      </w:r>
      <w:r>
        <w:tab/>
      </w:r>
      <w:r>
        <w:fldChar w:fldCharType="begin"/>
      </w:r>
      <w:r>
        <w:instrText xml:space="preserve"> PAGEREF _Toc841472152 \h </w:instrText>
      </w:r>
      <w:r>
        <w:fldChar w:fldCharType="separate"/>
      </w:r>
      <w:r>
        <w:t>6</w:t>
      </w:r>
      <w:r>
        <w:fldChar w:fldCharType="end"/>
      </w:r>
      <w:r>
        <w:rPr>
          <w:rFonts w:hint="default" w:ascii="Times New Roman Regular" w:hAnsi="Times New Roman Regular" w:eastAsia="楷体" w:cs="Times New Roman Regular"/>
          <w:szCs w:val="24"/>
        </w:rPr>
        <w:fldChar w:fldCharType="end"/>
      </w:r>
    </w:p>
    <w:p w14:paraId="004F0634">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_Toc1442643169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1.3.1 业务价值</w:t>
      </w:r>
      <w:r>
        <w:tab/>
      </w:r>
      <w:r>
        <w:fldChar w:fldCharType="begin"/>
      </w:r>
      <w:r>
        <w:instrText xml:space="preserve"> PAGEREF _Toc1442643169 \h </w:instrText>
      </w:r>
      <w:r>
        <w:fldChar w:fldCharType="separate"/>
      </w:r>
      <w:r>
        <w:t>6</w:t>
      </w:r>
      <w:r>
        <w:fldChar w:fldCharType="end"/>
      </w:r>
      <w:r>
        <w:rPr>
          <w:rFonts w:hint="default" w:ascii="Times New Roman Regular" w:hAnsi="Times New Roman Regular" w:eastAsia="楷体" w:cs="Times New Roman Regular"/>
          <w:szCs w:val="24"/>
        </w:rPr>
        <w:fldChar w:fldCharType="end"/>
      </w:r>
    </w:p>
    <w:p w14:paraId="006CF58B">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_Toc1413366753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1.3.2 专业质量价值</w:t>
      </w:r>
      <w:r>
        <w:tab/>
      </w:r>
      <w:r>
        <w:fldChar w:fldCharType="begin"/>
      </w:r>
      <w:r>
        <w:instrText xml:space="preserve"> PAGEREF _Toc1413366753 \h </w:instrText>
      </w:r>
      <w:r>
        <w:fldChar w:fldCharType="separate"/>
      </w:r>
      <w:r>
        <w:t>7</w:t>
      </w:r>
      <w:r>
        <w:fldChar w:fldCharType="end"/>
      </w:r>
      <w:r>
        <w:rPr>
          <w:rFonts w:hint="default" w:ascii="Times New Roman Regular" w:hAnsi="Times New Roman Regular" w:eastAsia="楷体" w:cs="Times New Roman Regular"/>
          <w:szCs w:val="24"/>
        </w:rPr>
        <w:fldChar w:fldCharType="end"/>
      </w:r>
    </w:p>
    <w:p w14:paraId="514FE6CD">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_Toc1138398204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1.3.3 管理价值</w:t>
      </w:r>
      <w:r>
        <w:tab/>
      </w:r>
      <w:r>
        <w:fldChar w:fldCharType="begin"/>
      </w:r>
      <w:r>
        <w:instrText xml:space="preserve"> PAGEREF _Toc1138398204 \h </w:instrText>
      </w:r>
      <w:r>
        <w:fldChar w:fldCharType="separate"/>
      </w:r>
      <w:r>
        <w:t>7</w:t>
      </w:r>
      <w:r>
        <w:fldChar w:fldCharType="end"/>
      </w:r>
      <w:r>
        <w:rPr>
          <w:rFonts w:hint="default" w:ascii="Times New Roman Regular" w:hAnsi="Times New Roman Regular" w:eastAsia="楷体" w:cs="Times New Roman Regular"/>
          <w:szCs w:val="24"/>
        </w:rPr>
        <w:fldChar w:fldCharType="end"/>
      </w:r>
    </w:p>
    <w:p w14:paraId="7E7881CC">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_Toc1126803505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1.3.4 技术价值</w:t>
      </w:r>
      <w:r>
        <w:tab/>
      </w:r>
      <w:r>
        <w:fldChar w:fldCharType="begin"/>
      </w:r>
      <w:r>
        <w:instrText xml:space="preserve"> PAGEREF _Toc1126803505 \h </w:instrText>
      </w:r>
      <w:r>
        <w:fldChar w:fldCharType="separate"/>
      </w:r>
      <w:r>
        <w:t>7</w:t>
      </w:r>
      <w:r>
        <w:fldChar w:fldCharType="end"/>
      </w:r>
      <w:r>
        <w:rPr>
          <w:rFonts w:hint="default" w:ascii="Times New Roman Regular" w:hAnsi="Times New Roman Regular" w:eastAsia="楷体" w:cs="Times New Roman Regular"/>
          <w:szCs w:val="24"/>
        </w:rPr>
        <w:fldChar w:fldCharType="end"/>
      </w:r>
    </w:p>
    <w:p w14:paraId="603A2E34">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_Toc1675709289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2"/>
        </w:rPr>
        <w:t>1.4 建设目标</w:t>
      </w:r>
      <w:r>
        <w:tab/>
      </w:r>
      <w:r>
        <w:fldChar w:fldCharType="begin"/>
      </w:r>
      <w:r>
        <w:instrText xml:space="preserve"> PAGEREF _Toc1675709289 \h </w:instrText>
      </w:r>
      <w:r>
        <w:fldChar w:fldCharType="separate"/>
      </w:r>
      <w:r>
        <w:t>7</w:t>
      </w:r>
      <w:r>
        <w:fldChar w:fldCharType="end"/>
      </w:r>
      <w:r>
        <w:rPr>
          <w:rFonts w:hint="default" w:ascii="Times New Roman Regular" w:hAnsi="Times New Roman Regular" w:eastAsia="楷体" w:cs="Times New Roman Regular"/>
          <w:szCs w:val="24"/>
        </w:rPr>
        <w:fldChar w:fldCharType="end"/>
      </w:r>
    </w:p>
    <w:p w14:paraId="13EE9B02">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_Toc1545473465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1.4.1 总体目标</w:t>
      </w:r>
      <w:r>
        <w:tab/>
      </w:r>
      <w:r>
        <w:fldChar w:fldCharType="begin"/>
      </w:r>
      <w:r>
        <w:instrText xml:space="preserve"> PAGEREF _Toc1545473465 \h </w:instrText>
      </w:r>
      <w:r>
        <w:fldChar w:fldCharType="separate"/>
      </w:r>
      <w:r>
        <w:t>7</w:t>
      </w:r>
      <w:r>
        <w:fldChar w:fldCharType="end"/>
      </w:r>
      <w:r>
        <w:rPr>
          <w:rFonts w:hint="default" w:ascii="Times New Roman Regular" w:hAnsi="Times New Roman Regular" w:eastAsia="楷体" w:cs="Times New Roman Regular"/>
          <w:szCs w:val="24"/>
        </w:rPr>
        <w:fldChar w:fldCharType="end"/>
      </w:r>
    </w:p>
    <w:p w14:paraId="6FB5B96E">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_Toc957815790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1.4.3 技术目标</w:t>
      </w:r>
      <w:r>
        <w:tab/>
      </w:r>
      <w:r>
        <w:fldChar w:fldCharType="begin"/>
      </w:r>
      <w:r>
        <w:instrText xml:space="preserve"> PAGEREF _Toc957815790 \h </w:instrText>
      </w:r>
      <w:r>
        <w:fldChar w:fldCharType="separate"/>
      </w:r>
      <w:r>
        <w:t>8</w:t>
      </w:r>
      <w:r>
        <w:fldChar w:fldCharType="end"/>
      </w:r>
      <w:r>
        <w:rPr>
          <w:rFonts w:hint="default" w:ascii="Times New Roman Regular" w:hAnsi="Times New Roman Regular" w:eastAsia="楷体" w:cs="Times New Roman Regular"/>
          <w:szCs w:val="24"/>
        </w:rPr>
        <w:fldChar w:fldCharType="end"/>
      </w:r>
    </w:p>
    <w:p w14:paraId="6E71965C">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_Toc472564618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2"/>
        </w:rPr>
        <w:t>1.5 服务模型</w:t>
      </w:r>
      <w:r>
        <w:tab/>
      </w:r>
      <w:r>
        <w:fldChar w:fldCharType="begin"/>
      </w:r>
      <w:r>
        <w:instrText xml:space="preserve"> PAGEREF _Toc472564618 \h </w:instrText>
      </w:r>
      <w:r>
        <w:fldChar w:fldCharType="separate"/>
      </w:r>
      <w:r>
        <w:t>8</w:t>
      </w:r>
      <w:r>
        <w:fldChar w:fldCharType="end"/>
      </w:r>
      <w:r>
        <w:rPr>
          <w:rFonts w:hint="default" w:ascii="Times New Roman Regular" w:hAnsi="Times New Roman Regular" w:eastAsia="楷体" w:cs="Times New Roman Regular"/>
          <w:szCs w:val="24"/>
        </w:rPr>
        <w:fldChar w:fldCharType="end"/>
      </w:r>
    </w:p>
    <w:p w14:paraId="7A44F423">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_Toc999008120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1.5.1 产品定位</w:t>
      </w:r>
      <w:r>
        <w:tab/>
      </w:r>
      <w:r>
        <w:fldChar w:fldCharType="begin"/>
      </w:r>
      <w:r>
        <w:instrText xml:space="preserve"> PAGEREF _Toc999008120 \h </w:instrText>
      </w:r>
      <w:r>
        <w:fldChar w:fldCharType="separate"/>
      </w:r>
      <w:r>
        <w:t>8</w:t>
      </w:r>
      <w:r>
        <w:fldChar w:fldCharType="end"/>
      </w:r>
      <w:r>
        <w:rPr>
          <w:rFonts w:hint="default" w:ascii="Times New Roman Regular" w:hAnsi="Times New Roman Regular" w:eastAsia="楷体" w:cs="Times New Roman Regular"/>
          <w:szCs w:val="24"/>
        </w:rPr>
        <w:fldChar w:fldCharType="end"/>
      </w:r>
    </w:p>
    <w:p w14:paraId="4CE33A4A">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_Toc1302320594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1.5.2 目标用户</w:t>
      </w:r>
      <w:r>
        <w:tab/>
      </w:r>
      <w:r>
        <w:fldChar w:fldCharType="begin"/>
      </w:r>
      <w:r>
        <w:instrText xml:space="preserve"> PAGEREF _Toc1302320594 \h </w:instrText>
      </w:r>
      <w:r>
        <w:fldChar w:fldCharType="separate"/>
      </w:r>
      <w:r>
        <w:t>8</w:t>
      </w:r>
      <w:r>
        <w:fldChar w:fldCharType="end"/>
      </w:r>
      <w:r>
        <w:rPr>
          <w:rFonts w:hint="default" w:ascii="Times New Roman Regular" w:hAnsi="Times New Roman Regular" w:eastAsia="楷体" w:cs="Times New Roman Regular"/>
          <w:szCs w:val="24"/>
        </w:rPr>
        <w:fldChar w:fldCharType="end"/>
      </w:r>
    </w:p>
    <w:p w14:paraId="6EBE25DD">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_Toc948893134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1.5.3 服务流程</w:t>
      </w:r>
      <w:r>
        <w:tab/>
      </w:r>
      <w:r>
        <w:fldChar w:fldCharType="begin"/>
      </w:r>
      <w:r>
        <w:instrText xml:space="preserve"> PAGEREF _Toc948893134 \h </w:instrText>
      </w:r>
      <w:r>
        <w:fldChar w:fldCharType="separate"/>
      </w:r>
      <w:r>
        <w:t>8</w:t>
      </w:r>
      <w:r>
        <w:fldChar w:fldCharType="end"/>
      </w:r>
      <w:r>
        <w:rPr>
          <w:rFonts w:hint="default" w:ascii="Times New Roman Regular" w:hAnsi="Times New Roman Regular" w:eastAsia="楷体" w:cs="Times New Roman Regular"/>
          <w:szCs w:val="24"/>
        </w:rPr>
        <w:fldChar w:fldCharType="end"/>
      </w:r>
    </w:p>
    <w:p w14:paraId="1413794E">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_Toc833340516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szCs w:val="30"/>
        </w:rPr>
        <w:t>1.5.4 信任模型</w:t>
      </w:r>
      <w:r>
        <w:tab/>
      </w:r>
      <w:r>
        <w:fldChar w:fldCharType="begin"/>
      </w:r>
      <w:r>
        <w:instrText xml:space="preserve"> PAGEREF _Toc833340516 \h </w:instrText>
      </w:r>
      <w:r>
        <w:fldChar w:fldCharType="separate"/>
      </w:r>
      <w:r>
        <w:t>9</w:t>
      </w:r>
      <w:r>
        <w:fldChar w:fldCharType="end"/>
      </w:r>
      <w:r>
        <w:rPr>
          <w:rFonts w:hint="default" w:ascii="Times New Roman Regular" w:hAnsi="Times New Roman Regular" w:eastAsia="楷体" w:cs="Times New Roman Regular"/>
          <w:szCs w:val="24"/>
        </w:rPr>
        <w:fldChar w:fldCharType="end"/>
      </w:r>
    </w:p>
    <w:p w14:paraId="022D1F33">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_Toc65706678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1.5.5 服务边界</w:t>
      </w:r>
      <w:r>
        <w:tab/>
      </w:r>
      <w:r>
        <w:fldChar w:fldCharType="begin"/>
      </w:r>
      <w:r>
        <w:instrText xml:space="preserve"> PAGEREF _Toc65706678 \h </w:instrText>
      </w:r>
      <w:r>
        <w:fldChar w:fldCharType="separate"/>
      </w:r>
      <w:r>
        <w:t>9</w:t>
      </w:r>
      <w:r>
        <w:fldChar w:fldCharType="end"/>
      </w:r>
      <w:r>
        <w:rPr>
          <w:rFonts w:hint="default" w:ascii="Times New Roman Regular" w:hAnsi="Times New Roman Regular" w:eastAsia="楷体" w:cs="Times New Roman Regular"/>
          <w:szCs w:val="24"/>
        </w:rPr>
        <w:fldChar w:fldCharType="end"/>
      </w:r>
    </w:p>
    <w:p w14:paraId="1D605D6F">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_Toc525542588 </w:instrText>
      </w:r>
      <w:r>
        <w:rPr>
          <w:rFonts w:hint="default" w:ascii="Times New Roman Regular" w:hAnsi="Times New Roman Regular" w:eastAsia="楷体" w:cs="Times New Roman Regular"/>
          <w:szCs w:val="24"/>
        </w:rPr>
        <w:fldChar w:fldCharType="separate"/>
      </w:r>
      <w:r>
        <w:rPr>
          <w:rFonts w:hint="eastAsia"/>
        </w:rPr>
        <w:t>1.6 工作范围与交付说明</w:t>
      </w:r>
      <w:r>
        <w:tab/>
      </w:r>
      <w:r>
        <w:fldChar w:fldCharType="begin"/>
      </w:r>
      <w:r>
        <w:instrText xml:space="preserve"> PAGEREF _Toc525542588 \h </w:instrText>
      </w:r>
      <w:r>
        <w:fldChar w:fldCharType="separate"/>
      </w:r>
      <w:r>
        <w:t>9</w:t>
      </w:r>
      <w:r>
        <w:fldChar w:fldCharType="end"/>
      </w:r>
      <w:r>
        <w:rPr>
          <w:rFonts w:hint="default" w:ascii="Times New Roman Regular" w:hAnsi="Times New Roman Regular" w:eastAsia="楷体" w:cs="Times New Roman Regular"/>
          <w:szCs w:val="24"/>
        </w:rPr>
        <w:fldChar w:fldCharType="end"/>
      </w:r>
    </w:p>
    <w:p w14:paraId="25365EEC">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_Toc194036405 </w:instrText>
      </w:r>
      <w:r>
        <w:rPr>
          <w:rFonts w:hint="default" w:ascii="Times New Roman Regular" w:hAnsi="Times New Roman Regular" w:eastAsia="楷体" w:cs="Times New Roman Regular"/>
          <w:szCs w:val="24"/>
        </w:rPr>
        <w:fldChar w:fldCharType="separate"/>
      </w:r>
      <w:r>
        <w:rPr>
          <w:rFonts w:hint="eastAsia"/>
        </w:rPr>
        <w:t>1.6.1 工作范围</w:t>
      </w:r>
      <w:r>
        <w:tab/>
      </w:r>
      <w:r>
        <w:fldChar w:fldCharType="begin"/>
      </w:r>
      <w:r>
        <w:instrText xml:space="preserve"> PAGEREF _Toc194036405 \h </w:instrText>
      </w:r>
      <w:r>
        <w:fldChar w:fldCharType="separate"/>
      </w:r>
      <w:r>
        <w:t>9</w:t>
      </w:r>
      <w:r>
        <w:fldChar w:fldCharType="end"/>
      </w:r>
      <w:r>
        <w:rPr>
          <w:rFonts w:hint="default" w:ascii="Times New Roman Regular" w:hAnsi="Times New Roman Regular" w:eastAsia="楷体" w:cs="Times New Roman Regular"/>
          <w:szCs w:val="24"/>
        </w:rPr>
        <w:fldChar w:fldCharType="end"/>
      </w:r>
    </w:p>
    <w:p w14:paraId="15BD7D00">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_Toc1289682689 </w:instrText>
      </w:r>
      <w:r>
        <w:rPr>
          <w:rFonts w:hint="default" w:ascii="Times New Roman Regular" w:hAnsi="Times New Roman Regular" w:eastAsia="楷体" w:cs="Times New Roman Regular"/>
          <w:szCs w:val="24"/>
        </w:rPr>
        <w:fldChar w:fldCharType="separate"/>
      </w:r>
      <w:r>
        <w:rPr>
          <w:rFonts w:hint="eastAsia"/>
        </w:rPr>
        <w:t>1.6.2 交付说明</w:t>
      </w:r>
      <w:r>
        <w:tab/>
      </w:r>
      <w:r>
        <w:fldChar w:fldCharType="begin"/>
      </w:r>
      <w:r>
        <w:instrText xml:space="preserve"> PAGEREF _Toc1289682689 \h </w:instrText>
      </w:r>
      <w:r>
        <w:fldChar w:fldCharType="separate"/>
      </w:r>
      <w:r>
        <w:t>10</w:t>
      </w:r>
      <w:r>
        <w:fldChar w:fldCharType="end"/>
      </w:r>
      <w:r>
        <w:rPr>
          <w:rFonts w:hint="default" w:ascii="Times New Roman Regular" w:hAnsi="Times New Roman Regular" w:eastAsia="楷体" w:cs="Times New Roman Regular"/>
          <w:szCs w:val="24"/>
        </w:rPr>
        <w:fldChar w:fldCharType="end"/>
      </w:r>
    </w:p>
    <w:p w14:paraId="7ACB7A3D">
      <w:pPr>
        <w:pStyle w:val="8"/>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_Toc1144504852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 组织管理与业务分析方案</w:t>
      </w:r>
      <w:r>
        <w:tab/>
      </w:r>
      <w:r>
        <w:fldChar w:fldCharType="begin"/>
      </w:r>
      <w:r>
        <w:instrText xml:space="preserve"> PAGEREF _Toc1144504852 \h </w:instrText>
      </w:r>
      <w:r>
        <w:fldChar w:fldCharType="separate"/>
      </w:r>
      <w:r>
        <w:t>10</w:t>
      </w:r>
      <w:r>
        <w:fldChar w:fldCharType="end"/>
      </w:r>
      <w:r>
        <w:rPr>
          <w:rFonts w:hint="default" w:ascii="Times New Roman Regular" w:hAnsi="Times New Roman Regular" w:eastAsia="楷体" w:cs="Times New Roman Regular"/>
          <w:szCs w:val="24"/>
        </w:rPr>
        <w:fldChar w:fldCharType="end"/>
      </w:r>
    </w:p>
    <w:p w14:paraId="6D8CDAA6">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_Toc682021385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2.1 项目概述</w:t>
      </w:r>
      <w:r>
        <w:tab/>
      </w:r>
      <w:r>
        <w:fldChar w:fldCharType="begin"/>
      </w:r>
      <w:r>
        <w:instrText xml:space="preserve"> PAGEREF _Toc682021385 \h </w:instrText>
      </w:r>
      <w:r>
        <w:fldChar w:fldCharType="separate"/>
      </w:r>
      <w:r>
        <w:t>10</w:t>
      </w:r>
      <w:r>
        <w:fldChar w:fldCharType="end"/>
      </w:r>
      <w:r>
        <w:rPr>
          <w:rFonts w:hint="default" w:ascii="Times New Roman Regular" w:hAnsi="Times New Roman Regular" w:eastAsia="楷体" w:cs="Times New Roman Regular"/>
          <w:szCs w:val="24"/>
        </w:rPr>
        <w:fldChar w:fldCharType="end"/>
      </w:r>
    </w:p>
    <w:p w14:paraId="07B013B1">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_Toc1613193656 </w:instrText>
      </w:r>
      <w:r>
        <w:rPr>
          <w:rFonts w:hint="default" w:ascii="Times New Roman Regular" w:hAnsi="Times New Roman Regular" w:eastAsia="楷体" w:cs="Times New Roman Regular"/>
          <w:szCs w:val="24"/>
        </w:rPr>
        <w:fldChar w:fldCharType="separate"/>
      </w:r>
      <w:r>
        <w:rPr>
          <w:rFonts w:hint="eastAsia"/>
        </w:rPr>
        <w:t>2.2 组织管理方案</w:t>
      </w:r>
      <w:r>
        <w:tab/>
      </w:r>
      <w:r>
        <w:fldChar w:fldCharType="begin"/>
      </w:r>
      <w:r>
        <w:instrText xml:space="preserve"> PAGEREF _Toc1613193656 \h </w:instrText>
      </w:r>
      <w:r>
        <w:fldChar w:fldCharType="separate"/>
      </w:r>
      <w:r>
        <w:t>11</w:t>
      </w:r>
      <w:r>
        <w:fldChar w:fldCharType="end"/>
      </w:r>
      <w:r>
        <w:rPr>
          <w:rFonts w:hint="default" w:ascii="Times New Roman Regular" w:hAnsi="Times New Roman Regular" w:eastAsia="楷体" w:cs="Times New Roman Regular"/>
          <w:szCs w:val="24"/>
        </w:rPr>
        <w:fldChar w:fldCharType="end"/>
      </w:r>
    </w:p>
    <w:p w14:paraId="60014702">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_Toc964733017 </w:instrText>
      </w:r>
      <w:r>
        <w:rPr>
          <w:rFonts w:hint="default" w:ascii="Times New Roman Regular" w:hAnsi="Times New Roman Regular" w:eastAsia="楷体" w:cs="Times New Roman Regular"/>
          <w:szCs w:val="24"/>
        </w:rPr>
        <w:fldChar w:fldCharType="separate"/>
      </w:r>
      <w:r>
        <w:rPr>
          <w:rFonts w:hint="eastAsia"/>
        </w:rPr>
        <w:t>2.2.1 团队架构</w:t>
      </w:r>
      <w:r>
        <w:tab/>
      </w:r>
      <w:r>
        <w:fldChar w:fldCharType="begin"/>
      </w:r>
      <w:r>
        <w:instrText xml:space="preserve"> PAGEREF _Toc964733017 \h </w:instrText>
      </w:r>
      <w:r>
        <w:fldChar w:fldCharType="separate"/>
      </w:r>
      <w:r>
        <w:t>11</w:t>
      </w:r>
      <w:r>
        <w:fldChar w:fldCharType="end"/>
      </w:r>
      <w:r>
        <w:rPr>
          <w:rFonts w:hint="default" w:ascii="Times New Roman Regular" w:hAnsi="Times New Roman Regular" w:eastAsia="楷体" w:cs="Times New Roman Regular"/>
          <w:szCs w:val="24"/>
        </w:rPr>
        <w:fldChar w:fldCharType="end"/>
      </w:r>
    </w:p>
    <w:p w14:paraId="1A2C81C2">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_Toc766281869 </w:instrText>
      </w:r>
      <w:r>
        <w:rPr>
          <w:rFonts w:hint="default" w:ascii="Times New Roman Regular" w:hAnsi="Times New Roman Regular" w:eastAsia="楷体" w:cs="Times New Roman Regular"/>
          <w:szCs w:val="24"/>
        </w:rPr>
        <w:fldChar w:fldCharType="separate"/>
      </w:r>
      <w:r>
        <w:rPr>
          <w:rFonts w:hint="eastAsia"/>
        </w:rPr>
        <w:t>2.2.2 沟通与协作机制</w:t>
      </w:r>
      <w:r>
        <w:tab/>
      </w:r>
      <w:r>
        <w:fldChar w:fldCharType="begin"/>
      </w:r>
      <w:r>
        <w:instrText xml:space="preserve"> PAGEREF _Toc766281869 \h </w:instrText>
      </w:r>
      <w:r>
        <w:fldChar w:fldCharType="separate"/>
      </w:r>
      <w:r>
        <w:t>12</w:t>
      </w:r>
      <w:r>
        <w:fldChar w:fldCharType="end"/>
      </w:r>
      <w:r>
        <w:rPr>
          <w:rFonts w:hint="default" w:ascii="Times New Roman Regular" w:hAnsi="Times New Roman Regular" w:eastAsia="楷体" w:cs="Times New Roman Regular"/>
          <w:szCs w:val="24"/>
        </w:rPr>
        <w:fldChar w:fldCharType="end"/>
      </w:r>
    </w:p>
    <w:p w14:paraId="7228212C">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_Toc439941224 </w:instrText>
      </w:r>
      <w:r>
        <w:rPr>
          <w:rFonts w:hint="default" w:ascii="Times New Roman Regular" w:hAnsi="Times New Roman Regular" w:eastAsia="楷体" w:cs="Times New Roman Regular"/>
          <w:szCs w:val="24"/>
        </w:rPr>
        <w:fldChar w:fldCharType="separate"/>
      </w:r>
      <w:r>
        <w:rPr>
          <w:rFonts w:hint="eastAsia"/>
        </w:rPr>
        <w:t>2.2.3 项目开发计划</w:t>
      </w:r>
      <w:r>
        <w:tab/>
      </w:r>
      <w:r>
        <w:fldChar w:fldCharType="begin"/>
      </w:r>
      <w:r>
        <w:instrText xml:space="preserve"> PAGEREF _Toc439941224 \h </w:instrText>
      </w:r>
      <w:r>
        <w:fldChar w:fldCharType="separate"/>
      </w:r>
      <w:r>
        <w:t>12</w:t>
      </w:r>
      <w:r>
        <w:fldChar w:fldCharType="end"/>
      </w:r>
      <w:r>
        <w:rPr>
          <w:rFonts w:hint="default" w:ascii="Times New Roman Regular" w:hAnsi="Times New Roman Regular" w:eastAsia="楷体" w:cs="Times New Roman Regular"/>
          <w:szCs w:val="24"/>
        </w:rPr>
        <w:fldChar w:fldCharType="end"/>
      </w:r>
    </w:p>
    <w:p w14:paraId="7B1EF4B7">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_Toc305955147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 业务需求分析</w:t>
      </w:r>
      <w:r>
        <w:tab/>
      </w:r>
      <w:r>
        <w:fldChar w:fldCharType="begin"/>
      </w:r>
      <w:r>
        <w:instrText xml:space="preserve"> PAGEREF _Toc305955147 \h </w:instrText>
      </w:r>
      <w:r>
        <w:fldChar w:fldCharType="separate"/>
      </w:r>
      <w:r>
        <w:t>13</w:t>
      </w:r>
      <w:r>
        <w:fldChar w:fldCharType="end"/>
      </w:r>
      <w:r>
        <w:rPr>
          <w:rFonts w:hint="default" w:ascii="Times New Roman Regular" w:hAnsi="Times New Roman Regular" w:eastAsia="楷体" w:cs="Times New Roman Regular"/>
          <w:szCs w:val="24"/>
        </w:rPr>
        <w:fldChar w:fldCharType="end"/>
      </w:r>
    </w:p>
    <w:p w14:paraId="04D4B7FD">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_Toc1112304711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2.3.1 任务创建需求</w:t>
      </w:r>
      <w:r>
        <w:tab/>
      </w:r>
      <w:r>
        <w:fldChar w:fldCharType="begin"/>
      </w:r>
      <w:r>
        <w:instrText xml:space="preserve"> PAGEREF _Toc1112304711 \h </w:instrText>
      </w:r>
      <w:r>
        <w:fldChar w:fldCharType="separate"/>
      </w:r>
      <w:r>
        <w:t>13</w:t>
      </w:r>
      <w:r>
        <w:fldChar w:fldCharType="end"/>
      </w:r>
      <w:r>
        <w:rPr>
          <w:rFonts w:hint="default" w:ascii="Times New Roman Regular" w:hAnsi="Times New Roman Regular" w:eastAsia="楷体" w:cs="Times New Roman Regular"/>
          <w:szCs w:val="24"/>
        </w:rPr>
        <w:fldChar w:fldCharType="end"/>
      </w:r>
    </w:p>
    <w:p w14:paraId="3F64E798">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_Toc660130642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2.3.2 数据获取需求</w:t>
      </w:r>
      <w:r>
        <w:tab/>
      </w:r>
      <w:r>
        <w:fldChar w:fldCharType="begin"/>
      </w:r>
      <w:r>
        <w:instrText xml:space="preserve"> PAGEREF _Toc660130642 \h </w:instrText>
      </w:r>
      <w:r>
        <w:fldChar w:fldCharType="separate"/>
      </w:r>
      <w:r>
        <w:t>13</w:t>
      </w:r>
      <w:r>
        <w:fldChar w:fldCharType="end"/>
      </w:r>
      <w:r>
        <w:rPr>
          <w:rFonts w:hint="default" w:ascii="Times New Roman Regular" w:hAnsi="Times New Roman Regular" w:eastAsia="楷体" w:cs="Times New Roman Regular"/>
          <w:szCs w:val="24"/>
        </w:rPr>
        <w:fldChar w:fldCharType="end"/>
      </w:r>
    </w:p>
    <w:p w14:paraId="28BEA160">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_Toc915179692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2.3.3 数据解读需求</w:t>
      </w:r>
      <w:r>
        <w:tab/>
      </w:r>
      <w:r>
        <w:fldChar w:fldCharType="begin"/>
      </w:r>
      <w:r>
        <w:instrText xml:space="preserve"> PAGEREF _Toc915179692 \h </w:instrText>
      </w:r>
      <w:r>
        <w:fldChar w:fldCharType="separate"/>
      </w:r>
      <w:r>
        <w:t>13</w:t>
      </w:r>
      <w:r>
        <w:fldChar w:fldCharType="end"/>
      </w:r>
      <w:r>
        <w:rPr>
          <w:rFonts w:hint="default" w:ascii="Times New Roman Regular" w:hAnsi="Times New Roman Regular" w:eastAsia="楷体" w:cs="Times New Roman Regular"/>
          <w:szCs w:val="24"/>
        </w:rPr>
        <w:fldChar w:fldCharType="end"/>
      </w:r>
    </w:p>
    <w:p w14:paraId="3B9A238A">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_Toc1147203630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2.3.4 报告生成需求</w:t>
      </w:r>
      <w:r>
        <w:tab/>
      </w:r>
      <w:r>
        <w:fldChar w:fldCharType="begin"/>
      </w:r>
      <w:r>
        <w:instrText xml:space="preserve"> PAGEREF _Toc1147203630 \h </w:instrText>
      </w:r>
      <w:r>
        <w:fldChar w:fldCharType="separate"/>
      </w:r>
      <w:r>
        <w:t>13</w:t>
      </w:r>
      <w:r>
        <w:fldChar w:fldCharType="end"/>
      </w:r>
      <w:r>
        <w:rPr>
          <w:rFonts w:hint="default" w:ascii="Times New Roman Regular" w:hAnsi="Times New Roman Regular" w:eastAsia="楷体" w:cs="Times New Roman Regular"/>
          <w:szCs w:val="24"/>
        </w:rPr>
        <w:fldChar w:fldCharType="end"/>
      </w:r>
    </w:p>
    <w:p w14:paraId="517EF042">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_Toc943226644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2.3.5 人机协同需求</w:t>
      </w:r>
      <w:r>
        <w:tab/>
      </w:r>
      <w:r>
        <w:fldChar w:fldCharType="begin"/>
      </w:r>
      <w:r>
        <w:instrText xml:space="preserve"> PAGEREF _Toc943226644 \h </w:instrText>
      </w:r>
      <w:r>
        <w:fldChar w:fldCharType="separate"/>
      </w:r>
      <w:r>
        <w:t>14</w:t>
      </w:r>
      <w:r>
        <w:fldChar w:fldCharType="end"/>
      </w:r>
      <w:r>
        <w:rPr>
          <w:rFonts w:hint="default" w:ascii="Times New Roman Regular" w:hAnsi="Times New Roman Regular" w:eastAsia="楷体" w:cs="Times New Roman Regular"/>
          <w:szCs w:val="24"/>
        </w:rPr>
        <w:fldChar w:fldCharType="end"/>
      </w:r>
    </w:p>
    <w:p w14:paraId="488972B7">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_Toc85923554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2.4 核心业务流程</w:t>
      </w:r>
      <w:r>
        <w:tab/>
      </w:r>
      <w:r>
        <w:fldChar w:fldCharType="begin"/>
      </w:r>
      <w:r>
        <w:instrText xml:space="preserve"> PAGEREF _Toc85923554 \h </w:instrText>
      </w:r>
      <w:r>
        <w:fldChar w:fldCharType="separate"/>
      </w:r>
      <w:r>
        <w:t>14</w:t>
      </w:r>
      <w:r>
        <w:fldChar w:fldCharType="end"/>
      </w:r>
      <w:r>
        <w:rPr>
          <w:rFonts w:hint="default" w:ascii="Times New Roman Regular" w:hAnsi="Times New Roman Regular" w:eastAsia="楷体" w:cs="Times New Roman Regular"/>
          <w:szCs w:val="24"/>
        </w:rPr>
        <w:fldChar w:fldCharType="end"/>
      </w:r>
    </w:p>
    <w:p w14:paraId="0E2CE666">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_Toc1008161294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2.4.1 正常流程</w:t>
      </w:r>
      <w:r>
        <w:tab/>
      </w:r>
      <w:r>
        <w:fldChar w:fldCharType="begin"/>
      </w:r>
      <w:r>
        <w:instrText xml:space="preserve"> PAGEREF _Toc1008161294 \h </w:instrText>
      </w:r>
      <w:r>
        <w:fldChar w:fldCharType="separate"/>
      </w:r>
      <w:r>
        <w:t>14</w:t>
      </w:r>
      <w:r>
        <w:fldChar w:fldCharType="end"/>
      </w:r>
      <w:r>
        <w:rPr>
          <w:rFonts w:hint="default" w:ascii="Times New Roman Regular" w:hAnsi="Times New Roman Regular" w:eastAsia="楷体" w:cs="Times New Roman Regular"/>
          <w:szCs w:val="24"/>
        </w:rPr>
        <w:fldChar w:fldCharType="end"/>
      </w:r>
    </w:p>
    <w:p w14:paraId="7507CFDF">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_Toc520893428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2.4.2 异常流程</w:t>
      </w:r>
      <w:r>
        <w:tab/>
      </w:r>
      <w:r>
        <w:fldChar w:fldCharType="begin"/>
      </w:r>
      <w:r>
        <w:instrText xml:space="preserve"> PAGEREF _Toc520893428 \h </w:instrText>
      </w:r>
      <w:r>
        <w:fldChar w:fldCharType="separate"/>
      </w:r>
      <w:r>
        <w:t>14</w:t>
      </w:r>
      <w:r>
        <w:fldChar w:fldCharType="end"/>
      </w:r>
      <w:r>
        <w:rPr>
          <w:rFonts w:hint="default" w:ascii="Times New Roman Regular" w:hAnsi="Times New Roman Regular" w:eastAsia="楷体" w:cs="Times New Roman Regular"/>
          <w:szCs w:val="24"/>
        </w:rPr>
        <w:fldChar w:fldCharType="end"/>
      </w:r>
    </w:p>
    <w:p w14:paraId="75916666">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_Toc1512499224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2.4.3 修订流程</w:t>
      </w:r>
      <w:r>
        <w:tab/>
      </w:r>
      <w:r>
        <w:fldChar w:fldCharType="begin"/>
      </w:r>
      <w:r>
        <w:instrText xml:space="preserve"> PAGEREF _Toc1512499224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1EF60630">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_Toc810528229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 功能模块分析</w:t>
      </w:r>
      <w:r>
        <w:tab/>
      </w:r>
      <w:r>
        <w:fldChar w:fldCharType="begin"/>
      </w:r>
      <w:r>
        <w:instrText xml:space="preserve"> PAGEREF _Toc810528229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543A8413">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_Toc1059171882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2.5.1 任务管理模块</w:t>
      </w:r>
      <w:r>
        <w:tab/>
      </w:r>
      <w:r>
        <w:fldChar w:fldCharType="begin"/>
      </w:r>
      <w:r>
        <w:instrText xml:space="preserve"> PAGEREF _Toc1059171882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64386DDA">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_Toc1009870791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2.5.2 数据采集与证据模块</w:t>
      </w:r>
      <w:r>
        <w:tab/>
      </w:r>
      <w:r>
        <w:fldChar w:fldCharType="begin"/>
      </w:r>
      <w:r>
        <w:instrText xml:space="preserve"> PAGEREF _Toc1009870791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17D53416">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_Toc1335122096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2.5.3 数据解读模块</w:t>
      </w:r>
      <w:r>
        <w:tab/>
      </w:r>
      <w:r>
        <w:fldChar w:fldCharType="begin"/>
      </w:r>
      <w:r>
        <w:instrText xml:space="preserve"> PAGEREF _Toc1335122096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3C4595CB">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_Toc340439969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2.5.4 图表生成模块</w:t>
      </w:r>
      <w:r>
        <w:tab/>
      </w:r>
      <w:r>
        <w:fldChar w:fldCharType="begin"/>
      </w:r>
      <w:r>
        <w:instrText xml:space="preserve"> PAGEREF _Toc340439969 \h </w:instrText>
      </w:r>
      <w:r>
        <w:fldChar w:fldCharType="separate"/>
      </w:r>
      <w:r>
        <w:t>15</w:t>
      </w:r>
      <w:r>
        <w:fldChar w:fldCharType="end"/>
      </w:r>
      <w:r>
        <w:rPr>
          <w:rFonts w:hint="default" w:ascii="Times New Roman Regular" w:hAnsi="Times New Roman Regular" w:eastAsia="楷体" w:cs="Times New Roman Regular"/>
          <w:szCs w:val="24"/>
        </w:rPr>
        <w:fldChar w:fldCharType="end"/>
      </w:r>
    </w:p>
    <w:p w14:paraId="459A3B44">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_Toc878123375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2.5.5 章节撰写模块</w:t>
      </w:r>
      <w:r>
        <w:tab/>
      </w:r>
      <w:r>
        <w:fldChar w:fldCharType="begin"/>
      </w:r>
      <w:r>
        <w:instrText xml:space="preserve"> PAGEREF _Toc878123375 \h </w:instrText>
      </w:r>
      <w:r>
        <w:fldChar w:fldCharType="separate"/>
      </w:r>
      <w:r>
        <w:t>16</w:t>
      </w:r>
      <w:r>
        <w:fldChar w:fldCharType="end"/>
      </w:r>
      <w:r>
        <w:rPr>
          <w:rFonts w:hint="default" w:ascii="Times New Roman Regular" w:hAnsi="Times New Roman Regular" w:eastAsia="楷体" w:cs="Times New Roman Regular"/>
          <w:szCs w:val="24"/>
        </w:rPr>
        <w:fldChar w:fldCharType="end"/>
      </w:r>
    </w:p>
    <w:p w14:paraId="1DF4CD2D">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_Toc1111941441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2.5.6 报告融合模块</w:t>
      </w:r>
      <w:r>
        <w:tab/>
      </w:r>
      <w:r>
        <w:fldChar w:fldCharType="begin"/>
      </w:r>
      <w:r>
        <w:instrText xml:space="preserve"> PAGEREF _Toc1111941441 \h </w:instrText>
      </w:r>
      <w:r>
        <w:fldChar w:fldCharType="separate"/>
      </w:r>
      <w:r>
        <w:t>16</w:t>
      </w:r>
      <w:r>
        <w:fldChar w:fldCharType="end"/>
      </w:r>
      <w:r>
        <w:rPr>
          <w:rFonts w:hint="default" w:ascii="Times New Roman Regular" w:hAnsi="Times New Roman Regular" w:eastAsia="楷体" w:cs="Times New Roman Regular"/>
          <w:szCs w:val="24"/>
        </w:rPr>
        <w:fldChar w:fldCharType="end"/>
      </w:r>
    </w:p>
    <w:p w14:paraId="3D124D7E">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_Toc997102693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2.5.7 审核工作台</w:t>
      </w:r>
      <w:r>
        <w:tab/>
      </w:r>
      <w:r>
        <w:fldChar w:fldCharType="begin"/>
      </w:r>
      <w:r>
        <w:instrText xml:space="preserve"> PAGEREF _Toc997102693 \h </w:instrText>
      </w:r>
      <w:r>
        <w:fldChar w:fldCharType="separate"/>
      </w:r>
      <w:r>
        <w:t>16</w:t>
      </w:r>
      <w:r>
        <w:fldChar w:fldCharType="end"/>
      </w:r>
      <w:r>
        <w:rPr>
          <w:rFonts w:hint="default" w:ascii="Times New Roman Regular" w:hAnsi="Times New Roman Regular" w:eastAsia="楷体" w:cs="Times New Roman Regular"/>
          <w:szCs w:val="24"/>
        </w:rPr>
        <w:fldChar w:fldCharType="end"/>
      </w:r>
    </w:p>
    <w:p w14:paraId="3DF7D1C6">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_Toc1490063710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2.6 运行环境</w:t>
      </w:r>
      <w:r>
        <w:tab/>
      </w:r>
      <w:r>
        <w:fldChar w:fldCharType="begin"/>
      </w:r>
      <w:r>
        <w:instrText xml:space="preserve"> PAGEREF _Toc1490063710 \h </w:instrText>
      </w:r>
      <w:r>
        <w:fldChar w:fldCharType="separate"/>
      </w:r>
      <w:r>
        <w:t>16</w:t>
      </w:r>
      <w:r>
        <w:fldChar w:fldCharType="end"/>
      </w:r>
      <w:r>
        <w:rPr>
          <w:rFonts w:hint="default" w:ascii="Times New Roman Regular" w:hAnsi="Times New Roman Regular" w:eastAsia="楷体" w:cs="Times New Roman Regular"/>
          <w:szCs w:val="24"/>
        </w:rPr>
        <w:fldChar w:fldCharType="end"/>
      </w:r>
    </w:p>
    <w:p w14:paraId="271BAE0B">
      <w:pPr>
        <w:pStyle w:val="8"/>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_Toc1693966303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3 技术路线及实现方案</w:t>
      </w:r>
      <w:r>
        <w:tab/>
      </w:r>
      <w:r>
        <w:fldChar w:fldCharType="begin"/>
      </w:r>
      <w:r>
        <w:instrText xml:space="preserve"> PAGEREF _Toc1693966303 \h </w:instrText>
      </w:r>
      <w:r>
        <w:fldChar w:fldCharType="separate"/>
      </w:r>
      <w:r>
        <w:t>16</w:t>
      </w:r>
      <w:r>
        <w:fldChar w:fldCharType="end"/>
      </w:r>
      <w:r>
        <w:rPr>
          <w:rFonts w:hint="default" w:ascii="Times New Roman Regular" w:hAnsi="Times New Roman Regular" w:eastAsia="楷体" w:cs="Times New Roman Regular"/>
          <w:szCs w:val="24"/>
        </w:rPr>
        <w:fldChar w:fldCharType="end"/>
      </w:r>
    </w:p>
    <w:p w14:paraId="21971719">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_Toc1300946242 </w:instrText>
      </w:r>
      <w:r>
        <w:rPr>
          <w:rFonts w:hint="default" w:ascii="Times New Roman Regular" w:hAnsi="Times New Roman Regular" w:eastAsia="楷体" w:cs="Times New Roman Regular"/>
          <w:szCs w:val="24"/>
        </w:rPr>
        <w:fldChar w:fldCharType="separate"/>
      </w:r>
      <w:r>
        <w:rPr>
          <w:rFonts w:hint="eastAsia"/>
        </w:rPr>
        <w:t>3.1 总体技术架构</w:t>
      </w:r>
      <w:r>
        <w:tab/>
      </w:r>
      <w:r>
        <w:fldChar w:fldCharType="begin"/>
      </w:r>
      <w:r>
        <w:instrText xml:space="preserve"> PAGEREF _Toc1300946242 \h </w:instrText>
      </w:r>
      <w:r>
        <w:fldChar w:fldCharType="separate"/>
      </w:r>
      <w:r>
        <w:t>17</w:t>
      </w:r>
      <w:r>
        <w:fldChar w:fldCharType="end"/>
      </w:r>
      <w:r>
        <w:rPr>
          <w:rFonts w:hint="default" w:ascii="Times New Roman Regular" w:hAnsi="Times New Roman Regular" w:eastAsia="楷体" w:cs="Times New Roman Regular"/>
          <w:szCs w:val="24"/>
        </w:rPr>
        <w:fldChar w:fldCharType="end"/>
      </w:r>
    </w:p>
    <w:p w14:paraId="50C89ABA">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_Toc1472479187 </w:instrText>
      </w:r>
      <w:r>
        <w:rPr>
          <w:rFonts w:hint="default" w:ascii="Times New Roman Regular" w:hAnsi="Times New Roman Regular" w:eastAsia="楷体" w:cs="Times New Roman Regular"/>
          <w:szCs w:val="24"/>
        </w:rPr>
        <w:fldChar w:fldCharType="separate"/>
      </w:r>
      <w:r>
        <w:rPr>
          <w:rFonts w:hint="eastAsia"/>
        </w:rPr>
        <w:t>3.2 Agent 1：数据获取智能体</w:t>
      </w:r>
      <w:r>
        <w:tab/>
      </w:r>
      <w:r>
        <w:fldChar w:fldCharType="begin"/>
      </w:r>
      <w:r>
        <w:instrText xml:space="preserve"> PAGEREF _Toc1472479187 \h </w:instrText>
      </w:r>
      <w:r>
        <w:fldChar w:fldCharType="separate"/>
      </w:r>
      <w:r>
        <w:t>18</w:t>
      </w:r>
      <w:r>
        <w:fldChar w:fldCharType="end"/>
      </w:r>
      <w:r>
        <w:rPr>
          <w:rFonts w:hint="default" w:ascii="Times New Roman Regular" w:hAnsi="Times New Roman Regular" w:eastAsia="楷体" w:cs="Times New Roman Regular"/>
          <w:szCs w:val="24"/>
        </w:rPr>
        <w:fldChar w:fldCharType="end"/>
      </w:r>
    </w:p>
    <w:p w14:paraId="556AEB98">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_Toc356147881 </w:instrText>
      </w:r>
      <w:r>
        <w:rPr>
          <w:rFonts w:hint="default" w:ascii="Times New Roman Regular" w:hAnsi="Times New Roman Regular" w:eastAsia="楷体" w:cs="Times New Roman Regular"/>
          <w:szCs w:val="24"/>
        </w:rPr>
        <w:fldChar w:fldCharType="separate"/>
      </w:r>
      <w:r>
        <w:rPr>
          <w:rFonts w:hint="eastAsia"/>
        </w:rPr>
        <w:t>3.3 Agent 2：数据解读智能体</w:t>
      </w:r>
      <w:r>
        <w:tab/>
      </w:r>
      <w:r>
        <w:fldChar w:fldCharType="begin"/>
      </w:r>
      <w:r>
        <w:instrText xml:space="preserve"> PAGEREF _Toc356147881 \h </w:instrText>
      </w:r>
      <w:r>
        <w:fldChar w:fldCharType="separate"/>
      </w:r>
      <w:r>
        <w:t>21</w:t>
      </w:r>
      <w:r>
        <w:fldChar w:fldCharType="end"/>
      </w:r>
      <w:r>
        <w:rPr>
          <w:rFonts w:hint="default" w:ascii="Times New Roman Regular" w:hAnsi="Times New Roman Regular" w:eastAsia="楷体" w:cs="Times New Roman Regular"/>
          <w:szCs w:val="24"/>
        </w:rPr>
        <w:fldChar w:fldCharType="end"/>
      </w:r>
    </w:p>
    <w:p w14:paraId="495D1DE4">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_Toc740511778 </w:instrText>
      </w:r>
      <w:r>
        <w:rPr>
          <w:rFonts w:hint="default" w:ascii="Times New Roman Regular" w:hAnsi="Times New Roman Regular" w:eastAsia="楷体" w:cs="Times New Roman Regular"/>
          <w:szCs w:val="24"/>
        </w:rPr>
        <w:fldChar w:fldCharType="separate"/>
      </w:r>
      <w:r>
        <w:rPr>
          <w:rFonts w:hint="eastAsia"/>
        </w:rPr>
        <w:t>3.4 Agent 3：图表生成智能体</w:t>
      </w:r>
      <w:r>
        <w:tab/>
      </w:r>
      <w:r>
        <w:fldChar w:fldCharType="begin"/>
      </w:r>
      <w:r>
        <w:instrText xml:space="preserve"> PAGEREF _Toc740511778 \h </w:instrText>
      </w:r>
      <w:r>
        <w:fldChar w:fldCharType="separate"/>
      </w:r>
      <w:r>
        <w:t>24</w:t>
      </w:r>
      <w:r>
        <w:fldChar w:fldCharType="end"/>
      </w:r>
      <w:r>
        <w:rPr>
          <w:rFonts w:hint="default" w:ascii="Times New Roman Regular" w:hAnsi="Times New Roman Regular" w:eastAsia="楷体" w:cs="Times New Roman Regular"/>
          <w:szCs w:val="24"/>
        </w:rPr>
        <w:fldChar w:fldCharType="end"/>
      </w:r>
    </w:p>
    <w:p w14:paraId="1CE8D174">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_Toc1113718481 </w:instrText>
      </w:r>
      <w:r>
        <w:rPr>
          <w:rFonts w:hint="default" w:ascii="Times New Roman Regular" w:hAnsi="Times New Roman Regular" w:eastAsia="楷体" w:cs="Times New Roman Regular"/>
          <w:szCs w:val="24"/>
        </w:rPr>
        <w:fldChar w:fldCharType="separate"/>
      </w:r>
      <w:r>
        <w:rPr>
          <w:rFonts w:hint="eastAsia"/>
        </w:rPr>
        <w:t>3.5 Agent 4：章节撰写智能体</w:t>
      </w:r>
      <w:r>
        <w:tab/>
      </w:r>
      <w:r>
        <w:fldChar w:fldCharType="begin"/>
      </w:r>
      <w:r>
        <w:instrText xml:space="preserve"> PAGEREF _Toc1113718481 \h </w:instrText>
      </w:r>
      <w:r>
        <w:fldChar w:fldCharType="separate"/>
      </w:r>
      <w:r>
        <w:t>27</w:t>
      </w:r>
      <w:r>
        <w:fldChar w:fldCharType="end"/>
      </w:r>
      <w:r>
        <w:rPr>
          <w:rFonts w:hint="default" w:ascii="Times New Roman Regular" w:hAnsi="Times New Roman Regular" w:eastAsia="楷体" w:cs="Times New Roman Regular"/>
          <w:szCs w:val="24"/>
        </w:rPr>
        <w:fldChar w:fldCharType="end"/>
      </w:r>
    </w:p>
    <w:p w14:paraId="5BF67C31">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_Toc799042915 </w:instrText>
      </w:r>
      <w:r>
        <w:rPr>
          <w:rFonts w:hint="default" w:ascii="Times New Roman Regular" w:hAnsi="Times New Roman Regular" w:eastAsia="楷体" w:cs="Times New Roman Regular"/>
          <w:szCs w:val="24"/>
        </w:rPr>
        <w:fldChar w:fldCharType="separate"/>
      </w:r>
      <w:r>
        <w:rPr>
          <w:rFonts w:hint="eastAsia"/>
        </w:rPr>
        <w:t>3.6 Agent 5：报告融合智能体</w:t>
      </w:r>
      <w:r>
        <w:tab/>
      </w:r>
      <w:r>
        <w:fldChar w:fldCharType="begin"/>
      </w:r>
      <w:r>
        <w:instrText xml:space="preserve"> PAGEREF _Toc799042915 \h </w:instrText>
      </w:r>
      <w:r>
        <w:fldChar w:fldCharType="separate"/>
      </w:r>
      <w:r>
        <w:t>29</w:t>
      </w:r>
      <w:r>
        <w:fldChar w:fldCharType="end"/>
      </w:r>
      <w:r>
        <w:rPr>
          <w:rFonts w:hint="default" w:ascii="Times New Roman Regular" w:hAnsi="Times New Roman Regular" w:eastAsia="楷体" w:cs="Times New Roman Regular"/>
          <w:szCs w:val="24"/>
        </w:rPr>
        <w:fldChar w:fldCharType="end"/>
      </w:r>
    </w:p>
    <w:p w14:paraId="2E07D28C">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_Toc1299027714 </w:instrText>
      </w:r>
      <w:r>
        <w:rPr>
          <w:rFonts w:hint="default" w:ascii="Times New Roman Regular" w:hAnsi="Times New Roman Regular" w:eastAsia="楷体" w:cs="Times New Roman Regular"/>
          <w:szCs w:val="24"/>
        </w:rPr>
        <w:fldChar w:fldCharType="separate"/>
      </w:r>
      <w:r>
        <w:rPr>
          <w:rFonts w:hint="eastAsia"/>
        </w:rPr>
        <w:t>3.7 人机协同实现</w:t>
      </w:r>
      <w:r>
        <w:tab/>
      </w:r>
      <w:r>
        <w:fldChar w:fldCharType="begin"/>
      </w:r>
      <w:r>
        <w:instrText xml:space="preserve"> PAGEREF _Toc1299027714 \h </w:instrText>
      </w:r>
      <w:r>
        <w:fldChar w:fldCharType="separate"/>
      </w:r>
      <w:r>
        <w:t>31</w:t>
      </w:r>
      <w:r>
        <w:fldChar w:fldCharType="end"/>
      </w:r>
      <w:r>
        <w:rPr>
          <w:rFonts w:hint="default" w:ascii="Times New Roman Regular" w:hAnsi="Times New Roman Regular" w:eastAsia="楷体" w:cs="Times New Roman Regular"/>
          <w:szCs w:val="24"/>
        </w:rPr>
        <w:fldChar w:fldCharType="end"/>
      </w:r>
    </w:p>
    <w:p w14:paraId="1D3392A1">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_Toc1440033796 </w:instrText>
      </w:r>
      <w:r>
        <w:rPr>
          <w:rFonts w:hint="default" w:ascii="Times New Roman Regular" w:hAnsi="Times New Roman Regular" w:eastAsia="楷体" w:cs="Times New Roman Regular"/>
          <w:szCs w:val="24"/>
        </w:rPr>
        <w:fldChar w:fldCharType="separate"/>
      </w:r>
      <w:r>
        <w:rPr>
          <w:rFonts w:hint="eastAsia"/>
        </w:rPr>
        <w:t>3.8 状态与持久化</w:t>
      </w:r>
      <w:r>
        <w:tab/>
      </w:r>
      <w:r>
        <w:fldChar w:fldCharType="begin"/>
      </w:r>
      <w:r>
        <w:instrText xml:space="preserve"> PAGEREF _Toc1440033796 \h </w:instrText>
      </w:r>
      <w:r>
        <w:fldChar w:fldCharType="separate"/>
      </w:r>
      <w:r>
        <w:t>33</w:t>
      </w:r>
      <w:r>
        <w:fldChar w:fldCharType="end"/>
      </w:r>
      <w:r>
        <w:rPr>
          <w:rFonts w:hint="default" w:ascii="Times New Roman Regular" w:hAnsi="Times New Roman Regular" w:eastAsia="楷体" w:cs="Times New Roman Regular"/>
          <w:szCs w:val="24"/>
        </w:rPr>
        <w:fldChar w:fldCharType="end"/>
      </w:r>
    </w:p>
    <w:p w14:paraId="095AE802">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_Toc507307682 </w:instrText>
      </w:r>
      <w:r>
        <w:rPr>
          <w:rFonts w:hint="default" w:ascii="Times New Roman Regular" w:hAnsi="Times New Roman Regular" w:eastAsia="楷体" w:cs="Times New Roman Regular"/>
          <w:szCs w:val="24"/>
        </w:rPr>
        <w:fldChar w:fldCharType="separate"/>
      </w:r>
      <w:r>
        <w:rPr>
          <w:rFonts w:hint="eastAsia"/>
        </w:rPr>
        <w:t>3.9 安全方案</w:t>
      </w:r>
      <w:r>
        <w:tab/>
      </w:r>
      <w:r>
        <w:fldChar w:fldCharType="begin"/>
      </w:r>
      <w:r>
        <w:instrText xml:space="preserve"> PAGEREF _Toc507307682 \h </w:instrText>
      </w:r>
      <w:r>
        <w:fldChar w:fldCharType="separate"/>
      </w:r>
      <w:r>
        <w:t>34</w:t>
      </w:r>
      <w:r>
        <w:fldChar w:fldCharType="end"/>
      </w:r>
      <w:r>
        <w:rPr>
          <w:rFonts w:hint="default" w:ascii="Times New Roman Regular" w:hAnsi="Times New Roman Regular" w:eastAsia="楷体" w:cs="Times New Roman Regular"/>
          <w:szCs w:val="24"/>
        </w:rPr>
        <w:fldChar w:fldCharType="end"/>
      </w:r>
    </w:p>
    <w:p w14:paraId="4626B26E">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_Toc810132784 </w:instrText>
      </w:r>
      <w:r>
        <w:rPr>
          <w:rFonts w:hint="default" w:ascii="Times New Roman Regular" w:hAnsi="Times New Roman Regular" w:eastAsia="楷体" w:cs="Times New Roman Regular"/>
          <w:szCs w:val="24"/>
        </w:rPr>
        <w:fldChar w:fldCharType="separate"/>
      </w:r>
      <w:r>
        <w:rPr>
          <w:rFonts w:hint="eastAsia"/>
        </w:rPr>
        <w:t>3.10 报告质量控制</w:t>
      </w:r>
      <w:r>
        <w:tab/>
      </w:r>
      <w:r>
        <w:fldChar w:fldCharType="begin"/>
      </w:r>
      <w:r>
        <w:instrText xml:space="preserve"> PAGEREF _Toc810132784 \h </w:instrText>
      </w:r>
      <w:r>
        <w:fldChar w:fldCharType="separate"/>
      </w:r>
      <w:r>
        <w:t>35</w:t>
      </w:r>
      <w:r>
        <w:fldChar w:fldCharType="end"/>
      </w:r>
      <w:r>
        <w:rPr>
          <w:rFonts w:hint="default" w:ascii="Times New Roman Regular" w:hAnsi="Times New Roman Regular" w:eastAsia="楷体" w:cs="Times New Roman Regular"/>
          <w:szCs w:val="24"/>
        </w:rPr>
        <w:fldChar w:fldCharType="end"/>
      </w:r>
    </w:p>
    <w:p w14:paraId="479ED113">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_Toc855378708 </w:instrText>
      </w:r>
      <w:r>
        <w:rPr>
          <w:rFonts w:hint="default" w:ascii="Times New Roman Regular" w:hAnsi="Times New Roman Regular" w:eastAsia="楷体" w:cs="Times New Roman Regular"/>
          <w:szCs w:val="24"/>
        </w:rPr>
        <w:fldChar w:fldCharType="separate"/>
      </w:r>
      <w:r>
        <w:rPr>
          <w:rFonts w:hint="eastAsia"/>
        </w:rPr>
        <w:t>3.11 技术创新点</w:t>
      </w:r>
      <w:r>
        <w:tab/>
      </w:r>
      <w:r>
        <w:fldChar w:fldCharType="begin"/>
      </w:r>
      <w:r>
        <w:instrText xml:space="preserve"> PAGEREF _Toc855378708 \h </w:instrText>
      </w:r>
      <w:r>
        <w:fldChar w:fldCharType="separate"/>
      </w:r>
      <w:r>
        <w:t>36</w:t>
      </w:r>
      <w:r>
        <w:fldChar w:fldCharType="end"/>
      </w:r>
      <w:r>
        <w:rPr>
          <w:rFonts w:hint="default" w:ascii="Times New Roman Regular" w:hAnsi="Times New Roman Regular" w:eastAsia="楷体" w:cs="Times New Roman Regular"/>
          <w:szCs w:val="24"/>
        </w:rPr>
        <w:fldChar w:fldCharType="end"/>
      </w:r>
    </w:p>
    <w:p w14:paraId="1D5D0A2E">
      <w:pPr>
        <w:pStyle w:val="8"/>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_Toc1094412338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 成本模型及可行性分析</w:t>
      </w:r>
      <w:r>
        <w:tab/>
      </w:r>
      <w:r>
        <w:fldChar w:fldCharType="begin"/>
      </w:r>
      <w:r>
        <w:instrText xml:space="preserve"> PAGEREF _Toc1094412338 \h </w:instrText>
      </w:r>
      <w:r>
        <w:fldChar w:fldCharType="separate"/>
      </w:r>
      <w:r>
        <w:t>37</w:t>
      </w:r>
      <w:r>
        <w:fldChar w:fldCharType="end"/>
      </w:r>
      <w:r>
        <w:rPr>
          <w:rFonts w:hint="default" w:ascii="Times New Roman Regular" w:hAnsi="Times New Roman Regular" w:eastAsia="楷体" w:cs="Times New Roman Regular"/>
          <w:szCs w:val="24"/>
        </w:rPr>
        <w:fldChar w:fldCharType="end"/>
      </w:r>
    </w:p>
    <w:p w14:paraId="77CD3D12">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_Toc590728211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4.1 成本分析口径</w:t>
      </w:r>
      <w:r>
        <w:tab/>
      </w:r>
      <w:r>
        <w:fldChar w:fldCharType="begin"/>
      </w:r>
      <w:r>
        <w:instrText xml:space="preserve"> PAGEREF _Toc590728211 \h </w:instrText>
      </w:r>
      <w:r>
        <w:fldChar w:fldCharType="separate"/>
      </w:r>
      <w:r>
        <w:t>37</w:t>
      </w:r>
      <w:r>
        <w:fldChar w:fldCharType="end"/>
      </w:r>
      <w:r>
        <w:rPr>
          <w:rFonts w:hint="default" w:ascii="Times New Roman Regular" w:hAnsi="Times New Roman Regular" w:eastAsia="楷体" w:cs="Times New Roman Regular"/>
          <w:szCs w:val="24"/>
        </w:rPr>
        <w:fldChar w:fldCharType="end"/>
      </w:r>
    </w:p>
    <w:p w14:paraId="4DAC8055">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_Toc552142196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4.2 一次性建设成本</w:t>
      </w:r>
      <w:r>
        <w:tab/>
      </w:r>
      <w:r>
        <w:fldChar w:fldCharType="begin"/>
      </w:r>
      <w:r>
        <w:instrText xml:space="preserve"> PAGEREF _Toc552142196 \h </w:instrText>
      </w:r>
      <w:r>
        <w:fldChar w:fldCharType="separate"/>
      </w:r>
      <w:r>
        <w:t>38</w:t>
      </w:r>
      <w:r>
        <w:fldChar w:fldCharType="end"/>
      </w:r>
      <w:r>
        <w:rPr>
          <w:rFonts w:hint="default" w:ascii="Times New Roman Regular" w:hAnsi="Times New Roman Regular" w:eastAsia="楷体" w:cs="Times New Roman Regular"/>
          <w:szCs w:val="24"/>
        </w:rPr>
        <w:fldChar w:fldCharType="end"/>
      </w:r>
    </w:p>
    <w:p w14:paraId="134AAEDF">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_Toc577049485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4.3 持续运行成本</w:t>
      </w:r>
      <w:r>
        <w:tab/>
      </w:r>
      <w:r>
        <w:fldChar w:fldCharType="begin"/>
      </w:r>
      <w:r>
        <w:instrText xml:space="preserve"> PAGEREF _Toc577049485 \h </w:instrText>
      </w:r>
      <w:r>
        <w:fldChar w:fldCharType="separate"/>
      </w:r>
      <w:r>
        <w:t>38</w:t>
      </w:r>
      <w:r>
        <w:fldChar w:fldCharType="end"/>
      </w:r>
      <w:r>
        <w:rPr>
          <w:rFonts w:hint="default" w:ascii="Times New Roman Regular" w:hAnsi="Times New Roman Regular" w:eastAsia="楷体" w:cs="Times New Roman Regular"/>
          <w:szCs w:val="24"/>
        </w:rPr>
        <w:fldChar w:fldCharType="end"/>
      </w:r>
    </w:p>
    <w:p w14:paraId="72A23DF4">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_Toc434544543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4.3.1 固定成本</w:t>
      </w:r>
      <w:r>
        <w:tab/>
      </w:r>
      <w:r>
        <w:fldChar w:fldCharType="begin"/>
      </w:r>
      <w:r>
        <w:instrText xml:space="preserve"> PAGEREF _Toc434544543 \h </w:instrText>
      </w:r>
      <w:r>
        <w:fldChar w:fldCharType="separate"/>
      </w:r>
      <w:r>
        <w:t>38</w:t>
      </w:r>
      <w:r>
        <w:fldChar w:fldCharType="end"/>
      </w:r>
      <w:r>
        <w:rPr>
          <w:rFonts w:hint="default" w:ascii="Times New Roman Regular" w:hAnsi="Times New Roman Regular" w:eastAsia="楷体" w:cs="Times New Roman Regular"/>
          <w:szCs w:val="24"/>
        </w:rPr>
        <w:fldChar w:fldCharType="end"/>
      </w:r>
    </w:p>
    <w:p w14:paraId="727C40D5">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_Toc1945734401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4.3.2 变量成本</w:t>
      </w:r>
      <w:r>
        <w:tab/>
      </w:r>
      <w:r>
        <w:fldChar w:fldCharType="begin"/>
      </w:r>
      <w:r>
        <w:instrText xml:space="preserve"> PAGEREF _Toc1945734401 \h </w:instrText>
      </w:r>
      <w:r>
        <w:fldChar w:fldCharType="separate"/>
      </w:r>
      <w:r>
        <w:t>38</w:t>
      </w:r>
      <w:r>
        <w:fldChar w:fldCharType="end"/>
      </w:r>
      <w:r>
        <w:rPr>
          <w:rFonts w:hint="default" w:ascii="Times New Roman Regular" w:hAnsi="Times New Roman Regular" w:eastAsia="楷体" w:cs="Times New Roman Regular"/>
          <w:szCs w:val="24"/>
        </w:rPr>
        <w:fldChar w:fldCharType="end"/>
      </w:r>
    </w:p>
    <w:p w14:paraId="6EC16F62">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_Toc77101091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4.3.3 隐性成本</w:t>
      </w:r>
      <w:r>
        <w:tab/>
      </w:r>
      <w:r>
        <w:fldChar w:fldCharType="begin"/>
      </w:r>
      <w:r>
        <w:instrText xml:space="preserve"> PAGEREF _Toc77101091 \h </w:instrText>
      </w:r>
      <w:r>
        <w:fldChar w:fldCharType="separate"/>
      </w:r>
      <w:r>
        <w:t>39</w:t>
      </w:r>
      <w:r>
        <w:fldChar w:fldCharType="end"/>
      </w:r>
      <w:r>
        <w:rPr>
          <w:rFonts w:hint="default" w:ascii="Times New Roman Regular" w:hAnsi="Times New Roman Regular" w:eastAsia="楷体" w:cs="Times New Roman Regular"/>
          <w:szCs w:val="24"/>
        </w:rPr>
        <w:fldChar w:fldCharType="end"/>
      </w:r>
    </w:p>
    <w:p w14:paraId="629DE7CF">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_Toc905397296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4.4 成本控制策略</w:t>
      </w:r>
      <w:r>
        <w:tab/>
      </w:r>
      <w:r>
        <w:fldChar w:fldCharType="begin"/>
      </w:r>
      <w:r>
        <w:instrText xml:space="preserve"> PAGEREF _Toc905397296 \h </w:instrText>
      </w:r>
      <w:r>
        <w:fldChar w:fldCharType="separate"/>
      </w:r>
      <w:r>
        <w:t>39</w:t>
      </w:r>
      <w:r>
        <w:fldChar w:fldCharType="end"/>
      </w:r>
      <w:r>
        <w:rPr>
          <w:rFonts w:hint="default" w:ascii="Times New Roman Regular" w:hAnsi="Times New Roman Regular" w:eastAsia="楷体" w:cs="Times New Roman Regular"/>
          <w:szCs w:val="24"/>
        </w:rPr>
        <w:fldChar w:fldCharType="end"/>
      </w:r>
    </w:p>
    <w:p w14:paraId="217B84B7">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_Toc2090714877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4.5 收益分析</w:t>
      </w:r>
      <w:r>
        <w:tab/>
      </w:r>
      <w:r>
        <w:fldChar w:fldCharType="begin"/>
      </w:r>
      <w:r>
        <w:instrText xml:space="preserve"> PAGEREF _Toc2090714877 \h </w:instrText>
      </w:r>
      <w:r>
        <w:fldChar w:fldCharType="separate"/>
      </w:r>
      <w:r>
        <w:t>39</w:t>
      </w:r>
      <w:r>
        <w:fldChar w:fldCharType="end"/>
      </w:r>
      <w:r>
        <w:rPr>
          <w:rFonts w:hint="default" w:ascii="Times New Roman Regular" w:hAnsi="Times New Roman Regular" w:eastAsia="楷体" w:cs="Times New Roman Regular"/>
          <w:szCs w:val="24"/>
        </w:rPr>
        <w:fldChar w:fldCharType="end"/>
      </w:r>
    </w:p>
    <w:p w14:paraId="1E3CB334">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_Toc1517505525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4.5.1 可量化收益</w:t>
      </w:r>
      <w:r>
        <w:tab/>
      </w:r>
      <w:r>
        <w:fldChar w:fldCharType="begin"/>
      </w:r>
      <w:r>
        <w:instrText xml:space="preserve"> PAGEREF _Toc1517505525 \h </w:instrText>
      </w:r>
      <w:r>
        <w:fldChar w:fldCharType="separate"/>
      </w:r>
      <w:r>
        <w:t>39</w:t>
      </w:r>
      <w:r>
        <w:fldChar w:fldCharType="end"/>
      </w:r>
      <w:r>
        <w:rPr>
          <w:rFonts w:hint="default" w:ascii="Times New Roman Regular" w:hAnsi="Times New Roman Regular" w:eastAsia="楷体" w:cs="Times New Roman Regular"/>
          <w:szCs w:val="24"/>
        </w:rPr>
        <w:fldChar w:fldCharType="end"/>
      </w:r>
    </w:p>
    <w:p w14:paraId="3160DCA1">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_Toc1199566903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4.5.2 管理收益</w:t>
      </w:r>
      <w:r>
        <w:tab/>
      </w:r>
      <w:r>
        <w:fldChar w:fldCharType="begin"/>
      </w:r>
      <w:r>
        <w:instrText xml:space="preserve"> PAGEREF _Toc1199566903 \h </w:instrText>
      </w:r>
      <w:r>
        <w:fldChar w:fldCharType="separate"/>
      </w:r>
      <w:r>
        <w:t>40</w:t>
      </w:r>
      <w:r>
        <w:fldChar w:fldCharType="end"/>
      </w:r>
      <w:r>
        <w:rPr>
          <w:rFonts w:hint="default" w:ascii="Times New Roman Regular" w:hAnsi="Times New Roman Regular" w:eastAsia="楷体" w:cs="Times New Roman Regular"/>
          <w:szCs w:val="24"/>
        </w:rPr>
        <w:fldChar w:fldCharType="end"/>
      </w:r>
    </w:p>
    <w:p w14:paraId="35183E13">
      <w:pPr>
        <w:pStyle w:val="5"/>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_Toc544460685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4.5.3 投资回报测算</w:t>
      </w:r>
      <w:r>
        <w:tab/>
      </w:r>
      <w:r>
        <w:fldChar w:fldCharType="begin"/>
      </w:r>
      <w:r>
        <w:instrText xml:space="preserve"> PAGEREF _Toc544460685 \h </w:instrText>
      </w:r>
      <w:r>
        <w:fldChar w:fldCharType="separate"/>
      </w:r>
      <w:r>
        <w:t>40</w:t>
      </w:r>
      <w:r>
        <w:fldChar w:fldCharType="end"/>
      </w:r>
      <w:r>
        <w:rPr>
          <w:rFonts w:hint="default" w:ascii="Times New Roman Regular" w:hAnsi="Times New Roman Regular" w:eastAsia="楷体" w:cs="Times New Roman Regular"/>
          <w:szCs w:val="24"/>
        </w:rPr>
        <w:fldChar w:fldCharType="end"/>
      </w:r>
    </w:p>
    <w:p w14:paraId="56071877">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_Toc322912928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4.6 技术可行性</w:t>
      </w:r>
      <w:r>
        <w:tab/>
      </w:r>
      <w:r>
        <w:fldChar w:fldCharType="begin"/>
      </w:r>
      <w:r>
        <w:instrText xml:space="preserve"> PAGEREF _Toc322912928 \h </w:instrText>
      </w:r>
      <w:r>
        <w:fldChar w:fldCharType="separate"/>
      </w:r>
      <w:r>
        <w:t>40</w:t>
      </w:r>
      <w:r>
        <w:fldChar w:fldCharType="end"/>
      </w:r>
      <w:r>
        <w:rPr>
          <w:rFonts w:hint="default" w:ascii="Times New Roman Regular" w:hAnsi="Times New Roman Regular" w:eastAsia="楷体" w:cs="Times New Roman Regular"/>
          <w:szCs w:val="24"/>
        </w:rPr>
        <w:fldChar w:fldCharType="end"/>
      </w:r>
    </w:p>
    <w:p w14:paraId="437A5DC7">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_Toc506404927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4.7 数据可行性</w:t>
      </w:r>
      <w:r>
        <w:tab/>
      </w:r>
      <w:r>
        <w:fldChar w:fldCharType="begin"/>
      </w:r>
      <w:r>
        <w:instrText xml:space="preserve"> PAGEREF _Toc506404927 \h </w:instrText>
      </w:r>
      <w:r>
        <w:fldChar w:fldCharType="separate"/>
      </w:r>
      <w:r>
        <w:t>40</w:t>
      </w:r>
      <w:r>
        <w:fldChar w:fldCharType="end"/>
      </w:r>
      <w:r>
        <w:rPr>
          <w:rFonts w:hint="default" w:ascii="Times New Roman Regular" w:hAnsi="Times New Roman Regular" w:eastAsia="楷体" w:cs="Times New Roman Regular"/>
          <w:szCs w:val="24"/>
        </w:rPr>
        <w:fldChar w:fldCharType="end"/>
      </w:r>
    </w:p>
    <w:p w14:paraId="514234D4">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_Toc669915028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4.8 业务可行性</w:t>
      </w:r>
      <w:r>
        <w:tab/>
      </w:r>
      <w:r>
        <w:fldChar w:fldCharType="begin"/>
      </w:r>
      <w:r>
        <w:instrText xml:space="preserve"> PAGEREF _Toc669915028 \h </w:instrText>
      </w:r>
      <w:r>
        <w:fldChar w:fldCharType="separate"/>
      </w:r>
      <w:r>
        <w:t>41</w:t>
      </w:r>
      <w:r>
        <w:fldChar w:fldCharType="end"/>
      </w:r>
      <w:r>
        <w:rPr>
          <w:rFonts w:hint="default" w:ascii="Times New Roman Regular" w:hAnsi="Times New Roman Regular" w:eastAsia="楷体" w:cs="Times New Roman Regular"/>
          <w:szCs w:val="24"/>
        </w:rPr>
        <w:fldChar w:fldCharType="end"/>
      </w:r>
    </w:p>
    <w:p w14:paraId="36887FFC">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_Toc5114375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4.9 运营可行性</w:t>
      </w:r>
      <w:r>
        <w:tab/>
      </w:r>
      <w:r>
        <w:fldChar w:fldCharType="begin"/>
      </w:r>
      <w:r>
        <w:instrText xml:space="preserve"> PAGEREF _Toc5114375 \h </w:instrText>
      </w:r>
      <w:r>
        <w:fldChar w:fldCharType="separate"/>
      </w:r>
      <w:r>
        <w:t>41</w:t>
      </w:r>
      <w:r>
        <w:fldChar w:fldCharType="end"/>
      </w:r>
      <w:r>
        <w:rPr>
          <w:rFonts w:hint="default" w:ascii="Times New Roman Regular" w:hAnsi="Times New Roman Regular" w:eastAsia="楷体" w:cs="Times New Roman Regular"/>
          <w:szCs w:val="24"/>
        </w:rPr>
        <w:fldChar w:fldCharType="end"/>
      </w:r>
    </w:p>
    <w:p w14:paraId="35508F25">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_Toc57954745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4.10 合规可行性</w:t>
      </w:r>
      <w:r>
        <w:tab/>
      </w:r>
      <w:r>
        <w:fldChar w:fldCharType="begin"/>
      </w:r>
      <w:r>
        <w:instrText xml:space="preserve"> PAGEREF _Toc57954745 \h </w:instrText>
      </w:r>
      <w:r>
        <w:fldChar w:fldCharType="separate"/>
      </w:r>
      <w:r>
        <w:t>41</w:t>
      </w:r>
      <w:r>
        <w:fldChar w:fldCharType="end"/>
      </w:r>
      <w:r>
        <w:rPr>
          <w:rFonts w:hint="default" w:ascii="Times New Roman Regular" w:hAnsi="Times New Roman Regular" w:eastAsia="楷体" w:cs="Times New Roman Regular"/>
          <w:szCs w:val="24"/>
        </w:rPr>
        <w:fldChar w:fldCharType="end"/>
      </w:r>
    </w:p>
    <w:p w14:paraId="6552B7D2">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_Toc1235307124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4.11 市场与服务模式</w:t>
      </w:r>
      <w:r>
        <w:tab/>
      </w:r>
      <w:r>
        <w:fldChar w:fldCharType="begin"/>
      </w:r>
      <w:r>
        <w:instrText xml:space="preserve"> PAGEREF _Toc1235307124 \h </w:instrText>
      </w:r>
      <w:r>
        <w:fldChar w:fldCharType="separate"/>
      </w:r>
      <w:r>
        <w:t>41</w:t>
      </w:r>
      <w:r>
        <w:fldChar w:fldCharType="end"/>
      </w:r>
      <w:r>
        <w:rPr>
          <w:rFonts w:hint="default" w:ascii="Times New Roman Regular" w:hAnsi="Times New Roman Regular" w:eastAsia="楷体" w:cs="Times New Roman Regular"/>
          <w:szCs w:val="24"/>
        </w:rPr>
        <w:fldChar w:fldCharType="end"/>
      </w:r>
    </w:p>
    <w:p w14:paraId="0F74C62F">
      <w:pPr>
        <w:pStyle w:val="9"/>
        <w:tabs>
          <w:tab w:val="right" w:leader="dot" w:pos="8306"/>
        </w:tabs>
      </w:pPr>
      <w:r>
        <w:rPr>
          <w:rFonts w:hint="default" w:ascii="Times New Roman Regular" w:hAnsi="Times New Roman Regular" w:eastAsia="楷体" w:cs="Times New Roman Regular"/>
          <w:szCs w:val="24"/>
        </w:rPr>
        <w:fldChar w:fldCharType="begin"/>
      </w:r>
      <w:r>
        <w:rPr>
          <w:rFonts w:hint="default" w:ascii="Times New Roman Regular" w:hAnsi="Times New Roman Regular" w:eastAsia="楷体" w:cs="Times New Roman Regular"/>
          <w:szCs w:val="24"/>
        </w:rPr>
        <w:instrText xml:space="preserve"> HYPERLINK \l _Toc2082417519 </w:instrText>
      </w:r>
      <w:r>
        <w:rPr>
          <w:rFonts w:hint="default" w:ascii="Times New Roman Regular" w:hAnsi="Times New Roman Regular" w:eastAsia="楷体" w:cs="Times New Roman Regular"/>
          <w:szCs w:val="24"/>
        </w:rPr>
        <w:fldChar w:fldCharType="separate"/>
      </w:r>
      <w:r>
        <w:rPr>
          <w:rFonts w:hint="default" w:ascii="Times New Roman Regular" w:hAnsi="Times New Roman Regular" w:eastAsia="楷体" w:cs="Times New Roman Regular"/>
        </w:rPr>
        <w:t>4.12 主要风险与应对</w:t>
      </w:r>
      <w:r>
        <w:tab/>
      </w:r>
      <w:r>
        <w:fldChar w:fldCharType="begin"/>
      </w:r>
      <w:r>
        <w:instrText xml:space="preserve"> PAGEREF _Toc2082417519 \h </w:instrText>
      </w:r>
      <w:r>
        <w:fldChar w:fldCharType="separate"/>
      </w:r>
      <w:r>
        <w:t>42</w:t>
      </w:r>
      <w:r>
        <w:fldChar w:fldCharType="end"/>
      </w:r>
      <w:r>
        <w:rPr>
          <w:rFonts w:hint="default" w:ascii="Times New Roman Regular" w:hAnsi="Times New Roman Regular" w:eastAsia="楷体" w:cs="Times New Roman Regular"/>
          <w:szCs w:val="24"/>
        </w:rPr>
        <w:fldChar w:fldCharType="end"/>
      </w:r>
    </w:p>
    <w:p w14:paraId="42A32E5A">
      <w:pPr>
        <w:pStyle w:val="2"/>
        <w:keepNext w:val="0"/>
        <w:keepLines w:val="0"/>
        <w:widowControl/>
        <w:suppressLineNumbers w:val="0"/>
        <w:jc w:val="center"/>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Cs w:val="24"/>
        </w:rPr>
        <w:fldChar w:fldCharType="end"/>
      </w:r>
    </w:p>
    <w:p w14:paraId="299B63F1">
      <w:pPr>
        <w:pStyle w:val="2"/>
        <w:keepNext w:val="0"/>
        <w:keepLines w:val="0"/>
        <w:widowControl/>
        <w:suppressLineNumbers w:val="0"/>
        <w:jc w:val="center"/>
        <w:rPr>
          <w:rFonts w:hint="default" w:ascii="Times New Roman Regular" w:hAnsi="Times New Roman Regular" w:eastAsia="楷体" w:cs="Times New Roman Regular"/>
        </w:rPr>
      </w:pPr>
    </w:p>
    <w:p w14:paraId="687B971C">
      <w:pPr>
        <w:pStyle w:val="2"/>
        <w:keepNext w:val="0"/>
        <w:keepLines w:val="0"/>
        <w:widowControl/>
        <w:suppressLineNumbers w:val="0"/>
        <w:jc w:val="center"/>
        <w:rPr>
          <w:rFonts w:hint="default" w:ascii="Times New Roman Regular" w:hAnsi="Times New Roman Regular" w:eastAsia="楷体" w:cs="Times New Roman Regular"/>
        </w:rPr>
      </w:pPr>
    </w:p>
    <w:p w14:paraId="30D00DC7">
      <w:pPr>
        <w:pStyle w:val="2"/>
        <w:keepNext w:val="0"/>
        <w:keepLines w:val="0"/>
        <w:widowControl/>
        <w:suppressLineNumbers w:val="0"/>
        <w:jc w:val="center"/>
        <w:rPr>
          <w:rFonts w:hint="default" w:ascii="Times New Roman Regular" w:hAnsi="Times New Roman Regular" w:eastAsia="楷体" w:cs="Times New Roman Regular"/>
        </w:rPr>
      </w:pPr>
    </w:p>
    <w:p w14:paraId="77FA142E">
      <w:pPr>
        <w:pStyle w:val="2"/>
        <w:keepNext w:val="0"/>
        <w:keepLines w:val="0"/>
        <w:widowControl/>
        <w:suppressLineNumbers w:val="0"/>
        <w:jc w:val="center"/>
        <w:rPr>
          <w:rFonts w:hint="default" w:ascii="Times New Roman Regular" w:hAnsi="Times New Roman Regular" w:eastAsia="楷体" w:cs="Times New Roman Regular"/>
        </w:rPr>
      </w:pPr>
    </w:p>
    <w:p w14:paraId="229DA1E3">
      <w:pPr>
        <w:pStyle w:val="2"/>
        <w:keepNext w:val="0"/>
        <w:keepLines w:val="0"/>
        <w:widowControl/>
        <w:suppressLineNumbers w:val="0"/>
        <w:jc w:val="center"/>
        <w:rPr>
          <w:rFonts w:hint="default" w:ascii="Times New Roman Regular" w:hAnsi="Times New Roman Regular" w:eastAsia="楷体" w:cs="Times New Roman Regular"/>
        </w:rPr>
      </w:pPr>
    </w:p>
    <w:p w14:paraId="2756607E">
      <w:pPr>
        <w:pStyle w:val="2"/>
        <w:keepNext w:val="0"/>
        <w:keepLines w:val="0"/>
        <w:widowControl/>
        <w:suppressLineNumbers w:val="0"/>
        <w:jc w:val="center"/>
        <w:rPr>
          <w:rFonts w:hint="default" w:ascii="Times New Roman Regular" w:hAnsi="Times New Roman Regular" w:eastAsia="楷体" w:cs="Times New Roman Regular"/>
        </w:rPr>
      </w:pPr>
    </w:p>
    <w:p w14:paraId="1F7D2A64">
      <w:pPr>
        <w:pStyle w:val="2"/>
        <w:keepNext w:val="0"/>
        <w:keepLines w:val="0"/>
        <w:widowControl/>
        <w:suppressLineNumbers w:val="0"/>
        <w:jc w:val="center"/>
        <w:rPr>
          <w:rFonts w:hint="default" w:ascii="Times New Roman Regular" w:hAnsi="Times New Roman Regular" w:eastAsia="楷体" w:cs="Times New Roman Regular"/>
        </w:rPr>
      </w:pPr>
    </w:p>
    <w:p w14:paraId="4CAD5499">
      <w:pPr>
        <w:pStyle w:val="2"/>
        <w:keepNext w:val="0"/>
        <w:keepLines w:val="0"/>
        <w:widowControl/>
        <w:suppressLineNumbers w:val="0"/>
        <w:jc w:val="center"/>
        <w:rPr>
          <w:rFonts w:hint="default" w:ascii="Times New Roman Regular" w:hAnsi="Times New Roman Regular" w:eastAsia="楷体" w:cs="Times New Roman Regular"/>
        </w:rPr>
      </w:pPr>
    </w:p>
    <w:p w14:paraId="019B871C">
      <w:pPr>
        <w:pStyle w:val="2"/>
        <w:keepNext w:val="0"/>
        <w:keepLines w:val="0"/>
        <w:widowControl/>
        <w:suppressLineNumbers w:val="0"/>
        <w:jc w:val="center"/>
        <w:rPr>
          <w:rFonts w:hint="default" w:ascii="Times New Roman Regular" w:hAnsi="Times New Roman Regular" w:eastAsia="楷体" w:cs="Times New Roman Regular"/>
        </w:rPr>
      </w:pPr>
    </w:p>
    <w:p w14:paraId="3296B92A">
      <w:pPr>
        <w:pStyle w:val="2"/>
        <w:keepNext w:val="0"/>
        <w:keepLines w:val="0"/>
        <w:widowControl/>
        <w:suppressLineNumbers w:val="0"/>
        <w:jc w:val="center"/>
        <w:rPr>
          <w:rFonts w:hint="default" w:ascii="Times New Roman Regular" w:hAnsi="Times New Roman Regular" w:eastAsia="楷体" w:cs="Times New Roman Regular"/>
        </w:rPr>
      </w:pPr>
    </w:p>
    <w:p w14:paraId="032F25C4">
      <w:pPr>
        <w:pStyle w:val="2"/>
        <w:keepNext w:val="0"/>
        <w:keepLines w:val="0"/>
        <w:widowControl/>
        <w:suppressLineNumbers w:val="0"/>
        <w:jc w:val="center"/>
        <w:rPr>
          <w:rFonts w:hint="default" w:ascii="Times New Roman Regular" w:hAnsi="Times New Roman Regular" w:eastAsia="楷体" w:cs="Times New Roman Regular"/>
        </w:rPr>
      </w:pPr>
    </w:p>
    <w:p w14:paraId="39C88518">
      <w:pPr>
        <w:pStyle w:val="2"/>
        <w:keepNext w:val="0"/>
        <w:keepLines w:val="0"/>
        <w:widowControl/>
        <w:suppressLineNumbers w:val="0"/>
        <w:jc w:val="center"/>
        <w:rPr>
          <w:rFonts w:hint="default" w:ascii="Times New Roman Regular" w:hAnsi="Times New Roman Regular" w:eastAsia="楷体" w:cs="Times New Roman Regular"/>
        </w:rPr>
      </w:pPr>
    </w:p>
    <w:p w14:paraId="09EAE9AE">
      <w:pPr>
        <w:pStyle w:val="2"/>
        <w:keepNext w:val="0"/>
        <w:keepLines w:val="0"/>
        <w:widowControl/>
        <w:suppressLineNumbers w:val="0"/>
        <w:jc w:val="center"/>
        <w:rPr>
          <w:rFonts w:hint="default" w:ascii="Times New Roman Regular" w:hAnsi="Times New Roman Regular" w:eastAsia="楷体" w:cs="Times New Roman Regular"/>
        </w:rPr>
      </w:pPr>
    </w:p>
    <w:p w14:paraId="03D83806">
      <w:pPr>
        <w:pStyle w:val="2"/>
        <w:keepNext w:val="0"/>
        <w:keepLines w:val="0"/>
        <w:widowControl/>
        <w:suppressLineNumbers w:val="0"/>
        <w:jc w:val="center"/>
        <w:rPr>
          <w:rFonts w:hint="default" w:ascii="Times New Roman Regular" w:hAnsi="Times New Roman Regular" w:eastAsia="楷体" w:cs="Times New Roman Regular"/>
        </w:rPr>
      </w:pPr>
    </w:p>
    <w:p w14:paraId="7DBFA37A">
      <w:pPr>
        <w:pStyle w:val="2"/>
        <w:keepNext w:val="0"/>
        <w:keepLines w:val="0"/>
        <w:widowControl/>
        <w:suppressLineNumbers w:val="0"/>
        <w:jc w:val="center"/>
        <w:rPr>
          <w:rFonts w:hint="default" w:ascii="Times New Roman Regular" w:hAnsi="Times New Roman Regular" w:eastAsia="楷体" w:cs="Times New Roman Regular"/>
        </w:rPr>
      </w:pPr>
      <w:bookmarkStart w:id="0" w:name="_Toc1253119787"/>
      <w:r>
        <w:rPr>
          <w:rFonts w:hint="default" w:ascii="Times New Roman Regular" w:hAnsi="Times New Roman Regular" w:eastAsia="楷体" w:cs="Times New Roman Regular"/>
        </w:rPr>
        <w:t>1 目标与服务模型</w:t>
      </w:r>
      <w:bookmarkEnd w:id="0"/>
    </w:p>
    <w:p w14:paraId="1C7A52E6">
      <w:pPr>
        <w:pStyle w:val="3"/>
        <w:keepNext w:val="0"/>
        <w:keepLines w:val="0"/>
        <w:widowControl/>
        <w:suppressLineNumbers w:val="0"/>
        <w:rPr>
          <w:rFonts w:hint="default" w:ascii="Times New Roman Regular" w:hAnsi="Times New Roman Regular" w:eastAsia="楷体" w:cs="Times New Roman Regular"/>
          <w:sz w:val="32"/>
          <w:szCs w:val="32"/>
        </w:rPr>
      </w:pPr>
      <w:bookmarkStart w:id="1" w:name="_Toc812133980"/>
      <w:r>
        <w:rPr>
          <w:rFonts w:hint="default" w:ascii="Times New Roman Regular" w:hAnsi="Times New Roman Regular" w:eastAsia="楷体" w:cs="Times New Roman Regular"/>
          <w:sz w:val="32"/>
          <w:szCs w:val="32"/>
        </w:rPr>
        <w:t>1.1 项目背景</w:t>
      </w:r>
      <w:bookmarkEnd w:id="1"/>
    </w:p>
    <w:p w14:paraId="6C5D2A82">
      <w:pPr>
        <w:pStyle w:val="4"/>
        <w:keepNext w:val="0"/>
        <w:keepLines w:val="0"/>
        <w:widowControl/>
        <w:suppressLineNumbers w:val="0"/>
        <w:rPr>
          <w:rFonts w:hint="default" w:ascii="Times New Roman Regular" w:hAnsi="Times New Roman Regular" w:eastAsia="楷体" w:cs="Times New Roman Regular"/>
          <w:sz w:val="30"/>
          <w:szCs w:val="30"/>
        </w:rPr>
      </w:pPr>
      <w:bookmarkStart w:id="2" w:name="_Toc129741528"/>
      <w:r>
        <w:rPr>
          <w:rFonts w:hint="default" w:ascii="Times New Roman Regular" w:hAnsi="Times New Roman Regular" w:eastAsia="楷体" w:cs="Times New Roman Regular"/>
          <w:sz w:val="30"/>
          <w:szCs w:val="30"/>
        </w:rPr>
        <w:t>1.1.1 行业研究工作面临效率与质量双重挑战</w:t>
      </w:r>
      <w:bookmarkEnd w:id="2"/>
    </w:p>
    <w:p w14:paraId="393212BA">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行业研究的资料量大，时效要求也高。做一份报告，研究人员要在金融数据库、上市公司公告、行业资讯、券商研报和政策文件之间反复切换，从搜集资料一路做到全文校对。</w:t>
      </w:r>
    </w:p>
    <w:p w14:paraId="668220E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这套流程有几个绕不开的麻烦。</w:t>
      </w:r>
    </w:p>
    <w:p w14:paraId="544539C5">
      <w:pPr>
        <w:pStyle w:val="10"/>
        <w:keepNext w:val="0"/>
        <w:keepLines w:val="0"/>
        <w:widowControl/>
        <w:numPr>
          <w:ilvl w:val="0"/>
          <w:numId w:val="1"/>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数据散在各处。同一个研究主题要同时看行业、财务、宏观、产业链、公告和新闻，靠人工检索很容易漏。</w:t>
      </w:r>
    </w:p>
    <w:p w14:paraId="42B4BFA3">
      <w:pPr>
        <w:pStyle w:val="10"/>
        <w:keepNext w:val="0"/>
        <w:keepLines w:val="0"/>
        <w:widowControl/>
        <w:numPr>
          <w:ilvl w:val="0"/>
          <w:numId w:val="1"/>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口径还互相打架：报告期、币种、会计准则、统计范围各不相同，数据放不到一起比。</w:t>
      </w:r>
    </w:p>
    <w:p w14:paraId="2F067CFE">
      <w:pPr>
        <w:pStyle w:val="10"/>
        <w:keepNext w:val="0"/>
        <w:keepLines w:val="0"/>
        <w:widowControl/>
        <w:numPr>
          <w:ilvl w:val="0"/>
          <w:numId w:val="1"/>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最费时间的其实是资料整理、图表制作和格式调整这类重复劳动。</w:t>
      </w:r>
    </w:p>
    <w:p w14:paraId="10866573">
      <w:pPr>
        <w:pStyle w:val="10"/>
        <w:keepNext w:val="0"/>
        <w:keepLines w:val="0"/>
        <w:widowControl/>
        <w:numPr>
          <w:ilvl w:val="0"/>
          <w:numId w:val="1"/>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lang w:val="en-US" w:eastAsia="zh-CN"/>
        </w:rPr>
        <w:t>更麻烦的是报告写完之后，数据、结论和原始来源往往是脱开的，审核人员想复原某句话的依据很费劲。</w:t>
      </w:r>
    </w:p>
    <w:p w14:paraId="7F6D36A1">
      <w:pPr>
        <w:pStyle w:val="10"/>
        <w:numPr>
          <w:ilvl w:val="0"/>
          <w:numId w:val="2"/>
        </w:numPr>
        <w:jc w:val="left"/>
        <w:rPr>
          <w:rFonts w:asciiTheme="minorHAnsi" w:hAnsiTheme="minorHAnsi" w:eastAsiaTheme="minorEastAsia" w:cstheme="minorBidi"/>
          <w:kern w:val="2"/>
          <w:sz w:val="21"/>
          <w:szCs w:val="24"/>
          <w:lang w:val="en-US" w:eastAsia="zh-CN" w:bidi="ar-SA"/>
        </w:rPr>
      </w:pPr>
      <w:r>
        <w:rPr>
          <w:rFonts w:hint="default" w:ascii="Times New Roman Regular" w:hAnsi="Times New Roman Regular" w:eastAsia="楷体" w:cs="Times New Roman Regular"/>
          <w:lang w:val="en-US" w:eastAsia="zh-CN"/>
        </w:rPr>
        <w:t>整个流程还高度依赖个人经验，团队之间没有一套可复用的标准做法。</w:t>
      </w:r>
      <w:r>
        <w:rPr>
          <w:rFonts w:hint="default" w:ascii="Times New Roman Regular" w:hAnsi="Times New Roman Regular" w:eastAsia="楷体" w:cs="Times New Roman Regular"/>
          <w:lang w:val="en-US" w:eastAsia="zh-CN"/>
        </w:rPr>
        <w:tab/>
      </w:r>
    </w:p>
    <w:p w14:paraId="10E1F80B">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eastAsia"/>
        </w:rPr>
        <w:t>生成式大模型能提升归纳和成文的效率</w:t>
      </w:r>
      <w:r>
        <w:rPr>
          <w:rFonts w:hint="default" w:ascii="Times New Roman Regular" w:hAnsi="Times New Roman Regular" w:eastAsia="楷体" w:cs="Times New Roman Regular"/>
        </w:rPr>
        <w:t>，但直接让它写行业报告，就会出现编数字、研究时点错配、算错、丢引用，以及把话说得比证据更满。行业研究要的是一条数据查得到出处、过程有人把关、出错能发现、结果能改的生产链路，而不是一篇看起来像研报的文章。</w:t>
      </w:r>
    </w:p>
    <w:p w14:paraId="444F1876">
      <w:pPr>
        <w:pStyle w:val="4"/>
        <w:keepNext w:val="0"/>
        <w:keepLines w:val="0"/>
        <w:widowControl/>
        <w:suppressLineNumbers w:val="0"/>
        <w:rPr>
          <w:rFonts w:hint="default" w:ascii="Times New Roman Regular" w:hAnsi="Times New Roman Regular" w:eastAsia="楷体" w:cs="Times New Roman Regular"/>
          <w:sz w:val="30"/>
          <w:szCs w:val="30"/>
        </w:rPr>
      </w:pPr>
      <w:bookmarkStart w:id="3" w:name="_Toc869959391"/>
      <w:r>
        <w:rPr>
          <w:rFonts w:hint="default" w:ascii="Times New Roman Regular" w:hAnsi="Times New Roman Regular" w:eastAsia="楷体" w:cs="Times New Roman Regular"/>
          <w:sz w:val="30"/>
          <w:szCs w:val="30"/>
        </w:rPr>
        <w:t>1.1.2 问财 SkillHub 提供金融数据能力基础</w:t>
      </w:r>
      <w:bookmarkEnd w:id="3"/>
    </w:p>
    <w:p w14:paraId="199BEB23">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同花顺问财 SkillHub 将同花顺长期积累的金融数据与投研能力封装为可组合调用的技能模块，覆盖行业数据、公司财务、宏观指标、产业链信息、公告事件、机构研究和新闻资讯等内容。</w:t>
      </w:r>
    </w:p>
    <w:p w14:paraId="101D094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靠模型自身参数记忆回答金融问题并不可靠；SkillHub 给智能体提供的是一手数据入口，数据更及时、更专业、查得到出处。技能可以自由组合，系统因此能查单项数据，也能围绕一个研究主题拼出一套完整的数据获取方案。</w:t>
      </w:r>
    </w:p>
    <w:p w14:paraId="01D734CA">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系统由“数据获取—数据解读—可视化图表—分章节生成—报告融合”五阶段智能体流水线构成，每个阶段都支持人工审核与反馈。系统还补上证据标准化、确定性计算、质量评分、历史修订和安全控制。</w:t>
      </w:r>
    </w:p>
    <w:p w14:paraId="1F004086">
      <w:pPr>
        <w:pStyle w:val="3"/>
        <w:bidi w:val="0"/>
        <w:rPr>
          <w:rFonts w:hint="default" w:ascii="Times New Roman Regular" w:hAnsi="Times New Roman Regular" w:eastAsia="楷体" w:cs="Times New Roman Regular"/>
        </w:rPr>
      </w:pPr>
      <w:bookmarkStart w:id="4" w:name="_Toc1338815761"/>
      <w:r>
        <w:rPr>
          <w:rFonts w:hint="default" w:ascii="Times New Roman Regular" w:hAnsi="Times New Roman Regular" w:eastAsia="楷体" w:cs="Times New Roman Regular"/>
        </w:rPr>
        <w:t>1.2 项目拟解决的核心问题</w:t>
      </w:r>
      <w:bookmarkEnd w:id="4"/>
    </w:p>
    <w:p w14:paraId="5A69DA01">
      <w:pPr>
        <w:pStyle w:val="4"/>
        <w:bidi w:val="0"/>
        <w:rPr>
          <w:rFonts w:hint="default" w:ascii="Times New Roman Regular" w:hAnsi="Times New Roman Regular" w:eastAsia="楷体" w:cs="Times New Roman Regular"/>
        </w:rPr>
      </w:pPr>
      <w:bookmarkStart w:id="5" w:name="_Toc142841861"/>
      <w:r>
        <w:rPr>
          <w:rFonts w:hint="default" w:ascii="Times New Roman Regular" w:hAnsi="Times New Roman Regular" w:eastAsia="楷体" w:cs="Times New Roman Regular"/>
        </w:rPr>
        <w:t>1.2.1 多技能协同问题</w:t>
      </w:r>
      <w:bookmarkEnd w:id="5"/>
    </w:p>
    <w:p w14:paraId="106774F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行业研究不能依靠单一数据接口完成。系统需要理解用户的研究主题和关注问题，将其拆解为行业、财务、宏观、产业链、研报、新闻等不同数据需求，再选择相应的 SkillHub 技能组合调用。</w:t>
      </w:r>
    </w:p>
    <w:p w14:paraId="1915BD58">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项目通过查询规划器、指标注册表和技能路由机制，将自然语言研究需求转换为结构化查询计划，并通过统一工具网关执行参数校验、超时控制、有限重试和调用记录。</w:t>
      </w:r>
    </w:p>
    <w:p w14:paraId="6CB81D3F">
      <w:pPr>
        <w:pStyle w:val="4"/>
        <w:keepNext w:val="0"/>
        <w:keepLines w:val="0"/>
        <w:widowControl/>
        <w:suppressLineNumbers w:val="0"/>
        <w:rPr>
          <w:rFonts w:hint="default" w:ascii="Times New Roman Regular" w:hAnsi="Times New Roman Regular" w:eastAsia="楷体" w:cs="Times New Roman Regular"/>
          <w:sz w:val="30"/>
          <w:szCs w:val="30"/>
        </w:rPr>
      </w:pPr>
      <w:bookmarkStart w:id="6" w:name="_Toc2003924128"/>
      <w:r>
        <w:rPr>
          <w:rFonts w:hint="default" w:ascii="Times New Roman Regular" w:hAnsi="Times New Roman Regular" w:eastAsia="楷体" w:cs="Times New Roman Regular"/>
          <w:sz w:val="30"/>
          <w:szCs w:val="30"/>
        </w:rPr>
        <w:t>1.2.2 数据质量与口径一致性问题</w:t>
      </w:r>
      <w:bookmarkEnd w:id="6"/>
    </w:p>
    <w:p w14:paraId="2CBAACC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金融数据存在缺失、重复、口径冲突、单位不一致和时间错配等问题。本项目对采集结果做字段清洗、日期识别、单位归一、事实去重和冲突保留，并为每条有效信息生成唯一证据标识。</w:t>
      </w:r>
    </w:p>
    <w:p w14:paraId="3D7116AB">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系统不会简单采用“后返回的数据覆盖先返回的数据”，而是保留同一指标的冲突证据和来源，交由后续分析或人工审核处理。</w:t>
      </w:r>
    </w:p>
    <w:p w14:paraId="225927EE">
      <w:pPr>
        <w:pStyle w:val="4"/>
        <w:keepNext w:val="0"/>
        <w:keepLines w:val="0"/>
        <w:widowControl/>
        <w:suppressLineNumbers w:val="0"/>
        <w:rPr>
          <w:rFonts w:hint="default" w:ascii="Times New Roman Regular" w:hAnsi="Times New Roman Regular" w:eastAsia="楷体" w:cs="Times New Roman Regular"/>
          <w:sz w:val="30"/>
          <w:szCs w:val="30"/>
        </w:rPr>
      </w:pPr>
      <w:bookmarkStart w:id="7" w:name="_Toc966783395"/>
      <w:r>
        <w:rPr>
          <w:rFonts w:hint="default" w:ascii="Times New Roman Regular" w:hAnsi="Times New Roman Regular" w:eastAsia="楷体" w:cs="Times New Roman Regular"/>
          <w:sz w:val="30"/>
          <w:szCs w:val="30"/>
        </w:rPr>
        <w:t>1.2.3 大模型事实幻觉问题</w:t>
      </w:r>
      <w:bookmarkEnd w:id="7"/>
    </w:p>
    <w:p w14:paraId="75D2F509">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本项目坚持“能计算的交给代码，必须解释的再交给模型”。毛利率、资产负债率、现金利润匹配、市场集中度等可确定计算，由服务端按照固定公式处理；大模型主要负责理解数据关系、组织分析逻辑和生成专业文本。</w:t>
      </w:r>
    </w:p>
    <w:p w14:paraId="11C9F7B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所有分析结论、图表和正文段落均需要关联已存在的证据标识。没有证据的数据不能被写成确定性事实，资料不足时必须降低结论强度或明确披露缺口。</w:t>
      </w:r>
    </w:p>
    <w:p w14:paraId="61A58786">
      <w:pPr>
        <w:pStyle w:val="4"/>
        <w:keepNext w:val="0"/>
        <w:keepLines w:val="0"/>
        <w:widowControl/>
        <w:suppressLineNumbers w:val="0"/>
        <w:rPr>
          <w:rFonts w:hint="default" w:ascii="Times New Roman Regular" w:hAnsi="Times New Roman Regular" w:eastAsia="楷体" w:cs="Times New Roman Regular"/>
        </w:rPr>
      </w:pPr>
      <w:bookmarkStart w:id="8" w:name="_Toc867246563"/>
      <w:r>
        <w:rPr>
          <w:rFonts w:hint="default" w:ascii="Times New Roman Regular" w:hAnsi="Times New Roman Regular" w:eastAsia="楷体" w:cs="Times New Roman Regular"/>
        </w:rPr>
        <w:t>1.2.4 报告生成过程不可审核问题</w:t>
      </w:r>
      <w:bookmarkEnd w:id="8"/>
    </w:p>
    <w:p w14:paraId="29D2AF45">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传统端到端生成方式通常只提供最终文稿，用户无法了解系统查了什么数据、采用了哪些结论以及哪些信息存在风险。</w:t>
      </w:r>
    </w:p>
    <w:p w14:paraId="2FABE04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本项目在五个阶段之间设置人工审核能力，用户可以查看数据来源、分析结论、图表和章节内容，并执行通过、修改、重新生成、接受风险继续或取消。每次修改形成新版本，不覆盖历史结果。</w:t>
      </w:r>
    </w:p>
    <w:p w14:paraId="1A9D381E">
      <w:pPr>
        <w:pStyle w:val="3"/>
        <w:keepNext w:val="0"/>
        <w:keepLines w:val="0"/>
        <w:widowControl/>
        <w:suppressLineNumbers w:val="0"/>
        <w:rPr>
          <w:rFonts w:hint="default" w:ascii="Times New Roman Regular" w:hAnsi="Times New Roman Regular" w:eastAsia="楷体" w:cs="Times New Roman Regular"/>
          <w:sz w:val="32"/>
          <w:szCs w:val="32"/>
        </w:rPr>
      </w:pPr>
      <w:bookmarkStart w:id="9" w:name="_Toc841472152"/>
      <w:r>
        <w:rPr>
          <w:rFonts w:hint="default" w:ascii="Times New Roman Regular" w:hAnsi="Times New Roman Regular" w:eastAsia="楷体" w:cs="Times New Roman Regular"/>
          <w:sz w:val="32"/>
          <w:szCs w:val="32"/>
        </w:rPr>
        <w:t>1.3 项目价值与意义</w:t>
      </w:r>
      <w:bookmarkEnd w:id="9"/>
    </w:p>
    <w:p w14:paraId="5FAD50CD">
      <w:pPr>
        <w:pStyle w:val="4"/>
        <w:keepNext w:val="0"/>
        <w:keepLines w:val="0"/>
        <w:widowControl/>
        <w:suppressLineNumbers w:val="0"/>
        <w:rPr>
          <w:rFonts w:hint="default" w:ascii="Times New Roman Regular" w:hAnsi="Times New Roman Regular" w:eastAsia="楷体" w:cs="Times New Roman Regular"/>
          <w:sz w:val="30"/>
          <w:szCs w:val="30"/>
        </w:rPr>
      </w:pPr>
      <w:bookmarkStart w:id="10" w:name="_Toc1442643169"/>
      <w:r>
        <w:rPr>
          <w:rFonts w:hint="default" w:ascii="Times New Roman Regular" w:hAnsi="Times New Roman Regular" w:eastAsia="楷体" w:cs="Times New Roman Regular"/>
          <w:sz w:val="30"/>
          <w:szCs w:val="30"/>
        </w:rPr>
        <w:t>1.3.1 业务价值</w:t>
      </w:r>
      <w:bookmarkEnd w:id="10"/>
    </w:p>
    <w:p w14:paraId="24C15BC9">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项目把行业研究拆成五个阶段，阶段之间用标准化产物交接，不再靠人工传递。资料搜集、重复计算、图表制作和格式整理这些机械工作可以省掉。</w:t>
      </w:r>
    </w:p>
    <w:p w14:paraId="4D7A517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研究人员的时间更多花在研究范围怎么定、证据怎么判断、逻辑怎么推、风险怎么审上。</w:t>
      </w:r>
    </w:p>
    <w:p w14:paraId="7CC197BE">
      <w:pPr>
        <w:pStyle w:val="4"/>
        <w:keepNext w:val="0"/>
        <w:keepLines w:val="0"/>
        <w:widowControl/>
        <w:suppressLineNumbers w:val="0"/>
        <w:rPr>
          <w:rFonts w:hint="default" w:ascii="Times New Roman Regular" w:hAnsi="Times New Roman Regular" w:eastAsia="楷体" w:cs="Times New Roman Regular"/>
        </w:rPr>
      </w:pPr>
      <w:bookmarkStart w:id="11" w:name="_Toc1413366753"/>
      <w:r>
        <w:rPr>
          <w:rFonts w:hint="default" w:ascii="Times New Roman Regular" w:hAnsi="Times New Roman Regular" w:eastAsia="楷体" w:cs="Times New Roman Regular"/>
        </w:rPr>
        <w:t>1.3.2 专业质量价值</w:t>
      </w:r>
      <w:bookmarkEnd w:id="11"/>
    </w:p>
    <w:p w14:paraId="6973141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项目给每条数据都记了证据编号、来源、报告期、单位、币种和统计口径。结论、图表和正文都能往上追到原始数据，无来源数字、错引用和口径混用因此少得多。</w:t>
      </w:r>
    </w:p>
    <w:p w14:paraId="5ED7A3B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最终报告里还会写明数据缺口、冲突、估算部分、不可比项和研究边界，读者据此判断哪些结论能用、哪些只能参考。</w:t>
      </w:r>
    </w:p>
    <w:p w14:paraId="5A3D090A">
      <w:pPr>
        <w:pStyle w:val="4"/>
        <w:keepNext w:val="0"/>
        <w:keepLines w:val="0"/>
        <w:widowControl/>
        <w:suppressLineNumbers w:val="0"/>
        <w:rPr>
          <w:rFonts w:hint="default" w:ascii="Times New Roman Regular" w:hAnsi="Times New Roman Regular" w:eastAsia="楷体" w:cs="Times New Roman Regular"/>
          <w:sz w:val="30"/>
          <w:szCs w:val="30"/>
        </w:rPr>
      </w:pPr>
      <w:bookmarkStart w:id="12" w:name="_Toc1138398204"/>
      <w:r>
        <w:rPr>
          <w:rFonts w:hint="default" w:ascii="Times New Roman Regular" w:hAnsi="Times New Roman Regular" w:eastAsia="楷体" w:cs="Times New Roman Regular"/>
          <w:sz w:val="30"/>
          <w:szCs w:val="30"/>
        </w:rPr>
        <w:t>1.3.3 管理价值</w:t>
      </w:r>
      <w:bookmarkEnd w:id="12"/>
    </w:p>
    <w:p w14:paraId="64E6851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系统将每个研究任务作为独立项目进行管理，保存任务状态、阶段结果、人工审核意见、修订编号和报告产物。</w:t>
      </w:r>
    </w:p>
    <w:p w14:paraId="43F9A625">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当用户只修改某一章节时，可以保留前序数据和分析结果，仅重新执行相关阶段；当研究范围发生变化时，系统重新运行受影响的下游环节。这种方式能减少重复返工，提升团队协作效率。</w:t>
      </w:r>
    </w:p>
    <w:p w14:paraId="2CDFAC7D">
      <w:pPr>
        <w:pStyle w:val="4"/>
        <w:keepNext w:val="0"/>
        <w:keepLines w:val="0"/>
        <w:widowControl/>
        <w:suppressLineNumbers w:val="0"/>
        <w:rPr>
          <w:rFonts w:hint="default" w:ascii="Times New Roman Regular" w:hAnsi="Times New Roman Regular" w:eastAsia="楷体" w:cs="Times New Roman Regular"/>
          <w:sz w:val="30"/>
          <w:szCs w:val="30"/>
        </w:rPr>
      </w:pPr>
      <w:bookmarkStart w:id="13" w:name="_Toc1126803505"/>
      <w:r>
        <w:rPr>
          <w:rFonts w:hint="default" w:ascii="Times New Roman Regular" w:hAnsi="Times New Roman Regular" w:eastAsia="楷体" w:cs="Times New Roman Regular"/>
          <w:sz w:val="30"/>
          <w:szCs w:val="30"/>
        </w:rPr>
        <w:t>1.3.4 技术价值</w:t>
      </w:r>
      <w:bookmarkEnd w:id="13"/>
    </w:p>
    <w:p w14:paraId="16F7B878">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本项目形成了“模型负责理解与表达，代码负责事实、计算、结构和安全”的金融智能体工程模式。</w:t>
      </w:r>
    </w:p>
    <w:p w14:paraId="00673C39">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技能调用走 SkillHub，数据模型用 Pydantic，前后端契约用 JSON Schema，图表路由和质量门用确定性规则，报告由统一的事实视图渲染。公司研究、主题研究、晨会材料和投后跟踪都可以套用这套做法。</w:t>
      </w:r>
    </w:p>
    <w:p w14:paraId="128EA0F6">
      <w:pPr>
        <w:pStyle w:val="3"/>
        <w:keepNext w:val="0"/>
        <w:keepLines w:val="0"/>
        <w:widowControl/>
        <w:suppressLineNumbers w:val="0"/>
        <w:rPr>
          <w:rFonts w:hint="default" w:ascii="Times New Roman Regular" w:hAnsi="Times New Roman Regular" w:eastAsia="楷体" w:cs="Times New Roman Regular"/>
          <w:sz w:val="32"/>
          <w:szCs w:val="32"/>
        </w:rPr>
      </w:pPr>
      <w:bookmarkStart w:id="14" w:name="_Toc1675709289"/>
      <w:r>
        <w:rPr>
          <w:rFonts w:hint="default" w:ascii="Times New Roman Regular" w:hAnsi="Times New Roman Regular" w:eastAsia="楷体" w:cs="Times New Roman Regular"/>
          <w:sz w:val="32"/>
          <w:szCs w:val="32"/>
        </w:rPr>
        <w:t>1.4 建设目标</w:t>
      </w:r>
      <w:bookmarkEnd w:id="14"/>
    </w:p>
    <w:p w14:paraId="32C4102F">
      <w:pPr>
        <w:pStyle w:val="4"/>
        <w:keepNext w:val="0"/>
        <w:keepLines w:val="0"/>
        <w:widowControl/>
        <w:suppressLineNumbers w:val="0"/>
        <w:rPr>
          <w:rFonts w:hint="default" w:ascii="Times New Roman Regular" w:hAnsi="Times New Roman Regular" w:eastAsia="楷体" w:cs="Times New Roman Regular"/>
          <w:sz w:val="30"/>
          <w:szCs w:val="30"/>
        </w:rPr>
      </w:pPr>
      <w:bookmarkStart w:id="15" w:name="_Toc1545473465"/>
      <w:r>
        <w:rPr>
          <w:rFonts w:hint="default" w:ascii="Times New Roman Regular" w:hAnsi="Times New Roman Regular" w:eastAsia="楷体" w:cs="Times New Roman Regular"/>
          <w:sz w:val="30"/>
          <w:szCs w:val="30"/>
        </w:rPr>
        <w:t>1.4.1 总体目标</w:t>
      </w:r>
      <w:bookmarkEnd w:id="15"/>
    </w:p>
    <w:p w14:paraId="1B61C55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做一套基于同花顺问财 SkillHub 的行业研究报告智能生成与人机协同系统。</w:t>
      </w:r>
    </w:p>
    <w:p w14:paraId="6DB97CD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用户填好行业主题、研究时点、关注问题和研究范围，系统接着跑完数据获取、数据解读、图表生成、章节撰写和报告融合，最后交付一份结构完整、证据可追溯、风险有披露、过程可审核的行业研究报告。</w:t>
      </w:r>
    </w:p>
    <w:p w14:paraId="0861DAA6">
      <w:pPr>
        <w:pStyle w:val="10"/>
        <w:keepNext w:val="0"/>
        <w:keepLines w:val="0"/>
        <w:widowControl/>
        <w:suppressLineNumbers w:val="0"/>
        <w:rPr>
          <w:rFonts w:hint="default" w:ascii="Times New Roman Regular" w:hAnsi="Times New Roman Regular" w:eastAsia="楷体" w:cs="Times New Roman Regular"/>
          <w:sz w:val="30"/>
          <w:szCs w:val="30"/>
        </w:rPr>
      </w:pPr>
      <w:r>
        <w:rPr>
          <w:rFonts w:hint="default" w:ascii="Times New Roman Regular" w:hAnsi="Times New Roman Regular" w:eastAsia="楷体" w:cs="Times New Roman Regular"/>
          <w:sz w:val="30"/>
          <w:szCs w:val="30"/>
        </w:rPr>
        <w:t>1.4.2 业务目标</w:t>
      </w:r>
    </w:p>
    <w:p w14:paraId="6933030A">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降低跨数据源检索和资料整理成本。</w:t>
      </w:r>
    </w:p>
    <w:p w14:paraId="1749D582">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建立统一的行业研究报告结构。</w:t>
      </w:r>
    </w:p>
    <w:p w14:paraId="55EA5615">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支持概览、标准和深度等不同研究模式。</w:t>
      </w:r>
    </w:p>
    <w:p w14:paraId="4E60CAB5">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支持用户对数据、结论、图表和章节进行审核。</w:t>
      </w:r>
    </w:p>
    <w:p w14:paraId="4CC73D21">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支持局部修改和历史版本查看。</w:t>
      </w:r>
    </w:p>
    <w:p w14:paraId="60985525">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输出 Markdown、HTML、PDF 等多种报告格式。</w:t>
      </w:r>
    </w:p>
    <w:p w14:paraId="56A966E1">
      <w:pPr>
        <w:keepNext w:val="0"/>
        <w:keepLines w:val="0"/>
        <w:widowControl/>
        <w:numPr>
          <w:ilvl w:val="0"/>
          <w:numId w:val="3"/>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在最终报告中提供数据来源目录与研究边界说明。</w:t>
      </w:r>
    </w:p>
    <w:p w14:paraId="25553853">
      <w:pPr>
        <w:pStyle w:val="4"/>
        <w:keepNext w:val="0"/>
        <w:keepLines w:val="0"/>
        <w:widowControl/>
        <w:suppressLineNumbers w:val="0"/>
        <w:rPr>
          <w:rFonts w:hint="default" w:ascii="Times New Roman Regular" w:hAnsi="Times New Roman Regular" w:eastAsia="楷体" w:cs="Times New Roman Regular"/>
          <w:lang w:val="en-US" w:eastAsia="zh-CN"/>
        </w:rPr>
      </w:pPr>
      <w:bookmarkStart w:id="16" w:name="_Toc957815790"/>
      <w:r>
        <w:rPr>
          <w:rFonts w:hint="default" w:ascii="Times New Roman Regular" w:hAnsi="Times New Roman Regular" w:eastAsia="楷体" w:cs="Times New Roman Regular"/>
        </w:rPr>
        <w:t>1.4.3 技术目标</w:t>
      </w:r>
      <w:bookmarkEnd w:id="16"/>
    </w:p>
    <w:p w14:paraId="199D3C66">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覆盖不少于六类 SkillHub 核心技能。</w:t>
      </w:r>
    </w:p>
    <w:p w14:paraId="644EDF2B">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建立五阶段可暂停、可恢复的工作流。</w:t>
      </w:r>
    </w:p>
    <w:p w14:paraId="7ED20C87">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通过统一契约约束各智能体及前后端的数据交接。</w:t>
      </w:r>
    </w:p>
    <w:p w14:paraId="3884ED29">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通过证据标识建立数据、结论、图表和正文之间的追溯关系。</w:t>
      </w:r>
    </w:p>
    <w:p w14:paraId="2A4C3276">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对确定性计算、图表路由和报告融合优先采用程序规则。</w:t>
      </w:r>
    </w:p>
    <w:p w14:paraId="0D28789B">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对外部调用设置超时、重试、预算和脱敏日志。</w:t>
      </w:r>
    </w:p>
    <w:p w14:paraId="1F17BDA4">
      <w:pPr>
        <w:keepNext w:val="0"/>
        <w:keepLines w:val="0"/>
        <w:widowControl/>
        <w:numPr>
          <w:ilvl w:val="0"/>
          <w:numId w:val="4"/>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支持任务归属校验、输入白名单和提示注入检测。</w:t>
      </w:r>
    </w:p>
    <w:p w14:paraId="14A30BC2">
      <w:pPr>
        <w:pStyle w:val="3"/>
        <w:keepNext w:val="0"/>
        <w:keepLines w:val="0"/>
        <w:widowControl/>
        <w:suppressLineNumbers w:val="0"/>
        <w:rPr>
          <w:rFonts w:hint="default" w:ascii="Times New Roman Regular" w:hAnsi="Times New Roman Regular" w:eastAsia="楷体" w:cs="Times New Roman Regular"/>
          <w:sz w:val="32"/>
          <w:szCs w:val="32"/>
        </w:rPr>
      </w:pPr>
      <w:bookmarkStart w:id="17" w:name="_Toc472564618"/>
      <w:r>
        <w:rPr>
          <w:rFonts w:hint="default" w:ascii="Times New Roman Regular" w:hAnsi="Times New Roman Regular" w:eastAsia="楷体" w:cs="Times New Roman Regular"/>
          <w:sz w:val="32"/>
          <w:szCs w:val="32"/>
        </w:rPr>
        <w:t>1.5 服务模型</w:t>
      </w:r>
      <w:bookmarkEnd w:id="17"/>
    </w:p>
    <w:p w14:paraId="3F247D15">
      <w:pPr>
        <w:pStyle w:val="4"/>
        <w:keepNext w:val="0"/>
        <w:keepLines w:val="0"/>
        <w:widowControl/>
        <w:suppressLineNumbers w:val="0"/>
        <w:rPr>
          <w:rFonts w:hint="default" w:ascii="Times New Roman Regular" w:hAnsi="Times New Roman Regular" w:eastAsia="楷体" w:cs="Times New Roman Regular"/>
          <w:sz w:val="30"/>
          <w:szCs w:val="30"/>
        </w:rPr>
      </w:pPr>
      <w:bookmarkStart w:id="18" w:name="_Toc999008120"/>
      <w:r>
        <w:rPr>
          <w:rFonts w:hint="default" w:ascii="Times New Roman Regular" w:hAnsi="Times New Roman Regular" w:eastAsia="楷体" w:cs="Times New Roman Regular"/>
          <w:sz w:val="30"/>
          <w:szCs w:val="30"/>
        </w:rPr>
        <w:t>1.5.1 产品定位</w:t>
      </w:r>
      <w:bookmarkEnd w:id="18"/>
    </w:p>
    <w:p w14:paraId="76AF2A45">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本系统定位为“可审核的行业研究智能副驾驶”。</w:t>
      </w:r>
    </w:p>
    <w:p w14:paraId="457D2C86">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它帮研究人员做资料搜集、分析底稿、图表和报告初稿，不替代持证分析师、投资顾问，也不替代机构内部的审批流程。系统输出属于研究辅助材料，不构成收益承诺或个性化投资建议。</w:t>
      </w:r>
    </w:p>
    <w:p w14:paraId="056A3ADE">
      <w:pPr>
        <w:pStyle w:val="4"/>
        <w:keepNext w:val="0"/>
        <w:keepLines w:val="0"/>
        <w:widowControl/>
        <w:suppressLineNumbers w:val="0"/>
        <w:rPr>
          <w:rFonts w:hint="default" w:ascii="Times New Roman Regular" w:hAnsi="Times New Roman Regular" w:eastAsia="楷体" w:cs="Times New Roman Regular"/>
          <w:lang w:val="en-US" w:eastAsia="zh-CN"/>
        </w:rPr>
      </w:pPr>
      <w:bookmarkStart w:id="19" w:name="_Toc1302320594"/>
      <w:r>
        <w:rPr>
          <w:rFonts w:hint="default" w:ascii="Times New Roman Regular" w:hAnsi="Times New Roman Regular" w:eastAsia="楷体" w:cs="Times New Roman Regular"/>
        </w:rPr>
        <w:t>1.5.2 目标用户</w:t>
      </w:r>
      <w:bookmarkEnd w:id="19"/>
    </w:p>
    <w:p w14:paraId="006B18C4">
      <w:pPr>
        <w:keepNext w:val="0"/>
        <w:keepLines w:val="0"/>
        <w:widowControl/>
        <w:numPr>
          <w:ilvl w:val="0"/>
          <w:numId w:val="5"/>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券商、基金和资产管理机构研究人员。</w:t>
      </w:r>
    </w:p>
    <w:p w14:paraId="5F9204A4">
      <w:pPr>
        <w:keepNext w:val="0"/>
        <w:keepLines w:val="0"/>
        <w:widowControl/>
        <w:numPr>
          <w:ilvl w:val="0"/>
          <w:numId w:val="5"/>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金融机构研究助理和实习人员。</w:t>
      </w:r>
    </w:p>
    <w:p w14:paraId="18DBC28F">
      <w:pPr>
        <w:keepNext w:val="0"/>
        <w:keepLines w:val="0"/>
        <w:widowControl/>
        <w:numPr>
          <w:ilvl w:val="0"/>
          <w:numId w:val="5"/>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企业战略、投资和市场研究部门。</w:t>
      </w:r>
    </w:p>
    <w:p w14:paraId="7E89392B">
      <w:pPr>
        <w:keepNext w:val="0"/>
        <w:keepLines w:val="0"/>
        <w:widowControl/>
        <w:numPr>
          <w:ilvl w:val="0"/>
          <w:numId w:val="5"/>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高校金融、经济和人工智能相关专业师生。</w:t>
      </w:r>
    </w:p>
    <w:p w14:paraId="5DCE6C22">
      <w:pPr>
        <w:keepNext w:val="0"/>
        <w:keepLines w:val="0"/>
        <w:widowControl/>
        <w:numPr>
          <w:ilvl w:val="0"/>
          <w:numId w:val="5"/>
        </w:numPr>
        <w:suppressLineNumbers w:val="0"/>
        <w:spacing w:before="0" w:beforeAutospacing="1" w:after="0" w:afterAutospacing="1"/>
        <w:ind w:left="360" w:leftChars="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具备一定研究能力的个人用户。</w:t>
      </w:r>
    </w:p>
    <w:p w14:paraId="633EE3FD">
      <w:pPr>
        <w:pStyle w:val="4"/>
        <w:keepNext w:val="0"/>
        <w:keepLines w:val="0"/>
        <w:widowControl/>
        <w:suppressLineNumbers w:val="0"/>
        <w:rPr>
          <w:rFonts w:hint="default" w:ascii="Times New Roman Regular" w:hAnsi="Times New Roman Regular" w:eastAsia="楷体" w:cs="Times New Roman Regular"/>
          <w:sz w:val="30"/>
          <w:szCs w:val="30"/>
        </w:rPr>
      </w:pPr>
      <w:bookmarkStart w:id="20" w:name="_Toc948893134"/>
      <w:r>
        <w:rPr>
          <w:rFonts w:hint="default" w:ascii="Times New Roman Regular" w:hAnsi="Times New Roman Regular" w:eastAsia="楷体" w:cs="Times New Roman Regular"/>
          <w:sz w:val="30"/>
          <w:szCs w:val="30"/>
        </w:rPr>
        <w:t>1.5.3 服务流程</w:t>
      </w:r>
      <w:bookmarkEnd w:id="20"/>
    </w:p>
    <w:p w14:paraId="1D1DD947">
      <w:pPr>
        <w:keepNext w:val="0"/>
        <w:keepLines w:val="0"/>
        <w:widowControl/>
        <w:suppressLineNumbers w:val="0"/>
        <w:ind w:firstLine="480" w:firstLineChars="200"/>
        <w:jc w:val="left"/>
        <w:rPr>
          <w:rFonts w:hint="eastAsia" w:ascii="楷体" w:hAnsi="楷体" w:eastAsia="楷体" w:cs="楷体"/>
          <w:sz w:val="24"/>
          <w:szCs w:val="24"/>
        </w:rPr>
      </w:pPr>
      <w:r>
        <w:rPr>
          <w:rFonts w:hint="eastAsia" w:ascii="楷体" w:hAnsi="楷体" w:eastAsia="楷体" w:cs="楷体"/>
          <w:i w:val="0"/>
          <w:iCs w:val="0"/>
          <w:caps w:val="0"/>
          <w:color w:val="0F1115"/>
          <w:spacing w:val="0"/>
          <w:kern w:val="0"/>
          <w:sz w:val="24"/>
          <w:szCs w:val="24"/>
          <w:u w:val="none"/>
          <w:shd w:val="clear" w:fill="FFFFFF"/>
          <w:lang w:val="en-US" w:eastAsia="zh-CN" w:bidi="ar"/>
        </w:rPr>
        <w:t>创建任务后，系统按顺序往前走：先提研究主题，系统确认研究时点和范围；数据获取智能体调用 SkillHub，用户审核数据范围和缺口；数据解读智能体给出结构化结论，用户审核结论和风险；图表智能体出可追溯图表，章节智能体写七章二十一节正文，报告融合智能体完成排版、评分和导出；最后用户预览、下载或继续修订。</w:t>
      </w:r>
    </w:p>
    <w:p w14:paraId="33A0C3AD">
      <w:pPr>
        <w:pStyle w:val="4"/>
        <w:keepNext w:val="0"/>
        <w:keepLines w:val="0"/>
        <w:widowControl/>
        <w:suppressLineNumbers w:val="0"/>
        <w:rPr>
          <w:rFonts w:hint="default" w:ascii="Times New Roman Regular" w:hAnsi="Times New Roman Regular" w:eastAsia="楷体" w:cs="Times New Roman Regular"/>
          <w:sz w:val="30"/>
          <w:szCs w:val="30"/>
        </w:rPr>
      </w:pPr>
      <w:bookmarkStart w:id="21" w:name="_Toc833340516"/>
      <w:r>
        <w:rPr>
          <w:rFonts w:hint="default" w:ascii="Times New Roman Regular" w:hAnsi="Times New Roman Regular" w:eastAsia="楷体" w:cs="Times New Roman Regular"/>
          <w:sz w:val="30"/>
          <w:szCs w:val="30"/>
        </w:rPr>
        <w:t>1.5.4 信任模型</w:t>
      </w:r>
      <w:bookmarkEnd w:id="21"/>
    </w:p>
    <w:p w14:paraId="32B25433">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系统从五个层面建立报告可信度：</w:t>
      </w:r>
    </w:p>
    <w:p w14:paraId="19447C79">
      <w:pPr>
        <w:pStyle w:val="10"/>
        <w:keepNext w:val="0"/>
        <w:keepLines w:val="0"/>
        <w:widowControl/>
        <w:numPr>
          <w:ilvl w:val="0"/>
          <w:numId w:val="6"/>
        </w:numPr>
        <w:suppressLineNumbers w:val="0"/>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来源可信：优先使用问财 SkillHub，其他公开网络信息只能作为明确标注的补充来源。</w:t>
      </w:r>
    </w:p>
    <w:p w14:paraId="5990623B">
      <w:pPr>
        <w:pStyle w:val="10"/>
        <w:keepNext w:val="0"/>
        <w:keepLines w:val="0"/>
        <w:widowControl/>
        <w:numPr>
          <w:ilvl w:val="0"/>
          <w:numId w:val="6"/>
        </w:numPr>
        <w:suppressLineNumbers w:val="0"/>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口径可信：保留报告期、单位、币种、市场和统计范围。</w:t>
      </w:r>
    </w:p>
    <w:p w14:paraId="694C4F8C">
      <w:pPr>
        <w:pStyle w:val="10"/>
        <w:keepNext w:val="0"/>
        <w:keepLines w:val="0"/>
        <w:widowControl/>
        <w:numPr>
          <w:ilvl w:val="0"/>
          <w:numId w:val="6"/>
        </w:numPr>
        <w:suppressLineNumbers w:val="0"/>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计算可信：可确定的金融指标由代码计算</w:t>
      </w:r>
      <w:r>
        <w:rPr>
          <w:rFonts w:hint="eastAsia" w:ascii="Times New Roman Regular" w:hAnsi="Times New Roman Regular" w:eastAsia="楷体" w:cs="Times New Roman Regular"/>
          <w:sz w:val="24"/>
          <w:szCs w:val="24"/>
          <w:lang w:eastAsia="zh-CN"/>
        </w:rPr>
        <w:t>。</w:t>
      </w:r>
    </w:p>
    <w:p w14:paraId="65815A32">
      <w:pPr>
        <w:pStyle w:val="10"/>
        <w:keepNext w:val="0"/>
        <w:keepLines w:val="0"/>
        <w:widowControl/>
        <w:numPr>
          <w:ilvl w:val="0"/>
          <w:numId w:val="6"/>
        </w:numPr>
        <w:suppressLineNumbers w:val="0"/>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引用可信：数字、结论和图表必须关联有效证据。</w:t>
      </w:r>
    </w:p>
    <w:p w14:paraId="0328616B">
      <w:pPr>
        <w:pStyle w:val="10"/>
        <w:keepNext w:val="0"/>
        <w:keepLines w:val="0"/>
        <w:widowControl/>
        <w:numPr>
          <w:ilvl w:val="0"/>
          <w:numId w:val="6"/>
        </w:numPr>
        <w:suppressLineNumbers w:val="0"/>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交付可信：输出文件记录版本、文件大小和校验摘要。</w:t>
      </w:r>
    </w:p>
    <w:p w14:paraId="21684AF3">
      <w:pPr>
        <w:pStyle w:val="4"/>
        <w:keepNext w:val="0"/>
        <w:keepLines w:val="0"/>
        <w:widowControl/>
        <w:suppressLineNumbers w:val="0"/>
        <w:rPr>
          <w:rFonts w:hint="default" w:ascii="Times New Roman Regular" w:hAnsi="Times New Roman Regular" w:eastAsia="楷体" w:cs="Times New Roman Regular"/>
        </w:rPr>
      </w:pPr>
      <w:bookmarkStart w:id="22" w:name="_Toc65706678"/>
      <w:r>
        <w:rPr>
          <w:rFonts w:hint="default" w:ascii="Times New Roman Regular" w:hAnsi="Times New Roman Regular" w:eastAsia="楷体" w:cs="Times New Roman Regular"/>
        </w:rPr>
        <w:t>1.5.5 服务边界</w:t>
      </w:r>
      <w:bookmarkEnd w:id="22"/>
    </w:p>
    <w:p w14:paraId="775D4313">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系统不执行证券交易，不自动给出买入、卖出、仓位或收益承诺；不把机构评级直接转换为投资建议；不在缺少证据时补造数据；不在生产环境回退使用测试数据；不在日志中保存密钥、完整提示词或敏感原文。</w:t>
      </w:r>
    </w:p>
    <w:p w14:paraId="53EAFDCF">
      <w:pPr>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8B3658">
      <w:pPr>
        <w:pStyle w:val="2"/>
        <w:keepNext w:val="0"/>
        <w:keepLines w:val="0"/>
        <w:widowControl/>
        <w:suppressLineNumbers w:val="0"/>
        <w:jc w:val="center"/>
        <w:rPr>
          <w:rFonts w:hint="default" w:ascii="Times New Roman Regular" w:hAnsi="Times New Roman Regular" w:eastAsia="楷体" w:cs="Times New Roman Regular"/>
        </w:rPr>
      </w:pPr>
    </w:p>
    <w:p w14:paraId="22D17D78">
      <w:pPr>
        <w:pStyle w:val="2"/>
        <w:keepNext w:val="0"/>
        <w:keepLines w:val="0"/>
        <w:widowControl/>
        <w:suppressLineNumbers w:val="0"/>
        <w:jc w:val="center"/>
        <w:rPr>
          <w:rFonts w:hint="default" w:ascii="Times New Roman Regular" w:hAnsi="Times New Roman Regular" w:eastAsia="楷体" w:cs="Times New Roman Regular"/>
        </w:rPr>
      </w:pPr>
    </w:p>
    <w:p w14:paraId="411E7222">
      <w:pPr>
        <w:pStyle w:val="2"/>
        <w:keepNext w:val="0"/>
        <w:keepLines w:val="0"/>
        <w:widowControl/>
        <w:suppressLineNumbers w:val="0"/>
        <w:jc w:val="center"/>
        <w:rPr>
          <w:rFonts w:hint="default" w:ascii="Times New Roman Regular" w:hAnsi="Times New Roman Regular" w:eastAsia="楷体" w:cs="Times New Roman Regular"/>
        </w:rPr>
      </w:pPr>
    </w:p>
    <w:p w14:paraId="12C69FA8">
      <w:pPr>
        <w:pStyle w:val="3"/>
        <w:keepNext/>
        <w:keepLines/>
        <w:rPr>
          <w:sz w:val="32"/>
          <w:szCs w:val="32"/>
        </w:rPr>
      </w:pPr>
      <w:bookmarkStart w:id="23" w:name="_Toc525542588"/>
      <w:r>
        <w:rPr>
          <w:rFonts w:hint="eastAsia"/>
        </w:rPr>
        <w:t>1.6 工作范围与交付说明</w:t>
      </w:r>
      <w:bookmarkEnd w:id="23"/>
    </w:p>
    <w:p w14:paraId="466F0079">
      <w:pPr>
        <w:pStyle w:val="4"/>
        <w:keepNext/>
        <w:keepLines/>
        <w:rPr>
          <w:sz w:val="32"/>
          <w:szCs w:val="32"/>
        </w:rPr>
      </w:pPr>
      <w:bookmarkStart w:id="24" w:name="_Toc194036405"/>
      <w:r>
        <w:rPr>
          <w:rFonts w:hint="eastAsia"/>
        </w:rPr>
        <w:t>1.6.1 工作范围</w:t>
      </w:r>
      <w:bookmarkEnd w:id="24"/>
    </w:p>
    <w:p w14:paraId="793C2527">
      <w:pPr>
        <w:pStyle w:val="10"/>
      </w:pPr>
      <w:r>
        <w:rPr>
          <w:rFonts w:hint="eastAsia"/>
        </w:rPr>
        <w:t>本项目覆盖从数据获取到报告交付的完整链路。</w:t>
      </w:r>
    </w:p>
    <w:p w14:paraId="23379D87">
      <w:pPr>
        <w:pStyle w:val="10"/>
        <w:numPr>
          <w:ilvl w:val="0"/>
          <w:numId w:val="7"/>
        </w:numPr>
      </w:pPr>
      <w:r>
        <w:rPr>
          <w:rFonts w:hint="eastAsia"/>
        </w:rPr>
        <w:t>数据层：接入同花顺问财 SkillHub，完成技能路由、查询规划、字段清洗、单位归一、事实去重与冲突保留，并生成可追溯的证据索引。</w:t>
      </w:r>
    </w:p>
    <w:p w14:paraId="3B95156B">
      <w:pPr>
        <w:pStyle w:val="10"/>
        <w:numPr>
          <w:ilvl w:val="0"/>
          <w:numId w:val="7"/>
        </w:numPr>
      </w:pPr>
      <w:r>
        <w:rPr>
          <w:rFonts w:hint="eastAsia"/>
        </w:rPr>
        <w:t>解读层：实现确定性计算引擎（指标计算、财务勾稽、数据可比性判断、异常识别）与投研方法论技能路由，输出结构化解读报告。</w:t>
      </w:r>
    </w:p>
    <w:p w14:paraId="00138243">
      <w:pPr>
        <w:pStyle w:val="10"/>
        <w:numPr>
          <w:ilvl w:val="0"/>
          <w:numId w:val="7"/>
        </w:numPr>
      </w:pPr>
      <w:r>
        <w:rPr>
          <w:rFonts w:hint="eastAsia"/>
        </w:rPr>
        <w:t>图表层：实现图表自动选型与配置编译，输出 ECharts 交互配置与出版级 SVG 矢量图；数据不足时明确记录抑制原因，不强行出图。</w:t>
      </w:r>
    </w:p>
    <w:p w14:paraId="26DC2F05">
      <w:pPr>
        <w:pStyle w:val="10"/>
        <w:numPr>
          <w:ilvl w:val="0"/>
          <w:numId w:val="7"/>
        </w:numPr>
      </w:pPr>
      <w:r>
        <w:rPr>
          <w:rFonts w:hint="eastAsia"/>
        </w:rPr>
        <w:t>章节层：按七章二十一节大纲逐章生成正文，并完成引用绑定、图表引用与证据审计。</w:t>
      </w:r>
    </w:p>
    <w:p w14:paraId="38EB68CF">
      <w:pPr>
        <w:pStyle w:val="10"/>
        <w:numPr>
          <w:ilvl w:val="0"/>
          <w:numId w:val="7"/>
        </w:numPr>
      </w:pPr>
      <w:r>
        <w:rPr>
          <w:rFonts w:hint="eastAsia"/>
        </w:rPr>
        <w:t>融合层：完成章节整合、术语统一、口径对齐与一致性校验，并导出 Markdown、HTML、PDF 三种格式。</w:t>
      </w:r>
    </w:p>
    <w:p w14:paraId="0AF0B9F5">
      <w:pPr>
        <w:pStyle w:val="10"/>
        <w:numPr>
          <w:ilvl w:val="0"/>
          <w:numId w:val="7"/>
        </w:numPr>
      </w:pPr>
      <w:r>
        <w:rPr>
          <w:rFonts w:hint="eastAsia"/>
        </w:rPr>
        <w:t>交互层：提供 Web 审核工作台，支持五阶段审核、证据查看、版本对比、标注批注与产物下载。</w:t>
      </w:r>
    </w:p>
    <w:p w14:paraId="7E54085A">
      <w:pPr>
        <w:pStyle w:val="4"/>
        <w:keepNext/>
        <w:keepLines/>
        <w:rPr>
          <w:sz w:val="32"/>
          <w:szCs w:val="32"/>
        </w:rPr>
      </w:pPr>
      <w:bookmarkStart w:id="25" w:name="_Toc1289682689"/>
      <w:r>
        <w:rPr>
          <w:rFonts w:hint="eastAsia"/>
        </w:rPr>
        <w:t>1.6.2 交付说明</w:t>
      </w:r>
      <w:bookmarkEnd w:id="25"/>
    </w:p>
    <w:p w14:paraId="7C109F40">
      <w:pPr>
        <w:pStyle w:val="10"/>
      </w:pPr>
      <w:r>
        <w:rPr>
          <w:rFonts w:hint="eastAsia"/>
        </w:rPr>
        <w:t>按赛题要求，本项目提交以下材料。</w:t>
      </w:r>
    </w:p>
    <w:p w14:paraId="221563AC">
      <w:pPr>
        <w:pStyle w:val="10"/>
        <w:numPr>
          <w:ilvl w:val="0"/>
          <w:numId w:val="7"/>
        </w:numPr>
      </w:pPr>
      <w:r>
        <w:rPr>
          <w:rFonts w:hint="eastAsia"/>
        </w:rPr>
        <w:t>综合性文档：项目概要介绍（说明目标问题、解决思路、创意与亮点）、项目详细方案（即本文档）、用户使用手册（部署方式与模块操作说明）。</w:t>
      </w:r>
    </w:p>
    <w:p w14:paraId="0402FDE3">
      <w:pPr>
        <w:pStyle w:val="10"/>
        <w:numPr>
          <w:ilvl w:val="0"/>
          <w:numId w:val="7"/>
        </w:numPr>
      </w:pPr>
      <w:r>
        <w:rPr>
          <w:rFonts w:hint="eastAsia"/>
        </w:rPr>
        <w:t>演示与展示材料：核心内容展示材料、原型演示与演示视频、团队完成过程说明。</w:t>
      </w:r>
    </w:p>
    <w:p w14:paraId="3297687C">
      <w:pPr>
        <w:pStyle w:val="10"/>
        <w:numPr>
          <w:ilvl w:val="0"/>
          <w:numId w:val="7"/>
        </w:numPr>
      </w:pPr>
      <w:r>
        <w:rPr>
          <w:rFonts w:hint="eastAsia"/>
        </w:rPr>
        <w:t>可运行系统：完整的前后端源码、依赖清单与启动脚本。</w:t>
      </w:r>
    </w:p>
    <w:p w14:paraId="6A8F57A8">
      <w:pPr>
        <w:pStyle w:val="2"/>
        <w:keepNext w:val="0"/>
        <w:keepLines w:val="0"/>
        <w:widowControl/>
        <w:suppressLineNumbers w:val="0"/>
        <w:jc w:val="center"/>
        <w:rPr>
          <w:rFonts w:hint="default" w:ascii="Times New Roman Regular" w:hAnsi="Times New Roman Regular" w:eastAsia="楷体" w:cs="Times New Roman Regular"/>
        </w:rPr>
      </w:pPr>
      <w:bookmarkStart w:id="26" w:name="_Toc1144504852"/>
      <w:r>
        <w:rPr>
          <w:rFonts w:hint="default" w:ascii="Times New Roman Regular" w:hAnsi="Times New Roman Regular" w:eastAsia="楷体" w:cs="Times New Roman Regular"/>
        </w:rPr>
        <w:t>2 组织管理与业务分析方案</w:t>
      </w:r>
      <w:bookmarkEnd w:id="26"/>
    </w:p>
    <w:p w14:paraId="780FDC6C">
      <w:pPr>
        <w:pStyle w:val="3"/>
        <w:keepNext w:val="0"/>
        <w:keepLines w:val="0"/>
        <w:widowControl/>
        <w:suppressLineNumbers w:val="0"/>
        <w:rPr>
          <w:rFonts w:hint="default" w:ascii="Times New Roman Regular" w:hAnsi="Times New Roman Regular" w:eastAsia="楷体" w:cs="Times New Roman Regular"/>
        </w:rPr>
      </w:pPr>
      <w:bookmarkStart w:id="27" w:name="_Toc682021385"/>
      <w:r>
        <w:rPr>
          <w:rFonts w:hint="default" w:ascii="Times New Roman Regular" w:hAnsi="Times New Roman Regular" w:eastAsia="楷体" w:cs="Times New Roman Regular"/>
        </w:rPr>
        <w:t>2.1 项目概述</w:t>
      </w:r>
      <w:bookmarkEnd w:id="27"/>
    </w:p>
    <w:p w14:paraId="1D35891C">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本项目的数据来自问财 SkillHub，中间是五阶段智能体流水线，交互入口是 Web 审核工作台，串起来就是“建任务到出报告”的完整流程。</w:t>
      </w:r>
    </w:p>
    <w:p w14:paraId="57F294FC">
      <w:pPr>
        <w:pStyle w:val="10"/>
        <w:keepNext w:val="0"/>
        <w:keepLines w:val="0"/>
        <w:widowControl/>
        <w:suppressLineNumbers w:val="0"/>
        <w:ind w:firstLine="480" w:firstLineChars="200"/>
        <w:rPr>
          <w:rFonts w:hint="default" w:ascii="Times New Roman Regular" w:hAnsi="Times New Roman Regular" w:eastAsia="楷体" w:cs="Times New Roman Regular"/>
        </w:rPr>
      </w:pPr>
      <w:bookmarkStart w:id="28" w:name="_Toc1943937500"/>
      <w:bookmarkEnd w:id="28"/>
      <w:bookmarkStart w:id="29" w:name="_Toc31154413"/>
      <w:bookmarkEnd w:id="29"/>
      <w:bookmarkStart w:id="30" w:name="_Toc2088840689"/>
      <w:bookmarkEnd w:id="30"/>
    </w:p>
    <w:p w14:paraId="1E1531DC">
      <w:pPr>
        <w:pStyle w:val="3"/>
        <w:keepNext/>
        <w:keepLines/>
        <w:rPr>
          <w:sz w:val="32"/>
          <w:szCs w:val="32"/>
        </w:rPr>
      </w:pPr>
      <w:bookmarkStart w:id="31" w:name="_Toc1613193656"/>
      <w:r>
        <w:rPr>
          <w:rFonts w:hint="eastAsia"/>
        </w:rPr>
        <w:t>2.2 组织管理方案</w:t>
      </w:r>
      <w:bookmarkEnd w:id="31"/>
    </w:p>
    <w:p w14:paraId="4291A677">
      <w:pPr>
        <w:pStyle w:val="4"/>
        <w:keepNext/>
        <w:keepLines/>
        <w:rPr>
          <w:sz w:val="32"/>
          <w:szCs w:val="32"/>
        </w:rPr>
      </w:pPr>
      <w:bookmarkStart w:id="32" w:name="_Toc964733017"/>
      <w:r>
        <w:rPr>
          <w:rFonts w:hint="eastAsia"/>
        </w:rPr>
        <w:t>2.2.1 团队架构</w:t>
      </w:r>
      <w:bookmarkEnd w:id="32"/>
    </w:p>
    <w:p w14:paraId="14FB36DC">
      <w:pPr>
        <w:pStyle w:val="10"/>
        <w:numPr>
          <w:ilvl w:val="0"/>
          <w:numId w:val="7"/>
        </w:numPr>
      </w:pPr>
      <w:r>
        <w:rPr>
          <w:rFonts w:hint="eastAsia"/>
        </w:rPr>
        <w:t>团队名称：【队名】</w:t>
      </w:r>
    </w:p>
    <w:p w14:paraId="795B87D9">
      <w:pPr>
        <w:pStyle w:val="10"/>
        <w:numPr>
          <w:ilvl w:val="0"/>
          <w:numId w:val="7"/>
        </w:numPr>
      </w:pPr>
      <w:r>
        <w:rPr>
          <w:rFonts w:hint="eastAsia"/>
        </w:rPr>
        <w:t>项目名称：【项目名称】</w:t>
      </w:r>
    </w:p>
    <w:p w14:paraId="2D8D1E67">
      <w:pPr>
        <w:pStyle w:val="10"/>
        <w:numPr>
          <w:ilvl w:val="0"/>
          <w:numId w:val="7"/>
        </w:numPr>
      </w:pPr>
      <w:r>
        <w:rPr>
          <w:rFonts w:hint="eastAsia"/>
        </w:rPr>
        <w:t>团队格言：【待填写】</w:t>
      </w:r>
    </w:p>
    <w:p w14:paraId="1A90B920">
      <w:pPr>
        <w:pStyle w:val="10"/>
      </w:pPr>
      <w:r>
        <w:rPr>
          <w:rFonts w:hint="eastAsia"/>
        </w:rPr>
        <w:t>本项目按赛题要求设置项目负责人、技术负责人和客户关系经理三类角色，其余成员分别承担智能体算法、前端工作台与测试文档工作。各角色的职责分工如表 2.1 所示。</w:t>
      </w:r>
    </w:p>
    <w:p w14:paraId="01C9F59C">
      <w:pPr>
        <w:pStyle w:val="10"/>
      </w:pPr>
      <w:r>
        <w:rPr>
          <w:rFonts w:hint="eastAsia"/>
        </w:rPr>
        <w:t>表 2.1 团队职责分工</w:t>
      </w:r>
    </w:p>
    <w:tbl>
      <w:tblPr>
        <w:tblStyle w:val="1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41D19B9E">
        <w:trPr>
          <w:tblHeader/>
        </w:trPr>
        <w:tc>
          <w:tcPr>
            <w:tcW w:w="2768" w:type="dxa"/>
            <w:vAlign w:val="center"/>
          </w:tcPr>
          <w:p w14:paraId="5B857185">
            <w:pPr>
              <w:rPr>
                <w:b/>
                <w:bCs/>
              </w:rPr>
            </w:pPr>
            <w:r>
              <w:rPr>
                <w:rFonts w:hint="eastAsia"/>
                <w:b/>
              </w:rPr>
              <w:t>开发阶段</w:t>
            </w:r>
          </w:p>
        </w:tc>
        <w:tc>
          <w:tcPr>
            <w:tcW w:w="2768" w:type="dxa"/>
            <w:vAlign w:val="center"/>
          </w:tcPr>
          <w:p w14:paraId="5366E087">
            <w:pPr>
              <w:rPr>
                <w:b/>
                <w:bCs/>
              </w:rPr>
            </w:pPr>
            <w:r>
              <w:rPr>
                <w:rFonts w:hint="eastAsia"/>
                <w:b/>
              </w:rPr>
              <w:t>角色</w:t>
            </w:r>
          </w:p>
        </w:tc>
        <w:tc>
          <w:tcPr>
            <w:tcW w:w="2768" w:type="dxa"/>
            <w:vAlign w:val="center"/>
          </w:tcPr>
          <w:p w14:paraId="6DA88494">
            <w:pPr>
              <w:rPr>
                <w:b/>
                <w:bCs/>
              </w:rPr>
            </w:pPr>
            <w:r>
              <w:rPr>
                <w:rFonts w:hint="eastAsia"/>
                <w:b/>
              </w:rPr>
              <w:t>主要职责</w:t>
            </w:r>
          </w:p>
        </w:tc>
      </w:tr>
      <w:tr w14:paraId="1ECDF5CC">
        <w:tc>
          <w:tcPr>
            <w:tcW w:w="2768" w:type="dxa"/>
            <w:vAlign w:val="center"/>
          </w:tcPr>
          <w:p w14:paraId="3FD417AF">
            <w:r>
              <w:rPr>
                <w:rFonts w:hint="eastAsia"/>
              </w:rPr>
              <w:t>计划与进度管理</w:t>
            </w:r>
          </w:p>
        </w:tc>
        <w:tc>
          <w:tcPr>
            <w:tcW w:w="2768" w:type="dxa"/>
            <w:vAlign w:val="center"/>
          </w:tcPr>
          <w:p w14:paraId="6C4CEFDA">
            <w:r>
              <w:rPr>
                <w:rFonts w:hint="eastAsia"/>
              </w:rPr>
              <w:t>项目负责人</w:t>
            </w:r>
          </w:p>
        </w:tc>
        <w:tc>
          <w:tcPr>
            <w:tcW w:w="2768" w:type="dxa"/>
            <w:vAlign w:val="center"/>
          </w:tcPr>
          <w:p w14:paraId="5E4C2DAF">
            <w:r>
              <w:rPr>
                <w:rFonts w:hint="eastAsia"/>
              </w:rPr>
              <w:t>统筹项目进度、成本、质量与风险，制定计划并跟踪执行。</w:t>
            </w:r>
          </w:p>
        </w:tc>
      </w:tr>
      <w:tr w14:paraId="0F40E53F">
        <w:tc>
          <w:tcPr>
            <w:tcW w:w="2768" w:type="dxa"/>
            <w:vAlign w:val="center"/>
          </w:tcPr>
          <w:p w14:paraId="2322AC65">
            <w:r>
              <w:rPr>
                <w:rFonts w:hint="eastAsia"/>
              </w:rPr>
              <w:t>需求分析与组织方案</w:t>
            </w:r>
          </w:p>
        </w:tc>
        <w:tc>
          <w:tcPr>
            <w:tcW w:w="2768" w:type="dxa"/>
            <w:vAlign w:val="center"/>
          </w:tcPr>
          <w:p w14:paraId="4C219A98">
            <w:r>
              <w:rPr>
                <w:rFonts w:hint="eastAsia"/>
              </w:rPr>
              <w:t>项目负责人、客户关系经理</w:t>
            </w:r>
          </w:p>
        </w:tc>
        <w:tc>
          <w:tcPr>
            <w:tcW w:w="2768" w:type="dxa"/>
            <w:vAlign w:val="center"/>
          </w:tcPr>
          <w:p w14:paraId="138EFA38">
            <w:r>
              <w:rPr>
                <w:rFonts w:hint="eastAsia"/>
              </w:rPr>
              <w:t>梳理赛题目标与业务需求，确定服务模型、审核流程与交付边界。</w:t>
            </w:r>
          </w:p>
        </w:tc>
      </w:tr>
      <w:tr w14:paraId="21FA6986">
        <w:tc>
          <w:tcPr>
            <w:tcW w:w="2768" w:type="dxa"/>
            <w:vAlign w:val="center"/>
          </w:tcPr>
          <w:p w14:paraId="792DDDFE">
            <w:r>
              <w:rPr>
                <w:rFonts w:hint="eastAsia"/>
              </w:rPr>
              <w:t>系统架构与接口契约</w:t>
            </w:r>
          </w:p>
        </w:tc>
        <w:tc>
          <w:tcPr>
            <w:tcW w:w="2768" w:type="dxa"/>
            <w:vAlign w:val="center"/>
          </w:tcPr>
          <w:p w14:paraId="55BAC544">
            <w:r>
              <w:rPr>
                <w:rFonts w:hint="eastAsia"/>
              </w:rPr>
              <w:t>技术负责人</w:t>
            </w:r>
          </w:p>
        </w:tc>
        <w:tc>
          <w:tcPr>
            <w:tcW w:w="2768" w:type="dxa"/>
            <w:vAlign w:val="center"/>
          </w:tcPr>
          <w:p w14:paraId="2230DFEF">
            <w:r>
              <w:rPr>
                <w:rFonts w:hint="eastAsia"/>
              </w:rPr>
              <w:t>设计分层架构、智能体契约与前后端数据交接规范。</w:t>
            </w:r>
          </w:p>
        </w:tc>
      </w:tr>
      <w:tr w14:paraId="07F119DF">
        <w:tc>
          <w:tcPr>
            <w:tcW w:w="2768" w:type="dxa"/>
            <w:vAlign w:val="center"/>
          </w:tcPr>
          <w:p w14:paraId="7415C88A">
            <w:r>
              <w:rPr>
                <w:rFonts w:hint="eastAsia"/>
              </w:rPr>
              <w:t>数据获取智能体</w:t>
            </w:r>
          </w:p>
        </w:tc>
        <w:tc>
          <w:tcPr>
            <w:tcW w:w="2768" w:type="dxa"/>
            <w:vAlign w:val="center"/>
          </w:tcPr>
          <w:p w14:paraId="05C6FE99">
            <w:r>
              <w:rPr>
                <w:rFonts w:hint="eastAsia"/>
              </w:rPr>
              <w:t>智能体算法负责人</w:t>
            </w:r>
          </w:p>
        </w:tc>
        <w:tc>
          <w:tcPr>
            <w:tcW w:w="2768" w:type="dxa"/>
            <w:vAlign w:val="center"/>
          </w:tcPr>
          <w:p w14:paraId="667148D7">
            <w:r>
              <w:rPr>
                <w:rFonts w:hint="eastAsia"/>
              </w:rPr>
              <w:t>实现技能路由、查询规划、数据清洗、事实去重与证据生成。</w:t>
            </w:r>
          </w:p>
        </w:tc>
      </w:tr>
      <w:tr w14:paraId="1D759E40">
        <w:tc>
          <w:tcPr>
            <w:tcW w:w="2768" w:type="dxa"/>
            <w:vAlign w:val="center"/>
          </w:tcPr>
          <w:p w14:paraId="349D5B7B">
            <w:r>
              <w:rPr>
                <w:rFonts w:hint="eastAsia"/>
              </w:rPr>
              <w:t>数据解读智能体</w:t>
            </w:r>
          </w:p>
        </w:tc>
        <w:tc>
          <w:tcPr>
            <w:tcW w:w="2768" w:type="dxa"/>
            <w:vAlign w:val="center"/>
          </w:tcPr>
          <w:p w14:paraId="42CA63DC">
            <w:r>
              <w:rPr>
                <w:rFonts w:hint="eastAsia"/>
              </w:rPr>
              <w:t>智能体算法负责人</w:t>
            </w:r>
          </w:p>
        </w:tc>
        <w:tc>
          <w:tcPr>
            <w:tcW w:w="2768" w:type="dxa"/>
            <w:vAlign w:val="center"/>
          </w:tcPr>
          <w:p w14:paraId="5F114400">
            <w:r>
              <w:rPr>
                <w:rFonts w:hint="eastAsia"/>
              </w:rPr>
              <w:t>实现确定性计算引擎、投研方法论技能路由与证据索引构建。</w:t>
            </w:r>
          </w:p>
        </w:tc>
      </w:tr>
      <w:tr w14:paraId="6D4DD9A7">
        <w:tc>
          <w:tcPr>
            <w:tcW w:w="2768" w:type="dxa"/>
            <w:vAlign w:val="center"/>
          </w:tcPr>
          <w:p w14:paraId="6D1EB173">
            <w:r>
              <w:rPr>
                <w:rFonts w:hint="eastAsia"/>
              </w:rPr>
              <w:t>图表生成智能体</w:t>
            </w:r>
          </w:p>
        </w:tc>
        <w:tc>
          <w:tcPr>
            <w:tcW w:w="2768" w:type="dxa"/>
            <w:vAlign w:val="center"/>
          </w:tcPr>
          <w:p w14:paraId="3B4E26E6">
            <w:r>
              <w:rPr>
                <w:rFonts w:hint="eastAsia"/>
              </w:rPr>
              <w:t>智能体算法负责人</w:t>
            </w:r>
          </w:p>
        </w:tc>
        <w:tc>
          <w:tcPr>
            <w:tcW w:w="2768" w:type="dxa"/>
            <w:vAlign w:val="center"/>
          </w:tcPr>
          <w:p w14:paraId="10B43ED7">
            <w:r>
              <w:rPr>
                <w:rFonts w:hint="eastAsia"/>
              </w:rPr>
              <w:t>实现图表选型、ECharts 配置编译与出版级 SVG 渲染。</w:t>
            </w:r>
          </w:p>
        </w:tc>
      </w:tr>
      <w:tr w14:paraId="7D98E560">
        <w:tc>
          <w:tcPr>
            <w:tcW w:w="2768" w:type="dxa"/>
            <w:vAlign w:val="center"/>
          </w:tcPr>
          <w:p w14:paraId="6B63982D">
            <w:r>
              <w:rPr>
                <w:rFonts w:hint="eastAsia"/>
              </w:rPr>
              <w:t>章节撰写与报告融合</w:t>
            </w:r>
          </w:p>
        </w:tc>
        <w:tc>
          <w:tcPr>
            <w:tcW w:w="2768" w:type="dxa"/>
            <w:vAlign w:val="center"/>
          </w:tcPr>
          <w:p w14:paraId="391D0D12">
            <w:r>
              <w:rPr>
                <w:rFonts w:hint="eastAsia"/>
              </w:rPr>
              <w:t>智能体算法负责人</w:t>
            </w:r>
          </w:p>
        </w:tc>
        <w:tc>
          <w:tcPr>
            <w:tcW w:w="2768" w:type="dxa"/>
            <w:vAlign w:val="center"/>
          </w:tcPr>
          <w:p w14:paraId="2AAFBBFE">
            <w:r>
              <w:rPr>
                <w:rFonts w:hint="eastAsia"/>
              </w:rPr>
              <w:t>实现七章二十一节正文生成、证据审计与多格式导出。</w:t>
            </w:r>
          </w:p>
        </w:tc>
      </w:tr>
      <w:tr w14:paraId="048A4F1B">
        <w:tc>
          <w:tcPr>
            <w:tcW w:w="2768" w:type="dxa"/>
            <w:vAlign w:val="center"/>
          </w:tcPr>
          <w:p w14:paraId="797E2B5B">
            <w:r>
              <w:rPr>
                <w:rFonts w:hint="eastAsia"/>
              </w:rPr>
              <w:t>前端协同工作台</w:t>
            </w:r>
          </w:p>
        </w:tc>
        <w:tc>
          <w:tcPr>
            <w:tcW w:w="2768" w:type="dxa"/>
            <w:vAlign w:val="center"/>
          </w:tcPr>
          <w:p w14:paraId="2CC62AF4">
            <w:r>
              <w:rPr>
                <w:rFonts w:hint="eastAsia"/>
              </w:rPr>
              <w:t>前端负责人</w:t>
            </w:r>
          </w:p>
        </w:tc>
        <w:tc>
          <w:tcPr>
            <w:tcW w:w="2768" w:type="dxa"/>
            <w:vAlign w:val="center"/>
          </w:tcPr>
          <w:p w14:paraId="5E343D5C">
            <w:r>
              <w:rPr>
                <w:rFonts w:hint="eastAsia"/>
              </w:rPr>
              <w:t>实现任务创建、审核工作台、图表画廊与报告阅读器。</w:t>
            </w:r>
          </w:p>
        </w:tc>
      </w:tr>
      <w:tr w14:paraId="2ED1A39F">
        <w:tc>
          <w:tcPr>
            <w:tcW w:w="2768" w:type="dxa"/>
            <w:vAlign w:val="center"/>
          </w:tcPr>
          <w:p w14:paraId="0AD8A4B4">
            <w:r>
              <w:rPr>
                <w:rFonts w:hint="eastAsia"/>
              </w:rPr>
              <w:t>成本与可行性分析</w:t>
            </w:r>
          </w:p>
        </w:tc>
        <w:tc>
          <w:tcPr>
            <w:tcW w:w="2768" w:type="dxa"/>
            <w:vAlign w:val="center"/>
          </w:tcPr>
          <w:p w14:paraId="1CE187B8">
            <w:r>
              <w:rPr>
                <w:rFonts w:hint="eastAsia"/>
              </w:rPr>
              <w:t>客户关系经理</w:t>
            </w:r>
          </w:p>
        </w:tc>
        <w:tc>
          <w:tcPr>
            <w:tcW w:w="2768" w:type="dxa"/>
            <w:vAlign w:val="center"/>
          </w:tcPr>
          <w:p w14:paraId="2CAFEE66">
            <w:r>
              <w:rPr>
                <w:rFonts w:hint="eastAsia"/>
              </w:rPr>
              <w:t>负责成本测算、收益分析、可行性论证与服务模式设计。</w:t>
            </w:r>
          </w:p>
        </w:tc>
      </w:tr>
      <w:tr w14:paraId="4BD2B159">
        <w:tc>
          <w:tcPr>
            <w:tcW w:w="2768" w:type="dxa"/>
            <w:vAlign w:val="center"/>
          </w:tcPr>
          <w:p w14:paraId="7AFCF9F1">
            <w:r>
              <w:rPr>
                <w:rFonts w:hint="eastAsia"/>
              </w:rPr>
              <w:t>测试与交付文档</w:t>
            </w:r>
          </w:p>
        </w:tc>
        <w:tc>
          <w:tcPr>
            <w:tcW w:w="2768" w:type="dxa"/>
            <w:vAlign w:val="center"/>
          </w:tcPr>
          <w:p w14:paraId="0831CC40">
            <w:r>
              <w:rPr>
                <w:rFonts w:hint="eastAsia"/>
              </w:rPr>
              <w:t>测试与文档负责人</w:t>
            </w:r>
          </w:p>
        </w:tc>
        <w:tc>
          <w:tcPr>
            <w:tcW w:w="2768" w:type="dxa"/>
            <w:vAlign w:val="center"/>
          </w:tcPr>
          <w:p w14:paraId="64685A1C">
            <w:r>
              <w:rPr>
                <w:rFonts w:hint="eastAsia"/>
              </w:rPr>
              <w:t>负责单元、契约、集成测试，以及用户手册与交付材料整理。</w:t>
            </w:r>
          </w:p>
        </w:tc>
      </w:tr>
    </w:tbl>
    <w:p w14:paraId="6635C286">
      <w:pPr>
        <w:pStyle w:val="4"/>
        <w:keepNext/>
        <w:keepLines/>
        <w:rPr>
          <w:sz w:val="32"/>
          <w:szCs w:val="32"/>
        </w:rPr>
      </w:pPr>
      <w:bookmarkStart w:id="33" w:name="_Toc766281869"/>
      <w:r>
        <w:rPr>
          <w:rFonts w:hint="eastAsia"/>
        </w:rPr>
        <w:t>2.2.2 沟通与协作机制</w:t>
      </w:r>
      <w:bookmarkEnd w:id="33"/>
    </w:p>
    <w:p w14:paraId="246FF86D">
      <w:pPr>
        <w:pStyle w:val="10"/>
        <w:numPr>
          <w:ilvl w:val="0"/>
          <w:numId w:val="7"/>
        </w:numPr>
      </w:pPr>
      <w:r>
        <w:rPr>
          <w:rFonts w:hint="eastAsia"/>
        </w:rPr>
        <w:t>以周为单位确定可演示增量和验收标准。</w:t>
      </w:r>
    </w:p>
    <w:p w14:paraId="090D3FF8">
      <w:pPr>
        <w:pStyle w:val="10"/>
        <w:numPr>
          <w:ilvl w:val="0"/>
          <w:numId w:val="7"/>
        </w:numPr>
      </w:pPr>
      <w:r>
        <w:rPr>
          <w:rFonts w:hint="eastAsia"/>
        </w:rPr>
        <w:t>跨端字段变更先修改公共契约，再同步后端和前端。</w:t>
      </w:r>
    </w:p>
    <w:p w14:paraId="3B9AA991">
      <w:pPr>
        <w:pStyle w:val="10"/>
        <w:numPr>
          <w:ilvl w:val="0"/>
          <w:numId w:val="7"/>
        </w:numPr>
      </w:pPr>
      <w:r>
        <w:rPr>
          <w:rFonts w:hint="eastAsia"/>
        </w:rPr>
        <w:t>重要方案按照“提出—评审—实现—测试—记录”执行。</w:t>
      </w:r>
    </w:p>
    <w:p w14:paraId="6976AAA6">
      <w:pPr>
        <w:pStyle w:val="10"/>
        <w:numPr>
          <w:ilvl w:val="0"/>
          <w:numId w:val="7"/>
        </w:numPr>
      </w:pPr>
      <w:r>
        <w:rPr>
          <w:rFonts w:hint="eastAsia"/>
        </w:rPr>
        <w:t>外部数据和模型问题必须保留错误码、输入摘要和复现条件。</w:t>
      </w:r>
    </w:p>
    <w:p w14:paraId="585A01E3">
      <w:pPr>
        <w:pStyle w:val="10"/>
        <w:numPr>
          <w:ilvl w:val="0"/>
          <w:numId w:val="7"/>
        </w:numPr>
      </w:pPr>
      <w:r>
        <w:rPr>
          <w:rFonts w:hint="eastAsia"/>
        </w:rPr>
        <w:t>项目负责人维护需求、进度、风险和交付清单；技术负责人维护架构边界、接口契约和技术债清单。</w:t>
      </w:r>
    </w:p>
    <w:p w14:paraId="5303250D">
      <w:pPr>
        <w:pStyle w:val="4"/>
        <w:keepNext/>
        <w:keepLines/>
        <w:rPr>
          <w:sz w:val="32"/>
          <w:szCs w:val="32"/>
        </w:rPr>
      </w:pPr>
      <w:bookmarkStart w:id="34" w:name="_Toc439941224"/>
      <w:r>
        <w:rPr>
          <w:rFonts w:hint="eastAsia"/>
        </w:rPr>
        <w:t>2.2.3 项目开发计划</w:t>
      </w:r>
      <w:bookmarkEnd w:id="34"/>
    </w:p>
    <w:p w14:paraId="4D8F6660">
      <w:pPr>
        <w:pStyle w:val="10"/>
      </w:pPr>
      <w:r>
        <w:rPr>
          <w:rFonts w:hint="eastAsia"/>
        </w:rPr>
        <w:t>开发流程按敏捷迭代推进，分为四个阶段，如表 2.2 所示。</w:t>
      </w:r>
    </w:p>
    <w:p w14:paraId="44463C54">
      <w:pPr>
        <w:pStyle w:val="10"/>
      </w:pPr>
      <w:r>
        <w:rPr>
          <w:rFonts w:hint="eastAsia"/>
        </w:rPr>
        <w:t>表 2.2 项目开发计划</w:t>
      </w:r>
    </w:p>
    <w:tbl>
      <w:tblPr>
        <w:tblStyle w:val="1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2768"/>
        <w:gridCol w:w="2768"/>
        <w:gridCol w:w="2768"/>
      </w:tblGrid>
      <w:tr w14:paraId="55B5D4F9">
        <w:trPr>
          <w:tblHeader/>
        </w:trPr>
        <w:tc>
          <w:tcPr>
            <w:tcW w:w="2768" w:type="dxa"/>
            <w:vAlign w:val="center"/>
          </w:tcPr>
          <w:p w14:paraId="4F769E46">
            <w:pPr>
              <w:rPr>
                <w:b/>
                <w:bCs/>
              </w:rPr>
            </w:pPr>
            <w:r>
              <w:rPr>
                <w:rFonts w:hint="eastAsia"/>
                <w:b/>
              </w:rPr>
              <w:t>阶段</w:t>
            </w:r>
          </w:p>
        </w:tc>
        <w:tc>
          <w:tcPr>
            <w:tcW w:w="2768" w:type="dxa"/>
            <w:vAlign w:val="center"/>
          </w:tcPr>
          <w:p w14:paraId="12A1A9C3">
            <w:pPr>
              <w:rPr>
                <w:b/>
                <w:bCs/>
              </w:rPr>
            </w:pPr>
            <w:r>
              <w:rPr>
                <w:rFonts w:hint="eastAsia"/>
                <w:b/>
              </w:rPr>
              <w:t>核心任务</w:t>
            </w:r>
          </w:p>
        </w:tc>
        <w:tc>
          <w:tcPr>
            <w:tcW w:w="2768" w:type="dxa"/>
            <w:vAlign w:val="center"/>
          </w:tcPr>
          <w:p w14:paraId="59A9BC5D">
            <w:pPr>
              <w:rPr>
                <w:b/>
                <w:bCs/>
              </w:rPr>
            </w:pPr>
            <w:r>
              <w:rPr>
                <w:rFonts w:hint="eastAsia"/>
                <w:b/>
              </w:rPr>
              <w:t>具体活动</w:t>
            </w:r>
          </w:p>
        </w:tc>
      </w:tr>
      <w:tr w14:paraId="58FAFBC2">
        <w:tc>
          <w:tcPr>
            <w:tcW w:w="2768" w:type="dxa"/>
            <w:vAlign w:val="center"/>
          </w:tcPr>
          <w:p w14:paraId="2BE2F8D9">
            <w:r>
              <w:rPr>
                <w:rFonts w:hint="eastAsia"/>
              </w:rPr>
              <w:t>需求与预研</w:t>
            </w:r>
          </w:p>
        </w:tc>
        <w:tc>
          <w:tcPr>
            <w:tcW w:w="2768" w:type="dxa"/>
            <w:vAlign w:val="center"/>
          </w:tcPr>
          <w:p w14:paraId="664BFA77">
            <w:r>
              <w:rPr>
                <w:rFonts w:hint="eastAsia"/>
              </w:rPr>
              <w:t>明确方向、细化需求</w:t>
            </w:r>
          </w:p>
        </w:tc>
        <w:tc>
          <w:tcPr>
            <w:tcW w:w="2768" w:type="dxa"/>
            <w:vAlign w:val="center"/>
          </w:tcPr>
          <w:p w14:paraId="2A932820">
            <w:r>
              <w:rPr>
                <w:rFonts w:hint="eastAsia"/>
              </w:rPr>
              <w:t>1. 拆解赛题要求，梳理数据获取与解读环节的真实痛点；2. 验证 SkillHub 技能覆盖度并完成技术选型；3. 确定七章二十一节报告结构与审核节点。</w:t>
            </w:r>
          </w:p>
        </w:tc>
      </w:tr>
      <w:tr w14:paraId="6EBA5B43">
        <w:tc>
          <w:tcPr>
            <w:tcW w:w="2768" w:type="dxa"/>
            <w:vAlign w:val="center"/>
          </w:tcPr>
          <w:p w14:paraId="3C2BCC3F">
            <w:r>
              <w:rPr>
                <w:rFonts w:hint="eastAsia"/>
              </w:rPr>
              <w:t>框架与契约</w:t>
            </w:r>
          </w:p>
        </w:tc>
        <w:tc>
          <w:tcPr>
            <w:tcW w:w="2768" w:type="dxa"/>
            <w:vAlign w:val="center"/>
          </w:tcPr>
          <w:p w14:paraId="6B84D685">
            <w:r>
              <w:rPr>
                <w:rFonts w:hint="eastAsia"/>
              </w:rPr>
              <w:t>搭好骨架、锁定契约</w:t>
            </w:r>
          </w:p>
        </w:tc>
        <w:tc>
          <w:tcPr>
            <w:tcW w:w="2768" w:type="dxa"/>
            <w:vAlign w:val="center"/>
          </w:tcPr>
          <w:p w14:paraId="1EA2ACE9">
            <w:r>
              <w:rPr>
                <w:rFonts w:hint="eastAsia"/>
              </w:rPr>
              <w:t>1. 建立前后端骨架与五阶段工作流；2. 定义公共 Schema 与证据编号规范；3. 打通一条可运行的端到端流程。</w:t>
            </w:r>
          </w:p>
        </w:tc>
      </w:tr>
      <w:tr w14:paraId="3C11168A">
        <w:tc>
          <w:tcPr>
            <w:tcW w:w="2768" w:type="dxa"/>
            <w:vAlign w:val="center"/>
          </w:tcPr>
          <w:p w14:paraId="4322A564">
            <w:r>
              <w:rPr>
                <w:rFonts w:hint="eastAsia"/>
              </w:rPr>
              <w:t>核心开发</w:t>
            </w:r>
          </w:p>
        </w:tc>
        <w:tc>
          <w:tcPr>
            <w:tcW w:w="2768" w:type="dxa"/>
            <w:vAlign w:val="center"/>
          </w:tcPr>
          <w:p w14:paraId="5C93718A">
            <w:r>
              <w:rPr>
                <w:rFonts w:hint="eastAsia"/>
              </w:rPr>
              <w:t>分模块开发、持续集成</w:t>
            </w:r>
          </w:p>
        </w:tc>
        <w:tc>
          <w:tcPr>
            <w:tcW w:w="2768" w:type="dxa"/>
            <w:vAlign w:val="center"/>
          </w:tcPr>
          <w:p w14:paraId="0F7A39F4">
            <w:r>
              <w:rPr>
                <w:rFonts w:hint="eastAsia"/>
              </w:rPr>
              <w:t>1. 五个智能体逐步实现并接入适配层；2. 实现人机协同审核、版本对比与证据查看；3. 完成双模板报告渲染与多格式导出。</w:t>
            </w:r>
          </w:p>
        </w:tc>
      </w:tr>
      <w:tr w14:paraId="6FCE2708">
        <w:tc>
          <w:tcPr>
            <w:tcW w:w="2768" w:type="dxa"/>
            <w:vAlign w:val="center"/>
          </w:tcPr>
          <w:p w14:paraId="11B0F563">
            <w:r>
              <w:rPr>
                <w:rFonts w:hint="eastAsia"/>
              </w:rPr>
              <w:t>质量与交付</w:t>
            </w:r>
          </w:p>
        </w:tc>
        <w:tc>
          <w:tcPr>
            <w:tcW w:w="2768" w:type="dxa"/>
            <w:vAlign w:val="center"/>
          </w:tcPr>
          <w:p w14:paraId="6B03C30D">
            <w:r>
              <w:rPr>
                <w:rFonts w:hint="eastAsia"/>
              </w:rPr>
              <w:t>全面测试、高质量交付</w:t>
            </w:r>
          </w:p>
        </w:tc>
        <w:tc>
          <w:tcPr>
            <w:tcW w:w="2768" w:type="dxa"/>
            <w:vAlign w:val="center"/>
          </w:tcPr>
          <w:p w14:paraId="6AD4A87B">
            <w:r>
              <w:rPr>
                <w:rFonts w:hint="eastAsia"/>
              </w:rPr>
              <w:t>1. 执行单元、契约、集成与真实链路测试；2. 整理用户手册与项目文档；3. 制作演示材料并完成交付验收。</w:t>
            </w:r>
          </w:p>
        </w:tc>
      </w:tr>
    </w:tbl>
    <w:p w14:paraId="4F4D1168">
      <w:pPr>
        <w:pStyle w:val="3"/>
        <w:keepNext w:val="0"/>
        <w:keepLines w:val="0"/>
        <w:widowControl/>
        <w:suppressLineNumbers w:val="0"/>
        <w:rPr>
          <w:rFonts w:hint="default" w:ascii="Times New Roman Regular" w:hAnsi="Times New Roman Regular" w:eastAsia="楷体" w:cs="Times New Roman Regular"/>
        </w:rPr>
      </w:pPr>
      <w:bookmarkStart w:id="35" w:name="_Toc305955147"/>
      <w:r>
        <w:rPr>
          <w:rFonts w:hint="default" w:ascii="Times New Roman Regular" w:hAnsi="Times New Roman Regular" w:eastAsia="楷体" w:cs="Times New Roman Regular"/>
        </w:rPr>
        <w:t>2.3 业务需求分析</w:t>
      </w:r>
      <w:bookmarkEnd w:id="35"/>
    </w:p>
    <w:p w14:paraId="3D400F55">
      <w:pPr>
        <w:pStyle w:val="4"/>
        <w:keepNext w:val="0"/>
        <w:keepLines w:val="0"/>
        <w:widowControl/>
        <w:suppressLineNumbers w:val="0"/>
        <w:rPr>
          <w:rFonts w:hint="default" w:ascii="Times New Roman Regular" w:hAnsi="Times New Roman Regular" w:eastAsia="楷体" w:cs="Times New Roman Regular"/>
        </w:rPr>
      </w:pPr>
      <w:bookmarkStart w:id="36" w:name="_Toc1112304711"/>
      <w:r>
        <w:rPr>
          <w:rFonts w:hint="default" w:ascii="Times New Roman Regular" w:hAnsi="Times New Roman Regular" w:eastAsia="楷体" w:cs="Times New Roman Regular"/>
        </w:rPr>
        <w:t>2.3.1 任务创建需求</w:t>
      </w:r>
      <w:bookmarkEnd w:id="36"/>
    </w:p>
    <w:p w14:paraId="4B3E59E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用户可以填写行业主题、研究时点、报告币种、关注问题、时间范围、重点企业、包含主题、排除主题、报告深度、审核阶段和输出格式。</w:t>
      </w:r>
    </w:p>
    <w:p w14:paraId="55F5CF3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系统需要对输入内容进行类型、长度和枚举校验，防止任意字段直接进入工作流。</w:t>
      </w:r>
    </w:p>
    <w:p w14:paraId="3688A9C5">
      <w:pPr>
        <w:pStyle w:val="4"/>
        <w:keepNext w:val="0"/>
        <w:keepLines w:val="0"/>
        <w:widowControl/>
        <w:suppressLineNumbers w:val="0"/>
        <w:rPr>
          <w:rFonts w:hint="default" w:ascii="Times New Roman Regular" w:hAnsi="Times New Roman Regular" w:eastAsia="楷体" w:cs="Times New Roman Regular"/>
        </w:rPr>
      </w:pPr>
      <w:bookmarkStart w:id="37" w:name="_Toc660130642"/>
      <w:r>
        <w:rPr>
          <w:rFonts w:hint="default" w:ascii="Times New Roman Regular" w:hAnsi="Times New Roman Regular" w:eastAsia="楷体" w:cs="Times New Roman Regular"/>
        </w:rPr>
        <w:t>2.3.2 数据获取需求</w:t>
      </w:r>
      <w:bookmarkEnd w:id="37"/>
    </w:p>
    <w:p w14:paraId="152CDF68">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系统至少支持以下六类核心能力：</w:t>
      </w:r>
    </w:p>
    <w:p w14:paraId="330DB499">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行业数据查询。</w:t>
      </w:r>
    </w:p>
    <w:p w14:paraId="5D3ADE7B">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公司财务数据查询。</w:t>
      </w:r>
    </w:p>
    <w:p w14:paraId="4CD4EA75">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宏观数据查询。</w:t>
      </w:r>
    </w:p>
    <w:p w14:paraId="08674295">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产业链分析。</w:t>
      </w:r>
    </w:p>
    <w:p w14:paraId="560B82AF">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研报搜索。</w:t>
      </w:r>
    </w:p>
    <w:p w14:paraId="537B757E">
      <w:pPr>
        <w:pStyle w:val="10"/>
        <w:keepNext w:val="0"/>
        <w:keepLines w:val="0"/>
        <w:widowControl/>
        <w:numPr>
          <w:ilvl w:val="0"/>
          <w:numId w:val="8"/>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新闻资讯搜索。</w:t>
      </w:r>
    </w:p>
    <w:p w14:paraId="42CF575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标准或深度模式还可以调用公告、事件、主营业务、板块成分和机构研究等增强能力。</w:t>
      </w:r>
    </w:p>
    <w:p w14:paraId="09A8AD05">
      <w:pPr>
        <w:pStyle w:val="4"/>
        <w:keepNext w:val="0"/>
        <w:keepLines w:val="0"/>
        <w:widowControl/>
        <w:suppressLineNumbers w:val="0"/>
        <w:rPr>
          <w:rFonts w:hint="default" w:ascii="Times New Roman Regular" w:hAnsi="Times New Roman Regular" w:eastAsia="楷体" w:cs="Times New Roman Regular"/>
        </w:rPr>
      </w:pPr>
      <w:bookmarkStart w:id="38" w:name="_Toc915179692"/>
      <w:r>
        <w:rPr>
          <w:rFonts w:hint="default" w:ascii="Times New Roman Regular" w:hAnsi="Times New Roman Regular" w:eastAsia="楷体" w:cs="Times New Roman Regular"/>
        </w:rPr>
        <w:t>2.3.3 数据解读需求</w:t>
      </w:r>
      <w:bookmarkEnd w:id="38"/>
    </w:p>
    <w:p w14:paraId="25FAA87E">
      <w:pPr>
        <w:keepNext w:val="0"/>
        <w:keepLines w:val="0"/>
        <w:widowControl/>
        <w:suppressLineNumbers w:val="0"/>
        <w:ind w:firstLine="480" w:firstLineChars="200"/>
        <w:jc w:val="left"/>
      </w:pPr>
      <w:r>
        <w:rPr>
          <w:rFonts w:hint="eastAsia" w:ascii="楷体" w:hAnsi="楷体" w:eastAsia="楷体" w:cs="楷体"/>
          <w:i w:val="0"/>
          <w:iCs w:val="0"/>
          <w:caps w:val="0"/>
          <w:color w:val="0F1115"/>
          <w:spacing w:val="0"/>
          <w:kern w:val="0"/>
          <w:sz w:val="24"/>
          <w:szCs w:val="24"/>
          <w:u w:val="none"/>
          <w:shd w:val="clear" w:fill="FFFFFF"/>
          <w:lang w:val="en-US" w:eastAsia="zh-CN" w:bidi="ar"/>
        </w:rPr>
        <w:t>这一阶段的输入是结构化数据集，输出是解读报告。系统先识别关键指标、趋势、异常值、数据冲突和口径问题，再围绕十个方向组织结论：核心结论、竞争格局、成长性、宏观与政策传导、产业链、财务质量、三种情景、风险及待验证事项、图表建议、数据质量问题。</w:t>
      </w:r>
    </w:p>
    <w:p w14:paraId="6FB48616">
      <w:pPr>
        <w:pStyle w:val="4"/>
        <w:keepNext w:val="0"/>
        <w:keepLines w:val="0"/>
        <w:widowControl/>
        <w:suppressLineNumbers w:val="0"/>
        <w:rPr>
          <w:rFonts w:hint="default" w:ascii="Times New Roman Regular" w:hAnsi="Times New Roman Regular" w:eastAsia="楷体" w:cs="Times New Roman Regular"/>
        </w:rPr>
      </w:pPr>
      <w:bookmarkStart w:id="39" w:name="_Toc1147203630"/>
      <w:r>
        <w:rPr>
          <w:rFonts w:hint="default" w:ascii="Times New Roman Regular" w:hAnsi="Times New Roman Regular" w:eastAsia="楷体" w:cs="Times New Roman Regular"/>
        </w:rPr>
        <w:t>2.3.4 报告生成需求</w:t>
      </w:r>
      <w:bookmarkEnd w:id="39"/>
    </w:p>
    <w:p w14:paraId="13D4F0C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系统按照七章二十一节结构生成报告，七章分别为：</w:t>
      </w:r>
    </w:p>
    <w:p w14:paraId="73C52C0D">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行业定义与研究基础。</w:t>
      </w:r>
    </w:p>
    <w:p w14:paraId="562C0D73">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市场规模与成长性。</w:t>
      </w:r>
    </w:p>
    <w:p w14:paraId="09B71578">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产业链与利润分配。</w:t>
      </w:r>
    </w:p>
    <w:p w14:paraId="2DF0DB21">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竞争格局。</w:t>
      </w:r>
    </w:p>
    <w:p w14:paraId="3125D4DC">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财务质量与估值参照。</w:t>
      </w:r>
    </w:p>
    <w:p w14:paraId="7082E97C">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宏观、政策与技术催化。</w:t>
      </w:r>
    </w:p>
    <w:p w14:paraId="5B2842A2">
      <w:pPr>
        <w:pStyle w:val="10"/>
        <w:keepNext w:val="0"/>
        <w:keepLines w:val="0"/>
        <w:widowControl/>
        <w:numPr>
          <w:ilvl w:val="0"/>
          <w:numId w:val="9"/>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情景、风险与研究结论。</w:t>
      </w:r>
    </w:p>
    <w:p w14:paraId="484882A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每章包含三个小节，并关联对应的结论、证据和图表。</w:t>
      </w:r>
    </w:p>
    <w:p w14:paraId="162DD68B">
      <w:pPr>
        <w:pStyle w:val="4"/>
        <w:keepNext w:val="0"/>
        <w:keepLines w:val="0"/>
        <w:widowControl/>
        <w:suppressLineNumbers w:val="0"/>
        <w:rPr>
          <w:rFonts w:hint="default" w:ascii="Times New Roman Regular" w:hAnsi="Times New Roman Regular" w:eastAsia="楷体" w:cs="Times New Roman Regular"/>
        </w:rPr>
      </w:pPr>
      <w:bookmarkStart w:id="40" w:name="_Toc943226644"/>
      <w:r>
        <w:rPr>
          <w:rFonts w:hint="default" w:ascii="Times New Roman Regular" w:hAnsi="Times New Roman Regular" w:eastAsia="楷体" w:cs="Times New Roman Regular"/>
        </w:rPr>
        <w:t>2.3.5 人机协同需求</w:t>
      </w:r>
      <w:bookmarkEnd w:id="40"/>
    </w:p>
    <w:p w14:paraId="6A30A8CA">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用户可以对各阶段执行通过、修改、重新生成、接受风险继续或取消。</w:t>
      </w:r>
    </w:p>
    <w:p w14:paraId="5860E899">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修改数据获取阶段时，可调整关键词、行业范围、时间范围、数据来源和指标；修改图表阶段时，可调整图表标题、类型、数据集和主题；修改章节阶段时，可以选择整章或指定小节重写。</w:t>
      </w:r>
    </w:p>
    <w:p w14:paraId="40DCC073">
      <w:pPr>
        <w:pStyle w:val="3"/>
        <w:keepNext w:val="0"/>
        <w:keepLines w:val="0"/>
        <w:widowControl/>
        <w:suppressLineNumbers w:val="0"/>
        <w:rPr>
          <w:rFonts w:hint="default" w:ascii="Times New Roman Regular" w:hAnsi="Times New Roman Regular" w:eastAsia="楷体" w:cs="Times New Roman Regular"/>
        </w:rPr>
      </w:pPr>
      <w:bookmarkStart w:id="41" w:name="_Toc85923554"/>
      <w:r>
        <w:rPr>
          <w:rFonts w:hint="default" w:ascii="Times New Roman Regular" w:hAnsi="Times New Roman Regular" w:eastAsia="楷体" w:cs="Times New Roman Regular"/>
        </w:rPr>
        <w:t>2.4 核心业务流程</w:t>
      </w:r>
      <w:bookmarkEnd w:id="41"/>
    </w:p>
    <w:p w14:paraId="23CCD5F1">
      <w:pPr>
        <w:pStyle w:val="4"/>
        <w:keepNext w:val="0"/>
        <w:keepLines w:val="0"/>
        <w:widowControl/>
        <w:suppressLineNumbers w:val="0"/>
        <w:rPr>
          <w:rFonts w:hint="default" w:ascii="Times New Roman Regular" w:hAnsi="Times New Roman Regular" w:eastAsia="楷体" w:cs="Times New Roman Regular"/>
        </w:rPr>
      </w:pPr>
      <w:bookmarkStart w:id="42" w:name="_Toc1008161294"/>
      <w:r>
        <w:rPr>
          <w:rFonts w:hint="default" w:ascii="Times New Roman Regular" w:hAnsi="Times New Roman Regular" w:eastAsia="楷体" w:cs="Times New Roman Regular"/>
        </w:rPr>
        <w:t>2.4.1 正常流程</w:t>
      </w:r>
      <w:bookmarkEnd w:id="42"/>
    </w:p>
    <w:p w14:paraId="733FC3D3">
      <w:pPr>
        <w:ind w:firstLine="480" w:firstLineChars="200"/>
        <w:rPr>
          <w:rFonts w:hint="eastAsia" w:ascii="Times New Roman Regular" w:hAnsi="Times New Roman Regular" w:eastAsia="楷体" w:cs="Times New Roman Regular"/>
          <w:sz w:val="24"/>
          <w:szCs w:val="24"/>
          <w:lang w:val="en-US" w:eastAsia="zh-CN"/>
        </w:rPr>
      </w:pPr>
      <w:r>
        <w:rPr>
          <w:rFonts w:hint="eastAsia" w:ascii="Times New Roman Regular" w:hAnsi="Times New Roman Regular" w:eastAsia="楷体" w:cs="Times New Roman Regular"/>
          <w:sz w:val="24"/>
          <w:szCs w:val="24"/>
          <w:lang w:val="en-US" w:eastAsia="zh-CN"/>
        </w:rPr>
        <w:t>正常流程：</w:t>
      </w:r>
    </w:p>
    <w:p w14:paraId="093C05AF">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用户创建行业研究任务。</w:t>
      </w:r>
    </w:p>
    <w:p w14:paraId="4C1239E5">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系统生成任务编号并进入运行状态。</w:t>
      </w:r>
    </w:p>
    <w:p w14:paraId="7B248953">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Agent 1 调用 SkillHub 获取数据并生成证据包。</w:t>
      </w:r>
    </w:p>
    <w:p w14:paraId="41C85CA5">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用户审核数据范围、数据缺口和冲突信息。Agent 2 进行固定计算、口径检查和数据解读。</w:t>
      </w:r>
    </w:p>
    <w:p w14:paraId="103ACA85">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用户审核核心结论、情景和风险。</w:t>
      </w:r>
    </w:p>
    <w:p w14:paraId="35147E81">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Agent 3 生成图表配置和图表引用。</w:t>
      </w:r>
    </w:p>
    <w:p w14:paraId="16ABEA4C">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Agent 4 生成七章二十一节正文。</w:t>
      </w:r>
    </w:p>
    <w:p w14:paraId="3C685BCA">
      <w:pPr>
        <w:numPr>
          <w:ilvl w:val="0"/>
          <w:numId w:val="10"/>
        </w:numPr>
        <w:ind w:firstLine="480" w:firstLineChars="200"/>
        <w:rPr>
          <w:rFonts w:hint="default" w:ascii="Times New Roman Regular" w:hAnsi="Times New Roman Regular" w:eastAsia="楷体" w:cs="Times New Roman Regular"/>
          <w:sz w:val="24"/>
          <w:szCs w:val="24"/>
        </w:rPr>
      </w:pPr>
      <w:r>
        <w:rPr>
          <w:rFonts w:hint="default" w:ascii="Times New Roman Regular" w:hAnsi="Times New Roman Regular" w:eastAsia="楷体" w:cs="Times New Roman Regular"/>
          <w:sz w:val="24"/>
          <w:szCs w:val="24"/>
        </w:rPr>
        <w:t>Agent 5 完成报告融合、质量评分和多格式导出。</w:t>
      </w:r>
    </w:p>
    <w:p w14:paraId="62903BF3">
      <w:pPr>
        <w:numPr>
          <w:ilvl w:val="0"/>
          <w:numId w:val="10"/>
        </w:numPr>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sz w:val="24"/>
          <w:szCs w:val="24"/>
        </w:rPr>
        <w:t>用户预览并下载最终报告。</w:t>
      </w:r>
    </w:p>
    <w:p w14:paraId="2897EF93">
      <w:pPr>
        <w:pStyle w:val="4"/>
        <w:keepNext w:val="0"/>
        <w:keepLines w:val="0"/>
        <w:widowControl/>
        <w:suppressLineNumbers w:val="0"/>
        <w:rPr>
          <w:rFonts w:hint="default" w:ascii="Times New Roman Regular" w:hAnsi="Times New Roman Regular" w:eastAsia="楷体" w:cs="Times New Roman Regular"/>
        </w:rPr>
      </w:pPr>
      <w:bookmarkStart w:id="43" w:name="_Toc520893428"/>
      <w:r>
        <w:rPr>
          <w:rFonts w:hint="default" w:ascii="Times New Roman Regular" w:hAnsi="Times New Roman Regular" w:eastAsia="楷体" w:cs="Times New Roman Regular"/>
        </w:rPr>
        <w:t>2.4.2 异常流程</w:t>
      </w:r>
      <w:bookmarkEnd w:id="43"/>
    </w:p>
    <w:p w14:paraId="49E73CF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 SkillHub 出现鉴权失败、限流、超时或空结果时，系统记录结构化错误和数据缺口，不使用测试数据替代。</w:t>
      </w:r>
    </w:p>
    <w:p w14:paraId="03F6C228">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当关键数据全部不可用时，任务停留在人工复核阶段；当个别指定指标缺失时，用户可以调整检索条件重新执行，也可以在确认风险后继续生成带警示报告。</w:t>
      </w:r>
    </w:p>
    <w:p w14:paraId="038E3700">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当模型返回的 JSON 不符合契约时，系统允许一次受控格式修复。修复过程中不得改变原有数字、事实和证据编号。再次失败后，系统停止该阶段或生成明确标注风险的兜底结果。</w:t>
      </w:r>
    </w:p>
    <w:p w14:paraId="7992CE9E">
      <w:pPr>
        <w:pStyle w:val="4"/>
        <w:keepNext w:val="0"/>
        <w:keepLines w:val="0"/>
        <w:widowControl/>
        <w:suppressLineNumbers w:val="0"/>
        <w:rPr>
          <w:rFonts w:hint="default" w:ascii="Times New Roman Regular" w:hAnsi="Times New Roman Regular" w:eastAsia="楷体" w:cs="Times New Roman Regular"/>
        </w:rPr>
      </w:pPr>
      <w:bookmarkStart w:id="44" w:name="_Toc1512499224"/>
      <w:r>
        <w:rPr>
          <w:rFonts w:hint="default" w:ascii="Times New Roman Regular" w:hAnsi="Times New Roman Regular" w:eastAsia="楷体" w:cs="Times New Roman Regular"/>
        </w:rPr>
        <w:t>2.4.3 修订流程</w:t>
      </w:r>
      <w:bookmarkEnd w:id="44"/>
    </w:p>
    <w:p w14:paraId="0C14B57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每次修改和重新生成都会增加修订编号。系统保留历史版本，用户可以查看不同版本之间的差异。</w:t>
      </w:r>
    </w:p>
    <w:p w14:paraId="6259424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如果上游研究范围或证据发生变化，下游报告需要重新生成，避免旧报告继续引用已经失效的数据。</w:t>
      </w:r>
    </w:p>
    <w:p w14:paraId="1258A81F">
      <w:pPr>
        <w:pStyle w:val="3"/>
        <w:keepNext w:val="0"/>
        <w:keepLines w:val="0"/>
        <w:widowControl/>
        <w:suppressLineNumbers w:val="0"/>
        <w:rPr>
          <w:rFonts w:hint="default" w:ascii="Times New Roman Regular" w:hAnsi="Times New Roman Regular" w:eastAsia="楷体" w:cs="Times New Roman Regular"/>
        </w:rPr>
      </w:pPr>
      <w:bookmarkStart w:id="45" w:name="_Toc810528229"/>
      <w:r>
        <w:rPr>
          <w:rFonts w:hint="default" w:ascii="Times New Roman Regular" w:hAnsi="Times New Roman Regular" w:eastAsia="楷体" w:cs="Times New Roman Regular"/>
        </w:rPr>
        <w:t>2.5 功能模块分析</w:t>
      </w:r>
      <w:bookmarkEnd w:id="45"/>
    </w:p>
    <w:p w14:paraId="48B32441">
      <w:pPr>
        <w:pStyle w:val="4"/>
        <w:keepNext w:val="0"/>
        <w:keepLines w:val="0"/>
        <w:widowControl/>
        <w:suppressLineNumbers w:val="0"/>
        <w:rPr>
          <w:rFonts w:hint="default" w:ascii="Times New Roman Regular" w:hAnsi="Times New Roman Regular" w:eastAsia="楷体" w:cs="Times New Roman Regular"/>
        </w:rPr>
      </w:pPr>
      <w:bookmarkStart w:id="46" w:name="_Toc1059171882"/>
      <w:r>
        <w:rPr>
          <w:rFonts w:hint="default" w:ascii="Times New Roman Regular" w:hAnsi="Times New Roman Regular" w:eastAsia="楷体" w:cs="Times New Roman Regular"/>
        </w:rPr>
        <w:t>2.5.1 任务管理模块</w:t>
      </w:r>
      <w:bookmarkEnd w:id="46"/>
    </w:p>
    <w:p w14:paraId="719EA9F0">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负责任务创建、任务列表、任务详情、状态查询、历史修订和取消操作。</w:t>
      </w:r>
    </w:p>
    <w:p w14:paraId="251DAC83">
      <w:pPr>
        <w:pStyle w:val="4"/>
        <w:keepNext w:val="0"/>
        <w:keepLines w:val="0"/>
        <w:widowControl/>
        <w:suppressLineNumbers w:val="0"/>
        <w:rPr>
          <w:rFonts w:hint="default" w:ascii="Times New Roman Regular" w:hAnsi="Times New Roman Regular" w:eastAsia="楷体" w:cs="Times New Roman Regular"/>
        </w:rPr>
      </w:pPr>
      <w:bookmarkStart w:id="47" w:name="_Toc1009870791"/>
      <w:r>
        <w:rPr>
          <w:rFonts w:hint="default" w:ascii="Times New Roman Regular" w:hAnsi="Times New Roman Regular" w:eastAsia="楷体" w:cs="Times New Roman Regular"/>
        </w:rPr>
        <w:t>2.5.2 数据采集与证据模块</w:t>
      </w:r>
      <w:bookmarkEnd w:id="47"/>
    </w:p>
    <w:p w14:paraId="72C7315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负责查询计划、技能调用、字段清洗、数据归一、重复数据合并、冲突保留、来源记录和证据生成。</w:t>
      </w:r>
    </w:p>
    <w:p w14:paraId="1523CB76">
      <w:pPr>
        <w:pStyle w:val="4"/>
        <w:keepNext w:val="0"/>
        <w:keepLines w:val="0"/>
        <w:widowControl/>
        <w:suppressLineNumbers w:val="0"/>
        <w:rPr>
          <w:rFonts w:hint="default" w:ascii="Times New Roman Regular" w:hAnsi="Times New Roman Regular" w:eastAsia="楷体" w:cs="Times New Roman Regular"/>
        </w:rPr>
      </w:pPr>
      <w:bookmarkStart w:id="48" w:name="_Toc1335122096"/>
      <w:r>
        <w:rPr>
          <w:rFonts w:hint="default" w:ascii="Times New Roman Regular" w:hAnsi="Times New Roman Regular" w:eastAsia="楷体" w:cs="Times New Roman Regular"/>
        </w:rPr>
        <w:t>2.5.3 数据解读模块</w:t>
      </w:r>
      <w:bookmarkEnd w:id="48"/>
    </w:p>
    <w:p w14:paraId="6D3EFE38">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负责确定性计算、异常识别、财务勾稽、研究维度分析、风险分析和图表候选生成。</w:t>
      </w:r>
    </w:p>
    <w:p w14:paraId="216212E2">
      <w:pPr>
        <w:pStyle w:val="4"/>
        <w:keepNext w:val="0"/>
        <w:keepLines w:val="0"/>
        <w:widowControl/>
        <w:suppressLineNumbers w:val="0"/>
        <w:rPr>
          <w:rFonts w:hint="default" w:ascii="Times New Roman Regular" w:hAnsi="Times New Roman Regular" w:eastAsia="楷体" w:cs="Times New Roman Regular"/>
        </w:rPr>
      </w:pPr>
      <w:bookmarkStart w:id="49" w:name="_Toc340439969"/>
      <w:r>
        <w:rPr>
          <w:rFonts w:hint="default" w:ascii="Times New Roman Regular" w:hAnsi="Times New Roman Regular" w:eastAsia="楷体" w:cs="Times New Roman Regular"/>
        </w:rPr>
        <w:t>2.5.4 图表生成模块</w:t>
      </w:r>
      <w:bookmarkEnd w:id="49"/>
    </w:p>
    <w:p w14:paraId="3737C88D">
      <w:pPr>
        <w:pStyle w:val="10"/>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项目当前支持十三类正式图表：</w:t>
      </w:r>
    </w:p>
    <w:p w14:paraId="752093F8">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折线图。</w:t>
      </w:r>
    </w:p>
    <w:p w14:paraId="67A370AC">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柱状图。</w:t>
      </w:r>
    </w:p>
    <w:p w14:paraId="62F56CE6">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涨跌幅对比柱状图。</w:t>
      </w:r>
    </w:p>
    <w:p w14:paraId="4D0DC705">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饼图。</w:t>
      </w:r>
    </w:p>
    <w:p w14:paraId="5E540F22">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雷达图。</w:t>
      </w:r>
    </w:p>
    <w:p w14:paraId="210052B6">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产业链图。</w:t>
      </w:r>
    </w:p>
    <w:p w14:paraId="0D599D41">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组合图。</w:t>
      </w:r>
    </w:p>
    <w:p w14:paraId="04475328">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面积图。</w:t>
      </w:r>
    </w:p>
    <w:p w14:paraId="7E7202C5">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散点图。</w:t>
      </w:r>
    </w:p>
    <w:p w14:paraId="026C9C0D">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气泡图。</w:t>
      </w:r>
    </w:p>
    <w:p w14:paraId="4DEB8D8F">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热力图。</w:t>
      </w:r>
    </w:p>
    <w:p w14:paraId="398D0518">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箱线图。</w:t>
      </w:r>
    </w:p>
    <w:p w14:paraId="1B6DB586">
      <w:pPr>
        <w:keepNext w:val="0"/>
        <w:keepLines w:val="0"/>
        <w:widowControl/>
        <w:numPr>
          <w:ilvl w:val="0"/>
          <w:numId w:val="11"/>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矩形树图。</w:t>
      </w:r>
    </w:p>
    <w:p w14:paraId="3B4F567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图表模块坚持“无数据不画图”，并对单位、零轴、缺失率和数据完整性进行检查。</w:t>
      </w:r>
    </w:p>
    <w:p w14:paraId="37AFE515">
      <w:pPr>
        <w:pStyle w:val="4"/>
        <w:keepNext w:val="0"/>
        <w:keepLines w:val="0"/>
        <w:widowControl/>
        <w:suppressLineNumbers w:val="0"/>
        <w:rPr>
          <w:rFonts w:hint="default" w:ascii="Times New Roman Regular" w:hAnsi="Times New Roman Regular" w:eastAsia="楷体" w:cs="Times New Roman Regular"/>
        </w:rPr>
      </w:pPr>
      <w:bookmarkStart w:id="50" w:name="_Toc878123375"/>
      <w:r>
        <w:rPr>
          <w:rFonts w:hint="default" w:ascii="Times New Roman Regular" w:hAnsi="Times New Roman Regular" w:eastAsia="楷体" w:cs="Times New Roman Regular"/>
        </w:rPr>
        <w:t>2.5.5 章节撰写模块</w:t>
      </w:r>
      <w:bookmarkEnd w:id="50"/>
    </w:p>
    <w:p w14:paraId="56E9412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负责七章二十一节正文生成、引用绑定、图表引用、整章重生成和指定小节修改。</w:t>
      </w:r>
    </w:p>
    <w:p w14:paraId="07A0EE37">
      <w:pPr>
        <w:pStyle w:val="4"/>
        <w:keepNext w:val="0"/>
        <w:keepLines w:val="0"/>
        <w:widowControl/>
        <w:suppressLineNumbers w:val="0"/>
        <w:rPr>
          <w:rFonts w:hint="default" w:ascii="Times New Roman Regular" w:hAnsi="Times New Roman Regular" w:eastAsia="楷体" w:cs="Times New Roman Regular"/>
        </w:rPr>
      </w:pPr>
      <w:bookmarkStart w:id="51" w:name="_Toc1111941441"/>
      <w:r>
        <w:rPr>
          <w:rFonts w:hint="default" w:ascii="Times New Roman Regular" w:hAnsi="Times New Roman Regular" w:eastAsia="楷体" w:cs="Times New Roman Regular"/>
        </w:rPr>
        <w:t>2.5.6 报告融合模块</w:t>
      </w:r>
      <w:bookmarkEnd w:id="51"/>
    </w:p>
    <w:p w14:paraId="65102877">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负责统一报告结构、来源编号、图文关系、质量附录和多格式输出。Markdown、HTML 和 PDF 由同一个报告事实视图驱动，避免不同格式之间出现内容不一致。</w:t>
      </w:r>
    </w:p>
    <w:p w14:paraId="1041798D">
      <w:pPr>
        <w:pStyle w:val="4"/>
        <w:keepNext w:val="0"/>
        <w:keepLines w:val="0"/>
        <w:widowControl/>
        <w:suppressLineNumbers w:val="0"/>
        <w:rPr>
          <w:rFonts w:hint="default" w:ascii="Times New Roman Regular" w:hAnsi="Times New Roman Regular" w:eastAsia="楷体" w:cs="Times New Roman Regular"/>
        </w:rPr>
      </w:pPr>
      <w:bookmarkStart w:id="52" w:name="_Toc997102693"/>
      <w:r>
        <w:rPr>
          <w:rFonts w:hint="default" w:ascii="Times New Roman Regular" w:hAnsi="Times New Roman Regular" w:eastAsia="楷体" w:cs="Times New Roman Regular"/>
        </w:rPr>
        <w:t>2.5.7 审核工作台</w:t>
      </w:r>
      <w:bookmarkEnd w:id="52"/>
    </w:p>
    <w:p w14:paraId="568A85F0">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工作台展示五阶段进度、阶段摘要、证据表、结论列表、质量指标、图表、历史修订和报告产物。</w:t>
      </w:r>
    </w:p>
    <w:p w14:paraId="2E2A87EB">
      <w:pPr>
        <w:pStyle w:val="3"/>
        <w:keepNext w:val="0"/>
        <w:keepLines w:val="0"/>
        <w:widowControl/>
        <w:suppressLineNumbers w:val="0"/>
        <w:rPr>
          <w:rFonts w:hint="default" w:ascii="Times New Roman Regular" w:hAnsi="Times New Roman Regular" w:eastAsia="楷体" w:cs="Times New Roman Regular"/>
        </w:rPr>
      </w:pPr>
      <w:bookmarkStart w:id="53" w:name="_Toc1776018147"/>
      <w:bookmarkEnd w:id="53"/>
      <w:bookmarkStart w:id="54" w:name="_Toc1490063710"/>
      <w:r>
        <w:rPr>
          <w:rFonts w:hint="default" w:ascii="Times New Roman Regular" w:hAnsi="Times New Roman Regular" w:eastAsia="楷体" w:cs="Times New Roman Regular"/>
        </w:rPr>
        <w:t>2.6 运行环境</w:t>
      </w:r>
      <w:bookmarkEnd w:id="54"/>
    </w:p>
    <w:p w14:paraId="03072D06">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后端采用 Python 3.12、FastAPI、Pydantic 和 Playwright；前端采用 Vue 3、TypeScript、Vite、Pinia、Element Plus 和 ECharts。</w:t>
      </w:r>
    </w:p>
    <w:p w14:paraId="13F52B7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当前版本可采用单机单 Worker 部署，建议配置 2—4 核 CPU、4—8 GB 内存和不少于 20 GB 可用磁盘。任务状态和报告产物目录需要持久化保存。</w:t>
      </w:r>
    </w:p>
    <w:p w14:paraId="73155C91">
      <w:pPr>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B7CE01">
      <w:pPr>
        <w:pStyle w:val="2"/>
        <w:keepNext w:val="0"/>
        <w:keepLines w:val="0"/>
        <w:widowControl/>
        <w:suppressLineNumbers w:val="0"/>
        <w:jc w:val="center"/>
        <w:rPr>
          <w:rFonts w:hint="default" w:ascii="Times New Roman Regular" w:hAnsi="Times New Roman Regular" w:eastAsia="楷体" w:cs="Times New Roman Regular"/>
        </w:rPr>
      </w:pPr>
    </w:p>
    <w:p w14:paraId="54DD1E81">
      <w:pPr>
        <w:pStyle w:val="2"/>
        <w:keepNext w:val="0"/>
        <w:keepLines w:val="0"/>
        <w:widowControl/>
        <w:suppressLineNumbers w:val="0"/>
        <w:jc w:val="center"/>
        <w:rPr>
          <w:rFonts w:hint="default" w:ascii="Times New Roman Regular" w:hAnsi="Times New Roman Regular" w:eastAsia="楷体" w:cs="Times New Roman Regular"/>
        </w:rPr>
      </w:pPr>
      <w:bookmarkStart w:id="55" w:name="_Toc1693966303"/>
      <w:r>
        <w:rPr>
          <w:rFonts w:hint="default" w:ascii="Times New Roman Regular" w:hAnsi="Times New Roman Regular" w:eastAsia="楷体" w:cs="Times New Roman Regular"/>
        </w:rPr>
        <w:t>3 技术路线及实现方案</w:t>
      </w:r>
      <w:bookmarkEnd w:id="55"/>
    </w:p>
    <w:p w14:paraId="0183E976">
      <w:pPr>
        <w:pStyle w:val="3"/>
        <w:keepNext/>
        <w:keepLines/>
      </w:pPr>
      <w:bookmarkStart w:id="56" w:name="_Toc480385826"/>
      <w:bookmarkEnd w:id="56"/>
      <w:bookmarkStart w:id="57" w:name="_Toc1300946242"/>
      <w:r>
        <w:rPr>
          <w:rFonts w:hint="eastAsia"/>
        </w:rPr>
        <w:t>3.1 总体技术架构</w:t>
      </w:r>
      <w:bookmarkEnd w:id="57"/>
    </w:p>
    <w:p w14:paraId="6C842456">
      <w:pPr>
        <w:pStyle w:val="10"/>
      </w:pPr>
      <w:r>
        <w:rPr>
          <w:rFonts w:hint="eastAsia"/>
        </w:rPr>
        <w:t>系统采用分层架构而非单体实现，核心考量是：行业研究链路长、参与角色多，一旦把数据获取、计算、渲染与排版混在一起，任何一处的改动都会牵动全局，且无法定位问题出在哪一层。分层之后，每一层只解决一类问题、只暴露一类接口，既便于独立验证，也让"模型不可用"这类外部风险被限制在可控范围内。系统共分五层，各层职责与边界如下，如图 3.1 所示：</w:t>
      </w:r>
    </w:p>
    <w:p w14:paraId="3F8431FC">
      <w:pPr>
        <w:pStyle w:val="10"/>
        <w:numPr>
          <w:ilvl w:val="0"/>
          <w:numId w:val="12"/>
        </w:numPr>
      </w:pPr>
      <w:r>
        <w:rPr>
          <w:rFonts w:hint="eastAsia"/>
        </w:rPr>
        <w:t>交互层（Vue 3 人机协同工作台）：承担全部人机交互职责，包括任务创建、五阶段进度追踪、证据查看、图表浏览、报告阅读与产物下载。该层只消费后端下发的结构化契约，不内嵌任何业务判断逻辑；换句话说，界面上呈现的"风险等级""覆盖度""质量分"都来自后端计算结果，前端只负责展示，避免同一套口径在两处各算一遍。</w:t>
      </w:r>
    </w:p>
    <w:p w14:paraId="1516B702">
      <w:pPr>
        <w:pStyle w:val="10"/>
        <w:numPr>
          <w:ilvl w:val="0"/>
          <w:numId w:val="12"/>
        </w:numPr>
      </w:pPr>
      <w:r>
        <w:rPr>
          <w:rFonts w:hint="eastAsia"/>
        </w:rPr>
        <w:t>接口与安全层（FastAPI）：统一承接 HTTP 请求，负责鉴权、限流、输入校验与审计记录。所有业务接口使用 Bearer Token 鉴权，任务读取、审核、取消与产物下载均校验任务归属，防止越权访问他人任务；请求字段通过 Pydantic 模型做白名单校验，未声明字段一律拒绝，避免任意字段直接进入工作流。</w:t>
      </w:r>
    </w:p>
    <w:p w14:paraId="5B84F82A">
      <w:pPr>
        <w:pStyle w:val="10"/>
        <w:numPr>
          <w:ilvl w:val="0"/>
          <w:numId w:val="12"/>
        </w:numPr>
      </w:pPr>
      <w:r>
        <w:rPr>
          <w:rFonts w:hint="eastAsia"/>
        </w:rPr>
        <w:t>工作流编排层（自研状态机）：负责五阶段的推进、暂停与恢复。它持有流水线的当前阶段与各阶段状态，决定"下一个跑谁、什么时候停下来等人工审核、什么时候允许重跑"。选择自研状态机而非通用编排框架，是因为本项目对"阶段产物必须落盘、审核门必须可配、修订必须留痕"有强约束，自研实现更便于把这些约束做成显式代码。</w:t>
      </w:r>
    </w:p>
    <w:p w14:paraId="4A725ED8">
      <w:pPr>
        <w:pStyle w:val="10"/>
        <w:numPr>
          <w:ilvl w:val="0"/>
          <w:numId w:val="12"/>
        </w:numPr>
      </w:pPr>
      <w:r>
        <w:rPr>
          <w:rFonts w:hint="eastAsia"/>
        </w:rPr>
        <w:t>智能体与领域层（五个智能体）：数据获取、数据解读、图表生成、章节撰写和报告融合五个阶段各自独立实现，彼此之间只通过明确定义的数据契约通信，不共享内存状态、不互相直接调用。这一约束带来的直接好处是：任一阶段可以单独重跑、单独测试、单独替换，而不会影响其他阶段的既有产物。</w:t>
      </w:r>
    </w:p>
    <w:p w14:paraId="71B6E73E">
      <w:pPr>
        <w:pStyle w:val="10"/>
        <w:numPr>
          <w:ilvl w:val="0"/>
          <w:numId w:val="12"/>
        </w:numPr>
      </w:pPr>
      <w:r>
        <w:rPr>
          <w:rFonts w:hint="eastAsia"/>
        </w:rPr>
        <w:t>集成与基础设施层：封装 SkillHub、模型服务、状态存储、产物存储与 PDF 渲染等外部依赖。外部数据和模型必须经由工具网关或模型网关调用，业务模块不得绕过网关直接访问外部服务，从而保证每一次外部调用都带有超时、重试、预算与脱敏日志记录。</w:t>
      </w:r>
    </w:p>
    <w:p w14:paraId="4DF6225D">
      <w:pPr>
        <w:pStyle w:val="10"/>
      </w:pPr>
      <w:r>
        <w:rPr>
          <w:rFonts w:hint="eastAsia"/>
        </w:rPr>
        <w:t>系统依赖方向严格保持为 API → Workflow → Agents → Integration Protocols，反向依赖一律禁止。这条规则看似抽象，实际作用很具体：它意味着智能体层无法感知 HTTP、无法直接读写磁盘、也无法自行决定调用哪个外部服务，所有副作用都必须经由下层协议显式暴露。当需要替换数据源、更换模型供应商或调整存储方案时，改动被限制在集成层内部，上层业务代码不需要同步修改。</w:t>
      </w:r>
    </w:p>
    <w:p w14:paraId="5F360BD6">
      <w:pPr>
        <w:pStyle w:val="10"/>
      </w:pPr>
      <w:r>
        <w:rPr>
          <w:rFonts w:hint="eastAsia"/>
        </w:rPr>
        <w:t>技术选型上，后端采用 Python、FastAPI、Pydantic 与 Playwright，前端采用 Vue 3、TypeScript、Vite、Pinia、Element Plus 与 ECharts。跨端一致性通过共享的 JSON Schema 契约保障——后端 Pydantic 模型与前端 TypeScript 类型由同一份契约推导，前后端字段名称、枚举取值、可空性完全对齐，配套契约测试在每次改动后自动校验两端是否仍然一致，从机制上消除"后端加了字段前端不知道""前端传了后端不认的枚举"这类联调故障。</w:t>
      </w:r>
    </w:p>
    <w:p w14:paraId="7ACB2C4C">
      <w:pPr>
        <w:pStyle w:val="3"/>
        <w:keepNext/>
        <w:keepLines/>
      </w:pPr>
      <w:bookmarkStart w:id="58" w:name="_Toc1472479187"/>
      <w:r>
        <w:rPr>
          <w:rFonts w:hint="eastAsia"/>
        </w:rPr>
        <w:t>3.2 Agent 1：数据获取智能体</w:t>
      </w:r>
      <w:bookmarkEnd w:id="58"/>
    </w:p>
    <w:p w14:paraId="29121CE8">
      <w:pPr>
        <w:pStyle w:val="10"/>
      </w:pPr>
      <w:r>
        <w:rPr>
          <w:rFonts w:hint="eastAsia"/>
        </w:rPr>
        <w:t>数据获取智能体是整条五阶段流水线的事实入口，以"可核算的交给代码、可查证的才写成事实"为核心设计原则，构建了以同花顺问财 SkillHub 为唯一数据底座、大模型为规划中枢、指标注册表与技能白名单为强约束、确定性融合引擎为质量兜底的一体化取数体系，直击传统行业研究"数据散落在多个终端、口径彼此打架、来源无法回溯"的痛点，实现研究需求到结构化证据包的全流程标准化执行，为下游的数据解读、图表生成、章节撰写与报告融合提供统一、可核算、可追溯的事实基座，同时把模型的作用严格限制在"规划查询"而非"生产事实"这一边界之内。</w:t>
      </w:r>
    </w:p>
    <w:p w14:paraId="39E0C59A">
      <w:pPr>
        <w:pStyle w:val="10"/>
      </w:pPr>
      <w:r>
        <w:rPr>
          <w:rFonts w:hint="eastAsia"/>
        </w:rPr>
        <w:t>● 核心设计理念</w:t>
      </w:r>
    </w:p>
    <w:p w14:paraId="62797A4F">
      <w:pPr>
        <w:pStyle w:val="10"/>
      </w:pPr>
      <w:r>
        <w:rPr>
          <w:rFonts w:hint="eastAsia"/>
        </w:rPr>
        <w:t>数据获取智能体的设计核心是"规划交给模型、事实交给代码、边界交给白名单"，区别于把研究主题整句丢给检索接口的粗放做法。它把一次行业研究拆解为可枚举的数据要求清单，再让模型只能在这份清单与已注册技能集合的范围内规划查询任务；所有进入系统的数字都必须带有来源标识、报告期与单位，未经 SkillHub 返回的内容一律不得写入数据集。这样一来，模型即便出现理解偏差，其影响也被限制在"少查了某一维度"而非"编造了一个数字"，从架构层面而非提示词层面抑制了事实幻觉。</w:t>
      </w:r>
    </w:p>
    <w:p w14:paraId="37EB1BF3">
      <w:pPr>
        <w:pStyle w:val="10"/>
      </w:pPr>
      <w:r>
        <w:rPr>
          <w:rFonts w:hint="eastAsia"/>
        </w:rPr>
        <w:t>● 核心组成</w:t>
      </w:r>
    </w:p>
    <w:p w14:paraId="55602744">
      <w:pPr>
        <w:pStyle w:val="10"/>
      </w:pPr>
      <w:r>
        <w:rPr>
          <w:rFonts w:hint="eastAsia"/>
        </w:rPr>
        <w:t>数据获取智能体由四个核心模块协同构成，形成"规划—执行—约束—兜底"的完整闭环，各模块职责边界清晰、互不越权，具体如下，如图 3.x 所示：</w:t>
      </w:r>
    </w:p>
    <w:p w14:paraId="2273A3DF">
      <w:pPr>
        <w:pStyle w:val="10"/>
      </w:pPr>
      <w:r>
        <w:rPr>
          <w:rFonts w:hint="eastAsia"/>
        </w:rPr>
        <w:t>● 规划中枢（LLM 查询规划器）：承担研究意图理解与查询任务生成的职责。它接收研究主题、关注问题、研究深度与上一轮覆盖度观察结果，输出统一的 JSON 规划结果，字段包括决策类型、覆盖度评估与任务列表；每个任务携带任务编号、技能名称、查询参数、依赖关系、服务的研究要求编号与期望字段。规划中枢本身不接触任何金融数值，其产出仅为"该去查什么"，从源头切断了模型直接生成事实的路径。</w:t>
      </w:r>
    </w:p>
    <w:p w14:paraId="5D9D78C0">
      <w:pPr>
        <w:pStyle w:val="10"/>
      </w:pPr>
      <w:r>
        <w:rPr>
          <w:rFonts w:hint="eastAsia"/>
        </w:rPr>
        <w:t>● 技能执行层（SkillHub 网关）：是全部外部数据的唯一入口。网关管理 20 个直连问财 OpenAPI 的技能，覆盖公司主体、行业、财务、宏观、产业链、研报、新闻七类数据域，负责参数校验、超时控制、有限重试与调用记录；任何业务模块都不得绕过网关直接访问外部服务，保证调用可审计、可复现。</w:t>
      </w:r>
    </w:p>
    <w:p w14:paraId="21B2576C">
      <w:pPr>
        <w:pStyle w:val="10"/>
      </w:pPr>
      <w:r>
        <w:rPr>
          <w:rFonts w:hint="eastAsia"/>
        </w:rPr>
        <w:t>● 强约束层（指标注册表 + 技能白名单）：解决长尾指标识别与超范围调用两个问题。指标注册表内置毛利率、净利率、市场份额、CR3、CR5 等常见指标的口径定义与别名映射，命中注册表的查询走确定性参数拼装；未命中的长尾问题走受限语义路由，模型只能从已注册技能中挑选，不得自行发明技能或接口名称。技能白名单则把 20 个可执行技能固化为枚举，任何不在白名单内的任务在校验阶段即被拒绝。</w:t>
      </w:r>
    </w:p>
    <w:p w14:paraId="575ADB8B">
      <w:pPr>
        <w:pStyle w:val="10"/>
      </w:pPr>
      <w:r>
        <w:rPr>
          <w:rFonts w:hint="eastAsia"/>
        </w:rPr>
        <w:t>● 确定性融合引擎（DataFusion）：负责把原始响应变成可用的数据集，是这一阶段唯一有权修改数据的组件。它按"统一口径 → 事实去重 → 时间与实体对齐 → 冲突保留"四步处理：统一货币、股数、功率与能量单位；对原始记录与事实记录执行两级去重；解析动态日期字段识别真实报告期；对同一指标的实质性冲突保留全部证据与来源，不做静默覆盖。引擎的每一步均为确定性代码，不经过模型。</w:t>
      </w:r>
    </w:p>
    <w:p w14:paraId="2729F37F">
      <w:pPr>
        <w:pStyle w:val="10"/>
      </w:pPr>
      <w:r>
        <w:rPr>
          <w:rFonts w:hint="eastAsia"/>
        </w:rPr>
        <w:t>● 核心工作流程</w:t>
      </w:r>
    </w:p>
    <w:p w14:paraId="59055523">
      <w:pPr>
        <w:pStyle w:val="10"/>
      </w:pPr>
      <w:r>
        <w:rPr>
          <w:rFonts w:hint="eastAsia"/>
        </w:rPr>
        <w:t>数据获取遵循"意图理解 → 规划决策 → 任务校验 → 并发执行 → 融合归一 → 覆盖度审计"的标准化流程，每一步均受技能白名单与研究要求清单双重约束，具体如下，如图 3.y 所示：</w:t>
      </w:r>
    </w:p>
    <w:p w14:paraId="4AF627F5">
      <w:pPr>
        <w:pStyle w:val="10"/>
      </w:pPr>
      <w:r>
        <w:rPr>
          <w:rFonts w:hint="eastAsia"/>
        </w:rPr>
        <w:t>● 意图理解：解析研究主题与关注问题，识别研究范围、研究时点、重点标的与必须覆盖的数据维度，形成结构化的研究目标与数据要求清单；对用户明确指名的核心上市公司单独登记，作为后续规划的强约束输入。</w:t>
      </w:r>
    </w:p>
    <w:p w14:paraId="7E9695D1">
      <w:pPr>
        <w:pStyle w:val="10"/>
      </w:pPr>
      <w:r>
        <w:rPr>
          <w:rFonts w:hint="eastAsia"/>
        </w:rPr>
        <w:t>● 规划决策：模型基于上一轮的覆盖度观察结果与失败调用记录，规划本轮查询任务；优先服务尚未通过的数据要求，并为每个任务显式填写所服务的要求编号与任务间依赖关系，使"为什么查这一条"在任务层面即可追溯。</w:t>
      </w:r>
    </w:p>
    <w:p w14:paraId="613913B9">
      <w:pPr>
        <w:pStyle w:val="10"/>
      </w:pPr>
      <w:r>
        <w:rPr>
          <w:rFonts w:hint="eastAsia"/>
        </w:rPr>
        <w:t>● 任务校验：对模型产出的任务逐条校验技能合法性、参数完整性与任务唯一性，剔除超出白名单的技能与重复任务；重复判定采用任务签名（技能名称 + 归一化查询参数）进行，确保同一查询不会在两轮之间重复执行。</w:t>
      </w:r>
    </w:p>
    <w:p w14:paraId="22AB1DB5">
      <w:pPr>
        <w:pStyle w:val="10"/>
      </w:pPr>
      <w:r>
        <w:rPr>
          <w:rFonts w:hint="eastAsia"/>
        </w:rPr>
        <w:t>● 并发执行：通过统一网关并发下发任务，记录每个任务的调用状态、返回条数与失败原因；对空结果或字段不相关的结果执行有限次备选查询，对仍然失败的技能记录结构化错误，供下一轮规划补救。</w:t>
      </w:r>
    </w:p>
    <w:p w14:paraId="5B21C119">
      <w:pPr>
        <w:pStyle w:val="10"/>
      </w:pPr>
      <w:r>
        <w:rPr>
          <w:rFonts w:hint="eastAsia"/>
        </w:rPr>
        <w:t>● 融合与口径归一：由确定性融合引擎执行四步处理，把多来源、多口径、多单位的原始记录归并为带唯一证据标识的结构化数据集，并为后续可追溯性保留来源信息。</w:t>
      </w:r>
    </w:p>
    <w:p w14:paraId="713EB2EA">
      <w:pPr>
        <w:pStyle w:val="10"/>
      </w:pPr>
      <w:r>
        <w:rPr>
          <w:rFonts w:hint="eastAsia"/>
        </w:rPr>
        <w:t>● 覆盖度审计：按研究要求逐条判定覆盖状态，统计各数据域的记录分布与缺口，输出下一轮的规划输入；当覆盖度达到完成条件时结束本轮，否则进入下一轮补采。</w:t>
      </w:r>
    </w:p>
    <w:p w14:paraId="4121CB79">
      <w:pPr>
        <w:pStyle w:val="10"/>
      </w:pPr>
      <w:r>
        <w:rPr>
          <w:rFonts w:hint="eastAsia"/>
        </w:rPr>
        <w:t>● 关键实现机制</w:t>
      </w:r>
    </w:p>
    <w:p w14:paraId="077D22AC">
      <w:pPr>
        <w:pStyle w:val="10"/>
      </w:pPr>
      <w:r>
        <w:rPr>
          <w:rFonts w:hint="eastAsia"/>
        </w:rPr>
        <w:t>● 分层样本库与龙头识别：规划公司筛选类任务时，要求显式按总市值排序并取前 20~30 家，同时叠加赛道核心环节关键词与主营业务限定，避免泛概念匹配把与核心赛道无关的传统混业巨头选入样本；对前沿赛道还要求单独检索具有战略影响力的非上市代表企业的商业化进展。</w:t>
      </w:r>
    </w:p>
    <w:p w14:paraId="3C9EA0CA">
      <w:pPr>
        <w:pStyle w:val="10"/>
      </w:pPr>
      <w:r>
        <w:rPr>
          <w:rFonts w:hint="eastAsia"/>
        </w:rPr>
        <w:t>● 用户指定标的优先保障：对用户明确指名关注的核心上市公司，允许在首轮直接规划基本信息与财务三表查询，且禁止将其声明为依赖泛选股任务——避免因为选股任务失败而连带阻断用户最关心的标的。</w:t>
      </w:r>
    </w:p>
    <w:p w14:paraId="0B97F8D1">
      <w:pPr>
        <w:pStyle w:val="10"/>
      </w:pPr>
      <w:r>
        <w:rPr>
          <w:rFonts w:hint="eastAsia"/>
        </w:rPr>
        <w:t>● 单实体查询拆分：主营业务与产业链环节类查询严禁把多家公司合并进同一条语句，必须按公司逐一拆分。合并查询极易被数据接口截断而只返回单家数据，拆分后每家公司的分业务收入、占比与毛利才能完整入库。</w:t>
      </w:r>
    </w:p>
    <w:p w14:paraId="1632619B">
      <w:pPr>
        <w:pStyle w:val="10"/>
      </w:pPr>
      <w:r>
        <w:rPr>
          <w:rFonts w:hint="eastAsia"/>
        </w:rPr>
        <w:t>● 多年度时序与三表完整性约束：财务类查询必须包含连续多年度时序而非单一报告期，以支撑下游计算多期复合增速与连续趋势；指标上要求完整覆盖资产负债表、利润表、现金流量表的核心科目，同行对比时必须统一基准报告期，杜绝不同标的之间跨度数年的基准错配。</w:t>
      </w:r>
    </w:p>
    <w:p w14:paraId="200D02C9">
      <w:pPr>
        <w:pStyle w:val="10"/>
      </w:pPr>
      <w:r>
        <w:rPr>
          <w:rFonts w:hint="eastAsia"/>
        </w:rPr>
        <w:t>● 两级去重与冲突保留：原始记录与事实记录分别去重；对同一实体、同一指标、同一报告期出现来源冲突的记录，系统不做取舍，而是把全部证据连同来源一并保留，交由后续分析或人工审核判断，从机制上承认"数据源本身可能不一致"这一事实。</w:t>
      </w:r>
    </w:p>
    <w:p w14:paraId="1E3EFDCE">
      <w:pPr>
        <w:pStyle w:val="10"/>
      </w:pPr>
      <w:r>
        <w:rPr>
          <w:rFonts w:hint="eastAsia"/>
        </w:rPr>
        <w:t>● 兜底与可观测性</w:t>
      </w:r>
    </w:p>
    <w:p w14:paraId="1BD6599A">
      <w:pPr>
        <w:pStyle w:val="10"/>
      </w:pPr>
      <w:r>
        <w:rPr>
          <w:rFonts w:hint="eastAsia"/>
        </w:rPr>
        <w:t>数据获取智能体对失败路径做了显式设计：数据接口出现鉴权失败、限流、超时或空结果时，系统记录结构化错误与数据缺口，不使用测试数据替代；缺少有效密钥时直接返回鉴权错误并停止，不回退到任何模拟数据；明显无关的数据被隔离而非删除，供人工复核。同时，每个任务的查询语句、调用状态、返回条数与所用技能均被记录，配合覆盖度审计结果，使"这一轮到底查了什么、还差什么"可以被完整还原，为人工审核节点提供决策依据。</w:t>
      </w:r>
    </w:p>
    <w:p w14:paraId="273B6294">
      <w:pPr>
        <w:pStyle w:val="3"/>
        <w:keepNext/>
        <w:keepLines/>
      </w:pPr>
      <w:bookmarkStart w:id="59" w:name="_Toc356147881"/>
      <w:r>
        <w:rPr>
          <w:rFonts w:hint="eastAsia"/>
        </w:rPr>
        <w:t>3.3 Agent 2：数据解读智能体</w:t>
      </w:r>
      <w:bookmarkEnd w:id="59"/>
    </w:p>
    <w:p w14:paraId="6E13611E">
      <w:pPr>
        <w:pStyle w:val="10"/>
      </w:pPr>
      <w:r>
        <w:rPr>
          <w:rFonts w:hint="eastAsia"/>
        </w:rPr>
        <w:t>数据解读智能体是流水线中唯一同时具备"确定性计算"与"语义推理"两种能力的阶段，其核心设计判断是：能用公式算出来的绝不让模型算，需要判断和解释的才交给模型。基于这一判断，该阶段把工作拆成两条互不干扰的通路——代码这一侧负责指标计算、财务勾稽、数据可比性判断和异常识别，模型这一侧负责解释数据关系、形成结论、构建情景和识别风险；模型的输出必须反向绑定到代码侧已经算出的证据标识上，从架构上切断了"模型自行生成数字"的可能。该阶段向上承接结构化数据集，向下输出带证据索引的解读报告，是整条链路中证据密度最高的一环。</w:t>
      </w:r>
    </w:p>
    <w:p w14:paraId="3393E0EB">
      <w:pPr>
        <w:pStyle w:val="10"/>
      </w:pPr>
      <w:r>
        <w:rPr>
          <w:rFonts w:hint="eastAsia"/>
        </w:rPr>
        <w:t>核心设计理念</w:t>
      </w:r>
    </w:p>
    <w:p w14:paraId="4544EE89">
      <w:pPr>
        <w:pStyle w:val="10"/>
      </w:pPr>
      <w:r>
        <w:rPr>
          <w:rFonts w:hint="eastAsia"/>
        </w:rPr>
        <w:t>这一阶段的关键设计是"证据先行、结论受限"。传统做法是把数据集塞进上下文让模型自由发挥，结果是结论无法回溯、数字来源不明。本阶段的处理顺序恰好相反：先由确定性引擎把关键指标、趋势方向、异常点和跨来源一致性全部算完并登记为带编号的证据，再把这份证据清单连同研究方法论交给模型，模型只能在此基础上归纳、解释和包装，每一句结论都要挂上它引用的证据编号。这样一来，"结论是怎么来的"在数据层面就是可验证的：任何一条结论都能顺着证据编号回到原始数据记录。</w:t>
      </w:r>
    </w:p>
    <w:p w14:paraId="2DCE671F">
      <w:pPr>
        <w:pStyle w:val="10"/>
      </w:pPr>
      <w:r>
        <w:rPr>
          <w:rFonts w:hint="eastAsia"/>
        </w:rPr>
        <w:t>核心组成</w:t>
      </w:r>
    </w:p>
    <w:p w14:paraId="1820D186">
      <w:pPr>
        <w:pStyle w:val="10"/>
      </w:pPr>
      <w:r>
        <w:rPr>
          <w:rFonts w:hint="eastAsia"/>
        </w:rPr>
        <w:t>数据解读智能体由确定性计算引擎、方法论技能路由、证据索引构建三个核心模块组成，三者构成"先算清楚、再找角度、最后可追溯"的完整链条，具体如下，如图 3.x 所示：</w:t>
      </w:r>
    </w:p>
    <w:p w14:paraId="2D8D50E8">
      <w:pPr>
        <w:pStyle w:val="10"/>
        <w:numPr>
          <w:ilvl w:val="0"/>
          <w:numId w:val="12"/>
        </w:numPr>
      </w:pPr>
      <w:r>
        <w:rPr>
          <w:rFonts w:hint="eastAsia"/>
        </w:rPr>
        <w:t>确定性计算引擎（DeterministicEngine）：承担全部可公式化的分析工作，包括财务指标计算与勾稽、多期趋势与方向一致率统计、稳健离群检测、数据可比性判断以及跨来源交叉验证。该模块为纯代码实现，不经过模型，也不依赖网络请求，输入相同数据必然得到相同结论，因此具备了可复现、可回归测试的特性；所有计算结果在写入报告前就被登记为证据，成为后续论证的唯一事实来源。</w:t>
      </w:r>
    </w:p>
    <w:p w14:paraId="26F282C3">
      <w:pPr>
        <w:pStyle w:val="10"/>
        <w:numPr>
          <w:ilvl w:val="0"/>
          <w:numId w:val="12"/>
        </w:numPr>
      </w:pPr>
      <w:r>
        <w:rPr>
          <w:rFonts w:hint="eastAsia"/>
        </w:rPr>
        <w:t>方法论技能路由（Semantic Planner）：解决"同一个主题该从哪些角度分析"的问题。系统内置面向投研的分析方法论技能，按研究主题与数据形态自动挑选适用的几个，例如竞争格局、产业链、财务报表、宏观周期、机构研究、大宗商品与行为金融等。未被选中的方法论不会进入模型上下文——这既是成本控制手段，也是质量控制手段：不相关的分析框架一旦进入上下文，反而会诱导模型生成与本主题无关的结论。</w:t>
      </w:r>
    </w:p>
    <w:p w14:paraId="723A0E49">
      <w:pPr>
        <w:pStyle w:val="10"/>
        <w:numPr>
          <w:ilvl w:val="0"/>
          <w:numId w:val="12"/>
        </w:numPr>
      </w:pPr>
      <w:r>
        <w:rPr>
          <w:rFonts w:hint="eastAsia"/>
        </w:rPr>
        <w:t>证据索引（Evidence Index）：把确定性计算结果、模型提炼的原子事实和深度洞察统一登记为带编号的证据条目，每条记录包含证据编号、数据域、实体、指标、取值、单位、报告期、来源技能与调用链路标识。这份索引是同一条链路上游与下游之间唯一被认可的"事实字典"：下游的图表、章节和报告只能引用索引中已存在的编号，引用不存在的编号会被直接拒绝。</w:t>
      </w:r>
    </w:p>
    <w:p w14:paraId="07BA07BE">
      <w:pPr>
        <w:pStyle w:val="10"/>
      </w:pPr>
      <w:r>
        <w:rPr>
          <w:rFonts w:hint="eastAsia"/>
        </w:rPr>
        <w:t>核心工作流程</w:t>
      </w:r>
    </w:p>
    <w:p w14:paraId="15BE7A2F">
      <w:pPr>
        <w:pStyle w:val="10"/>
      </w:pPr>
      <w:r>
        <w:rPr>
          <w:rFonts w:hint="eastAsia"/>
        </w:rPr>
        <w:t>数据解读遵循"证据登记 → 趋势与异常统计 → 方法论路由 → 语义融合 → 一致性校验 → 协同请求"的标准化流程，每一步都以上一步的产物为输入，且都可独立复现，具体如下，如图 3.y 所示：</w:t>
      </w:r>
    </w:p>
    <w:p w14:paraId="63878B9F">
      <w:pPr>
        <w:pStyle w:val="10"/>
        <w:numPr>
          <w:ilvl w:val="0"/>
          <w:numId w:val="12"/>
        </w:numPr>
      </w:pPr>
      <w:r>
        <w:rPr>
          <w:rFonts w:hint="eastAsia"/>
        </w:rPr>
        <w:t>证据登记：把数据获取阶段产出的结构化数据集、口径审计结果和冲突记录转换为统一格式的证据索引，为后续所有分析提供唯一的事实基准。此步骤同时保留每条证据的来源技能与调用标识，使"这条数字是谁查的"始终可查。</w:t>
      </w:r>
    </w:p>
    <w:p w14:paraId="47385240">
      <w:pPr>
        <w:pStyle w:val="10"/>
        <w:numPr>
          <w:ilvl w:val="0"/>
          <w:numId w:val="12"/>
        </w:numPr>
      </w:pPr>
      <w:r>
        <w:rPr>
          <w:rFonts w:hint="eastAsia"/>
        </w:rPr>
        <w:t>趋势与异常统计：在证据索引之上执行确定性统计，计算关键指标的多期变化方向与方向一致率、识别显著偏离历史区间的离群点、判断不同来源对同一指标是否存在口径冲突。此步骤的产出是"哪些变化值得解释"，而不是"这些变化意味着什么"——含义的解释留到模型侧。</w:t>
      </w:r>
    </w:p>
    <w:p w14:paraId="6273DF3A">
      <w:pPr>
        <w:pStyle w:val="10"/>
        <w:numPr>
          <w:ilvl w:val="0"/>
          <w:numId w:val="12"/>
        </w:numPr>
      </w:pPr>
      <w:r>
        <w:rPr>
          <w:rFonts w:hint="eastAsia"/>
        </w:rPr>
        <w:t>方法论路由：依据研究主题、关注问题与数据集覆盖情况，从方法论技能库中挑选适用技能并给出选择理由。路由结果会随阶段产物一并输出，便于人工审核时判断"系统为什么从这个角度切入"。</w:t>
      </w:r>
    </w:p>
    <w:p w14:paraId="1F8D4EE6">
      <w:pPr>
        <w:pStyle w:val="10"/>
        <w:numPr>
          <w:ilvl w:val="0"/>
          <w:numId w:val="12"/>
        </w:numPr>
      </w:pPr>
      <w:r>
        <w:rPr>
          <w:rFonts w:hint="eastAsia"/>
        </w:rPr>
        <w:t>语义融合：模型在确定性结论之上做归纳与解释，形成结构化洞察。输出必须严格符合预设的结构化 Schema，并对每条洞察标注所引用的证据编号；模型在此环节被明确禁止引入新的数值，也不允许用自身参数化知识替代证据。</w:t>
      </w:r>
    </w:p>
    <w:p w14:paraId="7906A65D">
      <w:pPr>
        <w:pStyle w:val="10"/>
        <w:numPr>
          <w:ilvl w:val="0"/>
          <w:numId w:val="12"/>
        </w:numPr>
      </w:pPr>
      <w:r>
        <w:rPr>
          <w:rFonts w:hint="eastAsia"/>
        </w:rPr>
        <w:t>一致性校验：对模型输出做自动检查，逐项确认引用的证据编号是否真实存在、结论是否与此前被驳回的判断重复、表述是否越过金融内容红线（如出现投资建议、收益承诺）、是否回避了本应披露的数据质量问题。校验不通过的条目会被标记并退回修正，而不是直接进入下游。</w:t>
      </w:r>
    </w:p>
    <w:p w14:paraId="6E534DB9">
      <w:pPr>
        <w:pStyle w:val="10"/>
        <w:numPr>
          <w:ilvl w:val="0"/>
          <w:numId w:val="12"/>
        </w:numPr>
      </w:pPr>
      <w:r>
        <w:rPr>
          <w:rFonts w:hint="eastAsia"/>
        </w:rPr>
        <w:t>协同请求：当证据不足以支撑某项结论时，系统不生成"带猜测强度的结论"，而是输出结构化的协同请求，明确列出缺口是什么、需要补哪类数据、建议的补采方向。这类请求会汇入人机协同的决策包，由人工决定是补采、降级结论强度，还是接受风险继续生成。</w:t>
      </w:r>
    </w:p>
    <w:p w14:paraId="3BD2F422">
      <w:pPr>
        <w:pStyle w:val="10"/>
      </w:pPr>
      <w:r>
        <w:rPr>
          <w:rFonts w:hint="eastAsia"/>
        </w:rPr>
        <w:t>关键实现机制</w:t>
      </w:r>
    </w:p>
    <w:p w14:paraId="725FB466">
      <w:pPr>
        <w:pStyle w:val="10"/>
        <w:numPr>
          <w:ilvl w:val="0"/>
          <w:numId w:val="12"/>
        </w:numPr>
      </w:pPr>
      <w:r>
        <w:rPr>
          <w:rFonts w:hint="eastAsia"/>
        </w:rPr>
        <w:t>计算与解释的物理隔离：确定性引擎与语义融合运行在不同的调用路径上，前者是本地函数调用，后者是模型请求。模型侧拿到的不是原始数据集，而是已经算好的指标与趋势清单，因此即使模型出现幻觉，也只能在"解释已经算对的数字"这一范围内偏，无法凭空造数。</w:t>
      </w:r>
    </w:p>
    <w:p w14:paraId="6E5D9BC6">
      <w:pPr>
        <w:pStyle w:val="10"/>
        <w:numPr>
          <w:ilvl w:val="0"/>
          <w:numId w:val="12"/>
        </w:numPr>
      </w:pPr>
      <w:r>
        <w:rPr>
          <w:rFonts w:hint="eastAsia"/>
        </w:rPr>
        <w:t>按需加载而非全量投喂：方法论技能与证据都按主题挑选后再进入上下文，避免把全部材料重复塞给模型。这同时降低了无关信息干扰与调用成本，使同一份数据在不同主题下得到不同侧重的解读，而不是输出一段放之四海皆准的套话。</w:t>
      </w:r>
    </w:p>
    <w:p w14:paraId="155AB428">
      <w:pPr>
        <w:pStyle w:val="10"/>
        <w:numPr>
          <w:ilvl w:val="0"/>
          <w:numId w:val="12"/>
        </w:numPr>
      </w:pPr>
      <w:r>
        <w:rPr>
          <w:rFonts w:hint="eastAsia"/>
        </w:rPr>
        <w:t>结构化输出与白名单拒改：模型输出必须通过 Schema 校验，字段缺失、类型不符或出现未登记的枚举值都会被拒绝并要求重新生成。金融内容红线与未知证据编号属于硬性拒绝项，不做"容错放行"，避免小概率的越界表述被静默带入最终报告。</w:t>
      </w:r>
    </w:p>
    <w:p w14:paraId="29BFA9E6">
      <w:pPr>
        <w:pStyle w:val="10"/>
        <w:numPr>
          <w:ilvl w:val="0"/>
          <w:numId w:val="12"/>
        </w:numPr>
      </w:pPr>
      <w:r>
        <w:rPr>
          <w:rFonts w:hint="eastAsia"/>
        </w:rPr>
        <w:t>证据编号全程可追溯：该阶段产出的证据索引是下游图表、章节与报告的引用来源，报告正文中出现的每个数字都能顺着证据编号回溯到数据获取阶段的原始记录。这一机制让"报告里的数字从哪来"从需要人工翻查的问题，变成了一次编号查询即可回答的问题。</w:t>
      </w:r>
    </w:p>
    <w:p w14:paraId="4A1E54DF">
      <w:pPr>
        <w:pStyle w:val="3"/>
        <w:keepNext/>
        <w:keepLines/>
      </w:pPr>
      <w:bookmarkStart w:id="60" w:name="_Toc740511778"/>
      <w:r>
        <w:rPr>
          <w:rFonts w:hint="eastAsia"/>
        </w:rPr>
        <w:t>3.4 Agent 3：图表生成智能体</w:t>
      </w:r>
      <w:bookmarkEnd w:id="60"/>
    </w:p>
    <w:p w14:paraId="3C1829DB">
      <w:pPr>
        <w:pStyle w:val="10"/>
      </w:pPr>
      <w:r>
        <w:rPr>
          <w:rFonts w:hint="eastAsia"/>
        </w:rPr>
        <w:t>图表生成智能体承担的是"把已经算清楚的数据翻译成可读、可核验、可出版的图"这件事，其核心设计立场是"无数据不画图、不满足条件就降级并留痕"。与传统可视化方案最大的不同在于：本阶段的图型不是由模型自由决定的，而是由数据形态与规则层共同裁决——模型负责根据数据特征提出选型意向，规则层负责判断这个意向在当前数据下是否成立，不成立的图表不会"画一张凑数"，而是记录抑制原因并显式告知。该阶段输入解读阶段产出的结论与证据索引，输出图表规格、图表资产与可追溯的图表引用，供章节撰写阶段按需引用。</w:t>
      </w:r>
    </w:p>
    <w:p w14:paraId="4868E9B6">
      <w:pPr>
        <w:pStyle w:val="10"/>
      </w:pPr>
      <w:r>
        <w:rPr>
          <w:rFonts w:hint="eastAsia"/>
        </w:rPr>
        <w:t>核心设计理念</w:t>
      </w:r>
    </w:p>
    <w:p w14:paraId="35ED8738">
      <w:pPr>
        <w:pStyle w:val="10"/>
      </w:pPr>
      <w:r>
        <w:rPr>
          <w:rFonts w:hint="eastAsia"/>
        </w:rPr>
        <w:t>图表在这一体系里不是装饰，而是论证的一部分，因此它必须满足两个前提：数据支持这种画法，读者能验证这种画法。基于这一判断，本阶段把图表生成拆成"选型—编译—渲染—质检"四道工序，每道工序都有明确的是非判断。选型阶段判断"这种数据形态能不能画成这类图"，编译阶段保证输出的配置符合单位与量纲纪律，渲染阶段产出与屏幕端一致的出版级矢量图，质检阶段复查可读性与证据关联。任何一道不通过，图表都不会进入正文——宁可少一张图，也不放一张可能误导读者的图。</w:t>
      </w:r>
    </w:p>
    <w:p w14:paraId="1EC5CFF0">
      <w:pPr>
        <w:pStyle w:val="10"/>
      </w:pPr>
      <w:r>
        <w:rPr>
          <w:rFonts w:hint="eastAsia"/>
        </w:rPr>
        <w:t>核心组成</w:t>
      </w:r>
    </w:p>
    <w:p w14:paraId="2B758A88">
      <w:pPr>
        <w:pStyle w:val="10"/>
      </w:pPr>
      <w:r>
        <w:rPr>
          <w:rFonts w:hint="eastAsia"/>
        </w:rPr>
        <w:t>图表生成智能体由图表规划、双通道渲染、质检三方与跨阶段补数回路四个模块组成，形成"选得出、画得准、看得清、缺得补"的完整闭环，具体如下，如图 3.x 所示：</w:t>
      </w:r>
    </w:p>
    <w:p w14:paraId="31C4E8A6">
      <w:pPr>
        <w:pStyle w:val="10"/>
        <w:numPr>
          <w:ilvl w:val="0"/>
          <w:numId w:val="12"/>
        </w:numPr>
      </w:pPr>
      <w:r>
        <w:rPr>
          <w:rFonts w:hint="eastAsia"/>
        </w:rPr>
        <w:t>图表规划引擎（选型与降级）：接收解读报告与证据索引，先判断数据是否具备可绘制的数值或结构化关系，再依据数据类型、序列数量、时间维度、单位与研究目的匹配图型。系统内置的正式图型覆盖折线、柱状、涨跌幅对比、饼图、雷达图、产业链图、组合图、面积图、散点、气泡、热力、箱线与矩形树等大类；同时对"当前流水线实际启用"的图型设了更严的门禁，避免用数据形态并不支持的图型产出误导性图形。当目标图型条件不满足时，系统执行确定性降级——例如时间序列数据不足以支撑折线时降为类别比较柱状图，并把降级原因一并写入规格，使"这里为什么换了一种画法"在产物层可查。</w:t>
      </w:r>
    </w:p>
    <w:p w14:paraId="5A2BBB01">
      <w:pPr>
        <w:pStyle w:val="10"/>
        <w:numPr>
          <w:ilvl w:val="0"/>
          <w:numId w:val="12"/>
        </w:numPr>
      </w:pPr>
      <w:r>
        <w:rPr>
          <w:rFonts w:hint="eastAsia"/>
        </w:rPr>
        <w:t>双通道渲染管线（ECharts 编译器 + SVG 渲染器）：同一次选型结果会产出两种形态的图表资产。ECharts 编译器把规格编译为标准 ECharts 配置，交给前端做交互动画、提示框与时间轴缩放；SVG 渲染器则用纯 Python 数学几何绘制固定尺寸的矢量图，不依赖浏览器内核即可生成出版级图形，用于报告文档与打印场景。双通道共享同一份规格，因此屏幕端与文档端看到的图在数据、单位、图例上完全一致，不会出现"网页上和 PDF 里不一样"的情况。</w:t>
      </w:r>
    </w:p>
    <w:p w14:paraId="0C26E75F">
      <w:pPr>
        <w:pStyle w:val="10"/>
        <w:numPr>
          <w:ilvl w:val="0"/>
          <w:numId w:val="12"/>
        </w:numPr>
      </w:pPr>
      <w:r>
        <w:rPr>
          <w:rFonts w:hint="eastAsia"/>
        </w:rPr>
        <w:t>质检三方（MetricGuard + ChartLinter + 证据关联）：MetricGuard 负责量纲与口径纪律，拦截同一坐标轴混排不同单位（例如把"亿元"与"%"放进同一个轴）、处理极端值对坐标轴的破坏性挤压，并对时间轴长标签做防重叠处理；ChartLinter 负责可读性检查，核对标题、单位、坐标轴、图例、脚注是否齐备，确认静态导出后仍可读懂；证据关联检查则确认图表引用的数据来自已知证据集合，避免出现"图上有个数但查不到出处"。</w:t>
      </w:r>
    </w:p>
    <w:p w14:paraId="7B09CEDC">
      <w:pPr>
        <w:pStyle w:val="10"/>
        <w:numPr>
          <w:ilvl w:val="0"/>
          <w:numId w:val="12"/>
        </w:numPr>
      </w:pPr>
      <w:r>
        <w:rPr>
          <w:rFonts w:hint="eastAsia"/>
        </w:rPr>
        <w:t>跨阶段补数回路（Feedback Loop）：当产出有效图表数量明显不足且存在未满足的数据需求时，系统不会就此收工，而是向上游发出定向补采请求，由数据获取智能体针对缺口补充查询后再重跑图表生成。这条回路使"图不够"从最终交付时才暴露的问题，变成了流程中可自动修复的问题。</w:t>
      </w:r>
    </w:p>
    <w:p w14:paraId="2FFE4633">
      <w:pPr>
        <w:pStyle w:val="10"/>
      </w:pPr>
      <w:r>
        <w:rPr>
          <w:rFonts w:hint="eastAsia"/>
        </w:rPr>
        <w:t>核心工作流程</w:t>
      </w:r>
    </w:p>
    <w:p w14:paraId="776F9774">
      <w:pPr>
        <w:pStyle w:val="10"/>
      </w:pPr>
      <w:r>
        <w:rPr>
          <w:rFonts w:hint="eastAsia"/>
        </w:rPr>
        <w:t>图表生成遵循"证据可用性判定 → 数据形态识别 → 图型匹配与降级 → 配置编译 → 矢量渲染 → 质检与去重 → 补数或交付"的标准化流程，每一步的结论都以结构化字段落盘，具体如下，如图 3.y 所示：</w:t>
      </w:r>
    </w:p>
    <w:p w14:paraId="2B9E7845">
      <w:pPr>
        <w:pStyle w:val="10"/>
        <w:numPr>
          <w:ilvl w:val="0"/>
          <w:numId w:val="12"/>
        </w:numPr>
      </w:pPr>
      <w:r>
        <w:rPr>
          <w:rFonts w:hint="eastAsia"/>
        </w:rPr>
        <w:t>证据可用性判定：先检查解读报告中是否存在可绘制的数值证据或结构化产业链关系。若两者皆无，则不进入选型环节，直接生成一条"无可视化数据"的抑制记录并说明原因。</w:t>
      </w:r>
    </w:p>
    <w:p w14:paraId="5E8C1EDF">
      <w:pPr>
        <w:pStyle w:val="10"/>
        <w:numPr>
          <w:ilvl w:val="0"/>
          <w:numId w:val="12"/>
        </w:numPr>
      </w:pPr>
      <w:r>
        <w:rPr>
          <w:rFonts w:hint="eastAsia"/>
        </w:rPr>
        <w:t>数据形态识别：分析候选数据的维度结构，判断其属于时间序列、类别对比、单时点构成、多维指标还是拓扑关系，并统计序列数量、样本量与单位分布，为图型匹配提供依据。</w:t>
      </w:r>
    </w:p>
    <w:p w14:paraId="73FC124F">
      <w:pPr>
        <w:pStyle w:val="10"/>
        <w:numPr>
          <w:ilvl w:val="0"/>
          <w:numId w:val="12"/>
        </w:numPr>
      </w:pPr>
      <w:r>
        <w:rPr>
          <w:rFonts w:hint="eastAsia"/>
        </w:rPr>
        <w:t>图型匹配与降级：依据数据形态、序列数量、时间维度、单位与研究目的匹配目标图型。匹配规则是显式的、可测试的，例如时间序列优先折线；类别比较使用柱状；饼图只接受单时点、正值、互斥且类别数量合理的数据；雷达图要求若干已标准化、共享刻度的指标；产业链图只使用已有节点与边，不虚构上下游关系；涨跌幅对比图要求两个可比较周期并围绕零轴展示正负值。</w:t>
      </w:r>
    </w:p>
    <w:p w14:paraId="5C09BE46">
      <w:pPr>
        <w:pStyle w:val="10"/>
        <w:numPr>
          <w:ilvl w:val="0"/>
          <w:numId w:val="12"/>
        </w:numPr>
      </w:pPr>
      <w:r>
        <w:rPr>
          <w:rFonts w:hint="eastAsia"/>
        </w:rPr>
        <w:t>配置编译：把选型结果编译为 ECharts 配置，同时补齐坐标轴、图例、提示框、数据缩放与单位标注。编译过程是确定性的，同一份规格每次编译结果一致，便于回归比对。</w:t>
      </w:r>
    </w:p>
    <w:p w14:paraId="383A7A10">
      <w:pPr>
        <w:pStyle w:val="10"/>
        <w:numPr>
          <w:ilvl w:val="0"/>
          <w:numId w:val="12"/>
        </w:numPr>
      </w:pPr>
      <w:r>
        <w:rPr>
          <w:rFonts w:hint="eastAsia"/>
        </w:rPr>
        <w:t>矢量渲染：用数学几何绘制固定尺寸的矢量图，处理中文标签折行、阴影与微渐变，保证在报告排版与打印场景下的清晰度。</w:t>
      </w:r>
    </w:p>
    <w:p w14:paraId="0351F019">
      <w:pPr>
        <w:pStyle w:val="10"/>
        <w:numPr>
          <w:ilvl w:val="0"/>
          <w:numId w:val="12"/>
        </w:numPr>
      </w:pPr>
      <w:r>
        <w:rPr>
          <w:rFonts w:hint="eastAsia"/>
        </w:rPr>
        <w:t>质检与去重：执行量纲、可读性与证据关联三类检查；对同一数据集与同一研究目的的重复图表，通过摘要指纹去重，避免同一份数据在报告里反复出现。</w:t>
      </w:r>
    </w:p>
    <w:p w14:paraId="3CAEE2DB">
      <w:pPr>
        <w:pStyle w:val="10"/>
        <w:numPr>
          <w:ilvl w:val="0"/>
          <w:numId w:val="12"/>
        </w:numPr>
      </w:pPr>
      <w:r>
        <w:rPr>
          <w:rFonts w:hint="eastAsia"/>
        </w:rPr>
        <w:t>补数或交付：若有效图表数量不足且存在可补的数据缺口，触发跨阶段补采；否则输出最终图表资产与被抑制候选清单。</w:t>
      </w:r>
    </w:p>
    <w:p w14:paraId="5026226E">
      <w:pPr>
        <w:pStyle w:val="10"/>
      </w:pPr>
      <w:r>
        <w:rPr>
          <w:rFonts w:hint="eastAsia"/>
        </w:rPr>
        <w:t>关键实现机制</w:t>
      </w:r>
    </w:p>
    <w:p w14:paraId="6C8DD183">
      <w:pPr>
        <w:pStyle w:val="10"/>
        <w:numPr>
          <w:ilvl w:val="0"/>
          <w:numId w:val="12"/>
        </w:numPr>
      </w:pPr>
      <w:r>
        <w:rPr>
          <w:rFonts w:hint="eastAsia"/>
        </w:rPr>
        <w:t>图型门禁而非图型数量：系统追求的不是"每份报告凑够几张图"，而是"每张图都站得住"。无法成立的数据形态会被明确抑制并给出原因，被抑制的候选会随产物输出，因此"为什么这里没有图"同样是一个可回答的问题，而不是沉默的缺失。</w:t>
      </w:r>
    </w:p>
    <w:p w14:paraId="001A87F0">
      <w:pPr>
        <w:pStyle w:val="10"/>
        <w:numPr>
          <w:ilvl w:val="0"/>
          <w:numId w:val="12"/>
        </w:numPr>
      </w:pPr>
      <w:r>
        <w:rPr>
          <w:rFonts w:hint="eastAsia"/>
        </w:rPr>
        <w:t>单位与量纲的硬约束：把不同量纲的指标放进同一坐标轴是最常见的图表误导来源之一。系统在编译阶段就拦截这类组合，并强制要素齐备（标题、单</w:t>
      </w:r>
      <w:bookmarkStart w:id="87" w:name="_GoBack"/>
      <w:bookmarkEnd w:id="87"/>
      <w:r>
        <w:rPr>
          <w:rFonts w:hint="eastAsia"/>
        </w:rPr>
        <w:t>位、图例、脚注），使图表在被摘出报告单独传播时仍然可核验。</w:t>
      </w:r>
    </w:p>
    <w:p w14:paraId="0EB93389">
      <w:pPr>
        <w:pStyle w:val="10"/>
        <w:numPr>
          <w:ilvl w:val="0"/>
          <w:numId w:val="12"/>
        </w:numPr>
      </w:pPr>
      <w:r>
        <w:rPr>
          <w:rFonts w:hint="eastAsia"/>
        </w:rPr>
        <w:t>零轴与极端值处理：对包含正负值的数据保留零轴参考线，避免读者误判正负方向；对极端离群值做截断与标注，防止个别值把其余数据压成一条平线。</w:t>
      </w:r>
    </w:p>
    <w:p w14:paraId="42F7CE28">
      <w:pPr>
        <w:pStyle w:val="10"/>
        <w:numPr>
          <w:ilvl w:val="0"/>
          <w:numId w:val="12"/>
        </w:numPr>
      </w:pPr>
      <w:r>
        <w:rPr>
          <w:rFonts w:hint="eastAsia"/>
        </w:rPr>
        <w:t>降级留痕：图型降级不是静默替换，降级原因会写入图表规格并进入质量报告，便于人工审核时判断这次降级是否合理，也为后续改进选型规则提供了可回溯的样本。</w:t>
      </w:r>
    </w:p>
    <w:p w14:paraId="6745E819">
      <w:pPr>
        <w:pStyle w:val="3"/>
        <w:keepNext/>
        <w:keepLines/>
      </w:pPr>
      <w:bookmarkStart w:id="61" w:name="_Toc1113718481"/>
      <w:r>
        <w:rPr>
          <w:rFonts w:hint="eastAsia"/>
        </w:rPr>
        <w:t>3.5 Agent 4：章节撰写智能体</w:t>
      </w:r>
      <w:bookmarkEnd w:id="61"/>
    </w:p>
    <w:p w14:paraId="68BCEE82">
      <w:pPr>
        <w:pStyle w:val="10"/>
      </w:pPr>
      <w:r>
        <w:rPr>
          <w:rFonts w:hint="eastAsia"/>
        </w:rPr>
        <w:t>章节撰写智能体负责把证据、图表与结论组织成一篇结构完整、处处有据的行业研究报告正文。其核心设计约束是"大纲固定、上下文最小、段落可溯源"：报告结构不交由模型自由发挥，而是按预先定义的七章二十一节大纲逐章生成；每一次生成只向模型提供与该章节相关的证据与图表，而不是把全量材料重复投喂；每个正文段落都要记录它所引用的结论编号与证据编号，使"这句话的依据是什么"在段落级别即可回答。该阶段输入解读报告、图表资产与大纲定义，输出结构化的章节正文，是整条链路中产出体量最大、也最容易被幻觉污染的一环。</w:t>
      </w:r>
    </w:p>
    <w:p w14:paraId="1B35A938">
      <w:pPr>
        <w:pStyle w:val="10"/>
      </w:pPr>
      <w:r>
        <w:rPr>
          <w:rFonts w:hint="eastAsia"/>
        </w:rPr>
        <w:t>核心设计理念</w:t>
      </w:r>
    </w:p>
    <w:p w14:paraId="1BDD9452">
      <w:pPr>
        <w:pStyle w:val="10"/>
      </w:pPr>
      <w:r>
        <w:rPr>
          <w:rFonts w:hint="eastAsia"/>
        </w:rPr>
        <w:t>长文生成最容易失控的地方有两点：结构漂移与内容注水。前者表现为写着写着偏离大纲、章节详略失衡；后者表现为用空话和重复表述凑篇幅。本阶段用两条硬约束分别应对：结构上以固定大纲作为唯一骨架，章节与小节的层级、数量、标题都不由模型决定；内容上以"每段必须挂证据、每章必须过检查"作为准入门槛，段落没有有效证据支撑就无法通过审计，只能退回重写或降级为明确标注的说明性文字。这样一来，"把报告写长"和"把报告写实"被统一到同一套检查标准上。</w:t>
      </w:r>
    </w:p>
    <w:p w14:paraId="70B05E5F">
      <w:pPr>
        <w:pStyle w:val="10"/>
      </w:pPr>
      <w:r>
        <w:rPr>
          <w:rFonts w:hint="eastAsia"/>
        </w:rPr>
        <w:t>核心组成</w:t>
      </w:r>
    </w:p>
    <w:p w14:paraId="7B894827">
      <w:pPr>
        <w:pStyle w:val="10"/>
      </w:pPr>
      <w:r>
        <w:rPr>
          <w:rFonts w:hint="eastAsia"/>
        </w:rPr>
        <w:t>章节撰写智能体由大纲骨架、最小证据上下文构建、锚点插桩与证据审计四个模块组成，形成"结构固定—上下文收窄—引用落位—检查兜底"的写作链路，具体如下，如图 3.x 所示：</w:t>
      </w:r>
    </w:p>
    <w:p w14:paraId="091B74FF">
      <w:pPr>
        <w:pStyle w:val="10"/>
        <w:numPr>
          <w:ilvl w:val="0"/>
          <w:numId w:val="12"/>
        </w:numPr>
      </w:pPr>
      <w:r>
        <w:rPr>
          <w:rFonts w:hint="eastAsia"/>
        </w:rPr>
        <w:t>大纲骨架（七章二十一节）：报告结构以固定大纲为唯一事实来源，七个章节各含三个小节，覆盖行业定义与研究基础、市场规模与成长性、产业链与利润分配、竞争格局、财务质量与估值参照、宏观政策与技术催化、情景风险与研究结论。每个小节附带写作目的说明，为模型提供"这一节该回答什么问题"的约束，避免相邻小节内容重复。</w:t>
      </w:r>
    </w:p>
    <w:p w14:paraId="0AF0120C">
      <w:pPr>
        <w:pStyle w:val="10"/>
        <w:numPr>
          <w:ilvl w:val="0"/>
          <w:numId w:val="12"/>
        </w:numPr>
      </w:pPr>
      <w:r>
        <w:rPr>
          <w:rFonts w:hint="eastAsia"/>
        </w:rPr>
        <w:t>最小证据上下文构建：在生成每一章之前，系统只筛选与该章主题相关的结论、证据、图表与质量问题组成上下文，其余材料一律不进入。这既控制了单次调用的输入规模，也减少了无关内容对写作用的干扰——把全量材料投给模型，实际效果往往是模型反复复述同几条最显眼的数据。</w:t>
      </w:r>
    </w:p>
    <w:p w14:paraId="49C24C2F">
      <w:pPr>
        <w:pStyle w:val="10"/>
        <w:numPr>
          <w:ilvl w:val="0"/>
          <w:numId w:val="12"/>
        </w:numPr>
      </w:pPr>
      <w:r>
        <w:rPr>
          <w:rFonts w:hint="eastAsia"/>
        </w:rPr>
        <w:t>锚点插桩与引用绑定：每个生成的正文段落都会记录其关联的结论编号与证据编号，形成段落级的引用关系；只有已经生成并通过检查的图表才允许进入正文。引用关系随章节产物一并输出，使报告在渲染成 Markdown、HTML 或 PDF 之后，仍然能够回答"这句话引用了几条证据、分别是哪几条"。</w:t>
      </w:r>
    </w:p>
    <w:p w14:paraId="5DA6D20F">
      <w:pPr>
        <w:pStyle w:val="10"/>
        <w:numPr>
          <w:ilvl w:val="0"/>
          <w:numId w:val="12"/>
        </w:numPr>
      </w:pPr>
      <w:r>
        <w:rPr>
          <w:rFonts w:hint="eastAsia"/>
        </w:rPr>
        <w:t>证据审计与有界修复：章节生成后执行统一检查，不通过的段落进入有界修复流程，最多执行有限次数的自动修订；修订仍不达标时，系统不再无限重试，而是基于已验证的结论生成确定性兜底稿，并明确标注资料不足的部分。</w:t>
      </w:r>
    </w:p>
    <w:p w14:paraId="083FB383">
      <w:pPr>
        <w:pStyle w:val="10"/>
      </w:pPr>
      <w:r>
        <w:rPr>
          <w:rFonts w:hint="eastAsia"/>
        </w:rPr>
        <w:t>核心工作流程</w:t>
      </w:r>
    </w:p>
    <w:p w14:paraId="629EFC77">
      <w:pPr>
        <w:pStyle w:val="10"/>
      </w:pPr>
      <w:r>
        <w:rPr>
          <w:rFonts w:hint="eastAsia"/>
        </w:rPr>
        <w:t>章节撰写遵循"大纲装载 → 章节上下文构建 → 正文生成 → 结构与证据检查 → 有界修复 → 兜底或交付"的标准化流程，具体如下，如图 3.y 所示：</w:t>
      </w:r>
    </w:p>
    <w:p w14:paraId="303012CA">
      <w:pPr>
        <w:pStyle w:val="10"/>
        <w:numPr>
          <w:ilvl w:val="0"/>
          <w:numId w:val="12"/>
        </w:numPr>
      </w:pPr>
      <w:r>
        <w:rPr>
          <w:rFonts w:hint="eastAsia"/>
        </w:rPr>
        <w:t>大纲装载：读取固定大纲，确定本章的标题、小节划分与各小节写作目的，作为生成的硬性骨架。</w:t>
      </w:r>
    </w:p>
    <w:p w14:paraId="238910EB">
      <w:pPr>
        <w:pStyle w:val="10"/>
        <w:numPr>
          <w:ilvl w:val="0"/>
          <w:numId w:val="12"/>
        </w:numPr>
      </w:pPr>
      <w:r>
        <w:rPr>
          <w:rFonts w:hint="eastAsia"/>
        </w:rPr>
        <w:t>章节上下文构建：从解读报告与图表资产中筛选与本章相关的材料，组成最小必要上下文，并保留每条材料的证据编号，以便生成时直接引用。</w:t>
      </w:r>
    </w:p>
    <w:p w14:paraId="7FA6CD38">
      <w:pPr>
        <w:pStyle w:val="10"/>
        <w:numPr>
          <w:ilvl w:val="0"/>
          <w:numId w:val="12"/>
        </w:numPr>
      </w:pPr>
      <w:r>
        <w:rPr>
          <w:rFonts w:hint="eastAsia"/>
        </w:rPr>
        <w:t>正文生成：按小节逐段生成正文，每段落建立与结论编号、证据编号的关联。生成过程受大纲约束，不得自行增删小节或改变章节顺序。</w:t>
      </w:r>
    </w:p>
    <w:p w14:paraId="0954F040">
      <w:pPr>
        <w:pStyle w:val="10"/>
        <w:numPr>
          <w:ilvl w:val="0"/>
          <w:numId w:val="12"/>
        </w:numPr>
      </w:pPr>
      <w:r>
        <w:rPr>
          <w:rFonts w:hint="eastAsia"/>
        </w:rPr>
        <w:t>结构与证据检查：对生成结果执行统一检查，覆盖结构与证据两条线：章节与小节结构是否完整；出现的数字是否存在有效证据；引用的结论编号与证据编号是否真实存在；引用的图表是否处于可用状态；是否出现投资建议、收益承诺等越界内容；是否存在空话、重复内容与内部技术术语泄漏。</w:t>
      </w:r>
    </w:p>
    <w:p w14:paraId="647F059C">
      <w:pPr>
        <w:pStyle w:val="10"/>
        <w:numPr>
          <w:ilvl w:val="0"/>
          <w:numId w:val="12"/>
        </w:numPr>
      </w:pPr>
      <w:r>
        <w:rPr>
          <w:rFonts w:hint="eastAsia"/>
        </w:rPr>
        <w:t>有界修复：对未通过的检查项执行限定次数的自动修订，把具体的不通过原因作为修订指令回传模型，而不是笼统要求"重写一遍"。</w:t>
      </w:r>
    </w:p>
    <w:p w14:paraId="3E99518F">
      <w:pPr>
        <w:pStyle w:val="10"/>
        <w:numPr>
          <w:ilvl w:val="0"/>
          <w:numId w:val="12"/>
        </w:numPr>
      </w:pPr>
      <w:r>
        <w:rPr>
          <w:rFonts w:hint="eastAsia"/>
        </w:rPr>
        <w:t>兜底或交付：修复次数用尽仍未通过的章节，转入确定性兜底路径，基于已验证结论生成保底正文并标注资料不足；其余章节正常交付。</w:t>
      </w:r>
    </w:p>
    <w:p w14:paraId="6266F103">
      <w:pPr>
        <w:pStyle w:val="10"/>
      </w:pPr>
      <w:r>
        <w:rPr>
          <w:rFonts w:hint="eastAsia"/>
        </w:rPr>
        <w:t>关键实现机制</w:t>
      </w:r>
    </w:p>
    <w:p w14:paraId="38BF0F8A">
      <w:pPr>
        <w:pStyle w:val="10"/>
        <w:numPr>
          <w:ilvl w:val="0"/>
          <w:numId w:val="12"/>
        </w:numPr>
      </w:pPr>
      <w:r>
        <w:rPr>
          <w:rFonts w:hint="eastAsia"/>
        </w:rPr>
        <w:t>结构不可漂移：章节数量、小节划分与标题均由大纲固定，模型只能在既定骨架上填充内容。这一约束使报告在多次生成、多次修订之后仍保持同一结构，也让不同主题生成的报告具备可比性。</w:t>
      </w:r>
    </w:p>
    <w:p w14:paraId="5B6684F5">
      <w:pPr>
        <w:pStyle w:val="10"/>
        <w:numPr>
          <w:ilvl w:val="0"/>
          <w:numId w:val="12"/>
        </w:numPr>
      </w:pPr>
      <w:r>
        <w:rPr>
          <w:rFonts w:hint="eastAsia"/>
        </w:rPr>
        <w:t>段落级引用而非章节级引用：引用关系落到段落而非章节，意味着报告可以回答更细粒度的问题——某一段的数字来自哪条证据、哪些段落是纯解释性表述、哪些段落依赖的证据已被后续修订替换。</w:t>
      </w:r>
    </w:p>
    <w:p w14:paraId="6D89259B">
      <w:pPr>
        <w:pStyle w:val="10"/>
        <w:numPr>
          <w:ilvl w:val="0"/>
          <w:numId w:val="12"/>
        </w:numPr>
      </w:pPr>
      <w:r>
        <w:rPr>
          <w:rFonts w:hint="eastAsia"/>
        </w:rPr>
        <w:t>越界内容硬拦截：投资建议、收益承诺等表述属于报告合规边界，系统将其列为硬性检查项而非"尽量避免"。一旦命中即退回修正，避免越界内容因为"看起来专业"而被保留。</w:t>
      </w:r>
    </w:p>
    <w:p w14:paraId="6E6E94B6">
      <w:pPr>
        <w:pStyle w:val="10"/>
        <w:numPr>
          <w:ilvl w:val="0"/>
          <w:numId w:val="12"/>
        </w:numPr>
      </w:pPr>
      <w:r>
        <w:rPr>
          <w:rFonts w:hint="eastAsia"/>
        </w:rPr>
        <w:t>确定性兜底而非无限重试：模型不可用或多次生成仍不合规时，系统不在重试上无谓消耗，而是降级为基于已验证结论的确定性正文。兜底稿会明确标注资料不足，读者不会把兜底稿误认为完整分析。</w:t>
      </w:r>
    </w:p>
    <w:p w14:paraId="0BEEF67F">
      <w:pPr>
        <w:pStyle w:val="3"/>
        <w:keepNext/>
        <w:keepLines/>
      </w:pPr>
      <w:bookmarkStart w:id="62" w:name="_Toc799042915"/>
      <w:r>
        <w:rPr>
          <w:rFonts w:hint="eastAsia"/>
        </w:rPr>
        <w:t>3.6 Agent 5：报告融合智能体</w:t>
      </w:r>
      <w:bookmarkEnd w:id="62"/>
    </w:p>
    <w:p w14:paraId="2F7E3F58">
      <w:pPr>
        <w:pStyle w:val="10"/>
      </w:pPr>
      <w:r>
        <w:rPr>
          <w:rFonts w:hint="eastAsia"/>
        </w:rPr>
        <w:t>报告融合智能体位于流水线末端，承担的是主编、版面编辑与出版质检三重角色，其核心职责不是"再写一遍"，而是"整合而不改写、审校而不创作"。该阶段不重新解释数据，也不修改前序结论，而是把七章正文、图表资产、证据索引与质量信息整理为一份统一的报告事实视图，再由这一份视图同时驱动 Markdown、HTML 与 PDF 三种格式的输出，从机制上杜绝"三种格式内容不一致"。同时，它对模型编辑设置了白名单式约束：任何新增数字或引用未知证据的改动都会被拒绝并回退原文，使终审环节不会成为幻觉的最后一道缺口。</w:t>
      </w:r>
    </w:p>
    <w:p w14:paraId="53C617F5">
      <w:pPr>
        <w:pStyle w:val="10"/>
      </w:pPr>
      <w:r>
        <w:rPr>
          <w:rFonts w:hint="eastAsia"/>
        </w:rPr>
        <w:t>核心设计理念</w:t>
      </w:r>
    </w:p>
    <w:p w14:paraId="780BCBB9">
      <w:pPr>
        <w:pStyle w:val="10"/>
      </w:pPr>
      <w:r>
        <w:rPr>
          <w:rFonts w:hint="eastAsia"/>
        </w:rPr>
        <w:t>一份报告落到交付环节，最常见的两类事故是"格式之间不一致"与"终审改出新错误"。前者源于不同格式各自渲染各自的数据，后者源于终审阶段被赋予了过大的改写自由。本阶段用同一个设计应对两个问题：先用一份事实视图统一内容，再把编辑权限收敛到"结构、措辞、术语"三个维度。事实视图保证了同一份内容在不同格式下只有一种呈现；编辑白名单保证了终审哪怕想改也改不动事实层——数字只能来自上游，引用只能指向已登记的证据。</w:t>
      </w:r>
    </w:p>
    <w:p w14:paraId="631BB313">
      <w:pPr>
        <w:pStyle w:val="10"/>
      </w:pPr>
      <w:r>
        <w:rPr>
          <w:rFonts w:hint="eastAsia"/>
        </w:rPr>
        <w:t>核心组成</w:t>
      </w:r>
    </w:p>
    <w:p w14:paraId="529B057A">
      <w:pPr>
        <w:pStyle w:val="10"/>
      </w:pPr>
      <w:r>
        <w:rPr>
          <w:rFonts w:hint="eastAsia"/>
        </w:rPr>
        <w:t>报告融合智能体由事实视图装配、主编审校、版式渲染与产物校验四个模块组成，形成"统一内容—受控编辑—多格式输出—可核验交付"的闭环，具体如下，如图 3.x 所示：</w:t>
      </w:r>
    </w:p>
    <w:p w14:paraId="3D5CF32F">
      <w:pPr>
        <w:pStyle w:val="10"/>
        <w:numPr>
          <w:ilvl w:val="0"/>
          <w:numId w:val="12"/>
        </w:numPr>
      </w:pPr>
      <w:r>
        <w:rPr>
          <w:rFonts w:hint="eastAsia"/>
        </w:rPr>
        <w:t>报告事实视图（Single Source of Truth）：把章节正文、图表及图表来源、证据目录、数据质量与研究边界、风险与待验证事项、质量评分等统一装配为一份结构化视图。Markdown、HTML 与 PDF 三种输出都由这一份视图渲染，不存在"某个格式少了一节内容"的可能；后续任何格式调整也只改渲染层，不动内容层。</w:t>
      </w:r>
    </w:p>
    <w:p w14:paraId="6C41C117">
      <w:pPr>
        <w:pStyle w:val="10"/>
        <w:numPr>
          <w:ilvl w:val="0"/>
          <w:numId w:val="12"/>
        </w:numPr>
      </w:pPr>
      <w:r>
        <w:rPr>
          <w:rFonts w:hint="eastAsia"/>
        </w:rPr>
        <w:t>主编审校技能：围绕"汇总、校验、术语、质量"四类工作组织，负责生成结论前置的执行摘要、执行跨章节一致性审计、统一全篇术语与口径表述、以及对报告整体视觉与排版质量做终审。审校技能的作用是"发现问题并提出受控修改"，而不是"重写内容"。</w:t>
      </w:r>
    </w:p>
    <w:p w14:paraId="31425966">
      <w:pPr>
        <w:pStyle w:val="10"/>
        <w:numPr>
          <w:ilvl w:val="0"/>
          <w:numId w:val="12"/>
        </w:numPr>
      </w:pPr>
      <w:r>
        <w:rPr>
          <w:rFonts w:hint="eastAsia"/>
        </w:rPr>
        <w:t>一致性审计与编辑白名单：审计覆盖术语、数字、期间、口径、证据引用、图表放置、内容重复与潜在矛盾等多个维度，逐条输出问题清单；对模型提出的修改建议执行白名单校验——凡涉及新增数字、引用未登记证据或篡改前序结论的改动，一律拒绝并回退原文，被拒绝的编辑会记入一致性报告。</w:t>
      </w:r>
    </w:p>
    <w:p w14:paraId="62F0AD91">
      <w:pPr>
        <w:pStyle w:val="10"/>
        <w:numPr>
          <w:ilvl w:val="0"/>
          <w:numId w:val="12"/>
        </w:numPr>
      </w:pPr>
      <w:r>
        <w:rPr>
          <w:rFonts w:hint="eastAsia"/>
        </w:rPr>
        <w:t>版式渲染与产物校验：按内容特征选择文字主导、图表主导或综合深度等预设版式，即便模型参与版式规划，也只能在预定义布局中选择，不能直接生成任意 HTML 或修改金融事实。产物输出后逐份计算校验摘要并登记到交付清单，形成可核验的交付凭证。</w:t>
      </w:r>
    </w:p>
    <w:p w14:paraId="1751E5FD">
      <w:pPr>
        <w:pStyle w:val="10"/>
      </w:pPr>
      <w:r>
        <w:rPr>
          <w:rFonts w:hint="eastAsia"/>
        </w:rPr>
        <w:t>核心工作流程</w:t>
      </w:r>
    </w:p>
    <w:p w14:paraId="07547017">
      <w:pPr>
        <w:pStyle w:val="10"/>
      </w:pPr>
      <w:r>
        <w:rPr>
          <w:rFonts w:hint="eastAsia"/>
        </w:rPr>
        <w:t>报告融合遵循"事实视图装配 → 章节整合 → 一致性审计 → 受控编辑 → 版式渲染 → 多格式编译 → 产物校验"的标准化流程，具体如下，如图 3.y 所示：</w:t>
      </w:r>
    </w:p>
    <w:p w14:paraId="1470FAF7">
      <w:pPr>
        <w:pStyle w:val="10"/>
        <w:numPr>
          <w:ilvl w:val="0"/>
          <w:numId w:val="12"/>
        </w:numPr>
      </w:pPr>
      <w:r>
        <w:rPr>
          <w:rFonts w:hint="eastAsia"/>
        </w:rPr>
        <w:t>事实视图装配：收集各阶段产物，装配统一的报告事实视图，确定封面信息、自动目录、执行摘要、七章二十一节正文、图表及来源、证据来源目录、数据质量与研究边界、风险与待验证事项、质量评分与产物清单的结构位置。</w:t>
      </w:r>
    </w:p>
    <w:p w14:paraId="7A75CE60">
      <w:pPr>
        <w:pStyle w:val="10"/>
        <w:numPr>
          <w:ilvl w:val="0"/>
          <w:numId w:val="12"/>
        </w:numPr>
      </w:pPr>
      <w:r>
        <w:rPr>
          <w:rFonts w:hint="eastAsia"/>
        </w:rPr>
        <w:t>章节整合：把七章正文按大纲顺序合并，处理跨章节过渡与重复表述，统一图表编号与证据引用格式，形成完整但不改动事实的初稿。此环节不产生新的分析结论。</w:t>
      </w:r>
    </w:p>
    <w:p w14:paraId="1531F6AA">
      <w:pPr>
        <w:pStyle w:val="10"/>
        <w:numPr>
          <w:ilvl w:val="0"/>
          <w:numId w:val="12"/>
        </w:numPr>
      </w:pPr>
      <w:r>
        <w:rPr>
          <w:rFonts w:hint="eastAsia"/>
        </w:rPr>
        <w:t>一致性审计：跨章节比对术语、数字、期间与口径，检查是否存在同一指标前后取值不一致、同一实体名称多种写法、图表与正文引用不匹配、结论之间存在矛盾等情况，输出问题清单与修改建议。</w:t>
      </w:r>
    </w:p>
    <w:p w14:paraId="047C5BA2">
      <w:pPr>
        <w:pStyle w:val="10"/>
        <w:numPr>
          <w:ilvl w:val="0"/>
          <w:numId w:val="12"/>
        </w:numPr>
      </w:pPr>
      <w:r>
        <w:rPr>
          <w:rFonts w:hint="eastAsia"/>
        </w:rPr>
        <w:t>受控编辑：对审计提出的建议执行白名单校验后应用，通过者计入已接受编辑，违规者直接拒绝并回退原文，计入已拒绝编辑。这一步的产出连同审计问题清单共同构成一致性报告。</w:t>
      </w:r>
    </w:p>
    <w:p w14:paraId="16F0C76C">
      <w:pPr>
        <w:pStyle w:val="10"/>
        <w:numPr>
          <w:ilvl w:val="0"/>
          <w:numId w:val="12"/>
        </w:numPr>
      </w:pPr>
      <w:r>
        <w:rPr>
          <w:rFonts w:hint="eastAsia"/>
        </w:rPr>
        <w:t>版式渲染与多格式编译：依据内容特征选择版式模式，渲染为 HTML 与 PDF，同时输出 Markdown 原生稿与报告事实视图，四种交付形态共享同一内容来源。</w:t>
      </w:r>
    </w:p>
    <w:p w14:paraId="35251392">
      <w:pPr>
        <w:pStyle w:val="10"/>
        <w:numPr>
          <w:ilvl w:val="0"/>
          <w:numId w:val="12"/>
        </w:numPr>
      </w:pPr>
      <w:r>
        <w:rPr>
          <w:rFonts w:hint="eastAsia"/>
        </w:rPr>
        <w:t>产物校验：对最终产物逐份计算校验摘要与文件大小，写入交付清单，使交付物在传输与归档环节可被验证是否被改动。</w:t>
      </w:r>
    </w:p>
    <w:p w14:paraId="619D3339">
      <w:pPr>
        <w:pStyle w:val="10"/>
      </w:pPr>
      <w:r>
        <w:rPr>
          <w:rFonts w:hint="eastAsia"/>
        </w:rPr>
        <w:t>关键实现机制</w:t>
      </w:r>
    </w:p>
    <w:p w14:paraId="3A29FA70">
      <w:pPr>
        <w:pStyle w:val="10"/>
        <w:numPr>
          <w:ilvl w:val="0"/>
          <w:numId w:val="12"/>
        </w:numPr>
      </w:pPr>
      <w:r>
        <w:rPr>
          <w:rFonts w:hint="eastAsia"/>
        </w:rPr>
        <w:t>同一视图驱动多格式：Markdown、HTML 与 PDF 不是三套独立的渲染流程，而是同一份事实视图的三种展现方式。这既保证了内容一致性，也让"只改一种格式"这类需求变得不可能悄悄生效——任何内容调整必须在视图层发生，三种格式同步变化。</w:t>
      </w:r>
    </w:p>
    <w:p w14:paraId="57F5BEDE">
      <w:pPr>
        <w:pStyle w:val="10"/>
        <w:numPr>
          <w:ilvl w:val="0"/>
          <w:numId w:val="12"/>
        </w:numPr>
      </w:pPr>
      <w:r>
        <w:rPr>
          <w:rFonts w:hint="eastAsia"/>
        </w:rPr>
        <w:t>编辑白名单（拒绝而非容错）：终审环节对新增数字与未知证据引用采取硬拒绝策略，而不是"尽量不新增"。这与前序阶段的思路一致：与其在事后核对改了多少，不如让违规改动根本无法落盘。</w:t>
      </w:r>
    </w:p>
    <w:p w14:paraId="492F20F1">
      <w:pPr>
        <w:pStyle w:val="10"/>
        <w:numPr>
          <w:ilvl w:val="0"/>
          <w:numId w:val="12"/>
        </w:numPr>
      </w:pPr>
      <w:r>
        <w:rPr>
          <w:rFonts w:hint="eastAsia"/>
        </w:rPr>
        <w:t>被拒绝编辑全程留痕：一致性报告不仅记录最终是否通过，还记录接受了多少条编辑、拒绝了多少条、拒绝的原因是什么，以及全篇采用过的术语映射。这使得报告的可信度不依赖"我们检查过了"这样的声明，而是有明细可查。</w:t>
      </w:r>
    </w:p>
    <w:p w14:paraId="60FDF2D9">
      <w:pPr>
        <w:pStyle w:val="10"/>
        <w:numPr>
          <w:ilvl w:val="0"/>
          <w:numId w:val="12"/>
        </w:numPr>
      </w:pPr>
      <w:r>
        <w:rPr>
          <w:rFonts w:hint="eastAsia"/>
        </w:rPr>
        <w:t>交付物校验摘要：交付清单为每份产物登记校验摘要，用于确认交付物在流转过程中保持完整。报告作为对外材料，其可核验性与内容质量同等重要。</w:t>
      </w:r>
    </w:p>
    <w:p w14:paraId="1498C3C8">
      <w:pPr>
        <w:pStyle w:val="3"/>
        <w:keepNext/>
        <w:keepLines/>
      </w:pPr>
      <w:bookmarkStart w:id="63" w:name="_Toc1299027714"/>
      <w:r>
        <w:rPr>
          <w:rFonts w:hint="eastAsia"/>
        </w:rPr>
        <w:t>3.7 人机协同实现</w:t>
      </w:r>
      <w:bookmarkEnd w:id="63"/>
    </w:p>
    <w:p w14:paraId="347A2F10">
      <w:pPr>
        <w:pStyle w:val="10"/>
      </w:pPr>
      <w:r>
        <w:rPr>
          <w:rFonts w:hint="eastAsia"/>
        </w:rPr>
        <w:t>人机协同是这套系统区别于"一键生成"类工具的关键能力。其设计判断是：行业研究的专业判断无法完全自动化，但可以让自动化的部分先把"需要判断什么"整理清楚。因此系统没有把人工审核做成一个笼统的"确认按钮"，而是把每个需要人工决策的位置结构化为决策包——列出阻断性风险、需确认风险、建议动作与风险摘要，人工只需在有限选项间做选择，并在接受风险时提交对应风险码，使确认行为与具体风险一一绑定，避免用一次旧确认去放行一个已经变化的新风险。</w:t>
      </w:r>
    </w:p>
    <w:p w14:paraId="1F53A49F">
      <w:pPr>
        <w:pStyle w:val="10"/>
      </w:pPr>
      <w:r>
        <w:rPr>
          <w:rFonts w:hint="eastAsia"/>
        </w:rPr>
        <w:t>核心组成</w:t>
      </w:r>
    </w:p>
    <w:p w14:paraId="65E4C492">
      <w:pPr>
        <w:pStyle w:val="10"/>
      </w:pPr>
      <w:r>
        <w:rPr>
          <w:rFonts w:hint="eastAsia"/>
        </w:rPr>
        <w:t>人机协同能力由可配置审核门、结构化决策包、审核动作集合与修订版本管理四个部分构成，具体如下，如图 3.x 所示：</w:t>
      </w:r>
    </w:p>
    <w:p w14:paraId="3B9A2BDB">
      <w:pPr>
        <w:pStyle w:val="10"/>
        <w:numPr>
          <w:ilvl w:val="0"/>
          <w:numId w:val="12"/>
        </w:numPr>
      </w:pPr>
      <w:r>
        <w:rPr>
          <w:rFonts w:hint="eastAsia"/>
        </w:rPr>
        <w:t>可配置审核门：审核门按阶段配置，可在创建任务时选择在哪些阶段暂停等待人工确认。未选中的阶段自动通过并披露风险，选中的阶段在完成后进入等待审核状态。这一设计让同一套流水线既能用于需要逐阶段把关的严肃研究，也能用于只需关键节点确认的快速出稿。</w:t>
      </w:r>
    </w:p>
    <w:p w14:paraId="7BC14C56">
      <w:pPr>
        <w:pStyle w:val="10"/>
        <w:numPr>
          <w:ilvl w:val="0"/>
          <w:numId w:val="12"/>
        </w:numPr>
      </w:pPr>
      <w:r>
        <w:rPr>
          <w:rFonts w:hint="eastAsia"/>
        </w:rPr>
        <w:t>结构化决策包：需要人工确认的阶段会生成决策包，内容包含阻断性风险清单、需确认风险清单、系统建议动作与风险摘要，并附带风险快照的校验摘要。人工看到的是"当前有哪些风险、系统建议怎么办"，而不是一段需要自行解读的日志。</w:t>
      </w:r>
    </w:p>
    <w:p w14:paraId="768809B3">
      <w:pPr>
        <w:pStyle w:val="10"/>
        <w:numPr>
          <w:ilvl w:val="0"/>
          <w:numId w:val="12"/>
        </w:numPr>
      </w:pPr>
      <w:r>
        <w:rPr>
          <w:rFonts w:hint="eastAsia"/>
        </w:rPr>
        <w:t>审核动作集合：提供通过、带风险通过、采纳系统建议、自定义选择、重新生成、修改指令重跑等动作。不同动作对应不同的后续行为：通过直接推进下一阶段；带风险通过需提交对应风险码；重新生成在不变更研究范围的前提下重跑当前阶段；修改指令重跑则携带白名单字段重新执行，例如在数据获取阶段调整关键词、行业范围、时间范围与指标，在图表阶段调整图表标题、类型、数据集与主题，在章节阶段选择整章或指定小节重写。</w:t>
      </w:r>
    </w:p>
    <w:p w14:paraId="501E4B0A">
      <w:pPr>
        <w:pStyle w:val="10"/>
        <w:numPr>
          <w:ilvl w:val="0"/>
          <w:numId w:val="12"/>
        </w:numPr>
      </w:pPr>
      <w:r>
        <w:rPr>
          <w:rFonts w:hint="eastAsia"/>
        </w:rPr>
        <w:t>修订版本管理：每次修改与重新生成都会生成新的修订编号，历史修订保持只读。用户可以查看不同版本之间的差异，也可以在确认局部修改不影响上游数据时，仅重新执行受影响的下游环节。</w:t>
      </w:r>
    </w:p>
    <w:p w14:paraId="7C96BB9F">
      <w:pPr>
        <w:pStyle w:val="10"/>
      </w:pPr>
      <w:r>
        <w:rPr>
          <w:rFonts w:hint="eastAsia"/>
        </w:rPr>
        <w:t>核心工作流程</w:t>
      </w:r>
    </w:p>
    <w:p w14:paraId="72F6DFA1">
      <w:pPr>
        <w:pStyle w:val="10"/>
      </w:pPr>
      <w:r>
        <w:rPr>
          <w:rFonts w:hint="eastAsia"/>
        </w:rPr>
        <w:t>人机协同贯穿五个阶段，其流程可概括为"阶段产出 → 风险识别 → 决策包生成 → 人工决策 → 反馈重跑或推进"，具体如下：</w:t>
      </w:r>
    </w:p>
    <w:p w14:paraId="5B5153B9">
      <w:pPr>
        <w:pStyle w:val="10"/>
        <w:numPr>
          <w:ilvl w:val="0"/>
          <w:numId w:val="12"/>
        </w:numPr>
      </w:pPr>
      <w:r>
        <w:rPr>
          <w:rFonts w:hint="eastAsia"/>
        </w:rPr>
        <w:t>阶段产出与风险识别：每个阶段完成后，系统汇总该阶段的产出质量、数据缺口、口径冲突与合规风险，区分"必须阻断"与"需要确认"两类问题。</w:t>
      </w:r>
    </w:p>
    <w:p w14:paraId="4B73366B">
      <w:pPr>
        <w:pStyle w:val="10"/>
        <w:numPr>
          <w:ilvl w:val="0"/>
          <w:numId w:val="12"/>
        </w:numPr>
      </w:pPr>
      <w:r>
        <w:rPr>
          <w:rFonts w:hint="eastAsia"/>
        </w:rPr>
        <w:t>决策包生成：把风险清单、建议动作与风险摘要固化为决策包，并生成快照校验摘要，保证人工看到的风险状态与最终确认的状态是同一份。</w:t>
      </w:r>
    </w:p>
    <w:p w14:paraId="45C3F037">
      <w:pPr>
        <w:pStyle w:val="10"/>
        <w:numPr>
          <w:ilvl w:val="0"/>
          <w:numId w:val="12"/>
        </w:numPr>
      </w:pPr>
      <w:r>
        <w:rPr>
          <w:rFonts w:hint="eastAsia"/>
        </w:rPr>
        <w:t>人工决策：人工在审核界面查看数据来源、分析结论、图表与章节内容，选择通过、带风险通过、采纳建议、自定义、重新生成或修改指令重跑。接受风险时需要提交对应风险码，风险码与风险条目一一对应。</w:t>
      </w:r>
    </w:p>
    <w:p w14:paraId="21FA52C3">
      <w:pPr>
        <w:pStyle w:val="10"/>
        <w:numPr>
          <w:ilvl w:val="0"/>
          <w:numId w:val="12"/>
        </w:numPr>
      </w:pPr>
      <w:r>
        <w:rPr>
          <w:rFonts w:hint="eastAsia"/>
        </w:rPr>
        <w:t>反馈重跑与推进：系统依据决策执行后续动作——推进下一阶段、按修改指令重跑当前阶段，或按反馈重新生成。反馈不是"扔给模型自由发挥"，而是以白名单字段的形式结构化传递，确保重跑范围可控。</w:t>
      </w:r>
    </w:p>
    <w:p w14:paraId="4DA496BC">
      <w:pPr>
        <w:pStyle w:val="10"/>
        <w:numPr>
          <w:ilvl w:val="0"/>
          <w:numId w:val="12"/>
        </w:numPr>
      </w:pPr>
      <w:r>
        <w:rPr>
          <w:rFonts w:hint="eastAsia"/>
        </w:rPr>
        <w:t>版本留存：每次重跑生成新修订，旧修订转为只读，形成完整的决策与修订链条，便于事后复盘"这个结论是在哪一版、基于什么确认产生的"。</w:t>
      </w:r>
    </w:p>
    <w:p w14:paraId="203C90D1">
      <w:pPr>
        <w:pStyle w:val="10"/>
      </w:pPr>
      <w:r>
        <w:rPr>
          <w:rFonts w:hint="eastAsia"/>
        </w:rPr>
        <w:t>关键实现机制</w:t>
      </w:r>
    </w:p>
    <w:p w14:paraId="549A93DA">
      <w:pPr>
        <w:pStyle w:val="10"/>
        <w:numPr>
          <w:ilvl w:val="0"/>
          <w:numId w:val="12"/>
        </w:numPr>
      </w:pPr>
      <w:r>
        <w:rPr>
          <w:rFonts w:hint="eastAsia"/>
        </w:rPr>
        <w:t>风险码绑定而非泛化确认：接受风险必须提交对应风险码，使确认行为精确对应到具体风险条目。这一点直接避免了"上次点过继续，这次风险已经不同却仍然放行"的问题。</w:t>
      </w:r>
    </w:p>
    <w:p w14:paraId="022D40DD">
      <w:pPr>
        <w:pStyle w:val="10"/>
        <w:numPr>
          <w:ilvl w:val="0"/>
          <w:numId w:val="12"/>
        </w:numPr>
      </w:pPr>
      <w:r>
        <w:rPr>
          <w:rFonts w:hint="eastAsia"/>
        </w:rPr>
        <w:t>修改指令白名单化：重跑时可调整的字段是预定义的白名单字段，而不是一段自由文本。这既让重跑范围可预期，也让系统能够判断修改是否只影响当前阶段、还是需要连带重跑下游。</w:t>
      </w:r>
    </w:p>
    <w:p w14:paraId="1BAD7A68">
      <w:pPr>
        <w:pStyle w:val="10"/>
        <w:numPr>
          <w:ilvl w:val="0"/>
          <w:numId w:val="12"/>
        </w:numPr>
      </w:pPr>
      <w:r>
        <w:rPr>
          <w:rFonts w:hint="eastAsia"/>
        </w:rPr>
        <w:t>局部重跑而非全量重来：上游研究范围与证据未变时，系统只重跑受影响的下游环节。这既节省时间与调用成本，也避免"为了改一句话而重新取一次数"带来的结果漂移。</w:t>
      </w:r>
    </w:p>
    <w:p w14:paraId="2E88C88C">
      <w:pPr>
        <w:pStyle w:val="10"/>
        <w:numPr>
          <w:ilvl w:val="0"/>
          <w:numId w:val="12"/>
        </w:numPr>
      </w:pPr>
      <w:r>
        <w:rPr>
          <w:rFonts w:hint="eastAsia"/>
        </w:rPr>
        <w:t>历史修订只读：历史版本只读保存，不随新版本变动。这保证了任意一次交付都能被完整复原到当时的状态，是报告可审计性的基础。</w:t>
      </w:r>
    </w:p>
    <w:p w14:paraId="7A3FD907">
      <w:pPr>
        <w:pStyle w:val="3"/>
        <w:keepNext/>
        <w:keepLines/>
      </w:pPr>
      <w:bookmarkStart w:id="64" w:name="_Toc1440033796"/>
      <w:r>
        <w:rPr>
          <w:rFonts w:hint="eastAsia"/>
        </w:rPr>
        <w:t>3.8 状态与持久化</w:t>
      </w:r>
      <w:bookmarkEnd w:id="64"/>
    </w:p>
    <w:p w14:paraId="2FD2B645">
      <w:pPr>
        <w:pStyle w:val="10"/>
      </w:pPr>
      <w:r>
        <w:rPr>
          <w:rFonts w:hint="eastAsia"/>
        </w:rPr>
        <w:t>状态管理解决的是"长流程跑到一半断了怎么办"这个问题。行业研究单次运行涉及多轮数据获取、多批模型调用与多份产物生成，全流程耗时以十分钟计，期间任何一次网络抖动、模型超时或人工中断都可能让已完成的阶段付诸东流。本系统的处理方式是：把每个阶段的状态与产物视为可独立保存与恢复的实体，任务在任意时点中断后都能按任务编号续跑，而不必从头再来；同时用修订编号区分不同轮次的产物，使历史结果始终可复原、可对比、只读保存。</w:t>
      </w:r>
    </w:p>
    <w:p w14:paraId="4723B94B">
      <w:pPr>
        <w:pStyle w:val="10"/>
      </w:pPr>
      <w:r>
        <w:rPr>
          <w:rFonts w:hint="eastAsia"/>
        </w:rPr>
        <w:t>状态模型</w:t>
      </w:r>
    </w:p>
    <w:p w14:paraId="1C647F7D">
      <w:pPr>
        <w:pStyle w:val="10"/>
      </w:pPr>
      <w:r>
        <w:rPr>
          <w:rFonts w:hint="eastAsia"/>
        </w:rPr>
        <w:t>系统区分主流程状态与异常状态两类。主流程遵循"待执行 → 运行中 → 等待人工审核 → 已通过 / 已完成"的推进路径；异常状态包括执行失败、审核驳回与任务取消三种，与主流程状态互斥。每个阶段自身也持有独立状态，因此"整个任务卡在哪一步、哪一步已完成"在状态层面就是明确的，不需要从日志推断。</w:t>
      </w:r>
    </w:p>
    <w:p w14:paraId="70FDC7D0">
      <w:pPr>
        <w:pStyle w:val="10"/>
      </w:pPr>
      <w:r>
        <w:rPr>
          <w:rFonts w:hint="eastAsia"/>
        </w:rPr>
        <w:t>关键实现机制</w:t>
      </w:r>
    </w:p>
    <w:p w14:paraId="7E4349D5">
      <w:pPr>
        <w:pStyle w:val="10"/>
        <w:numPr>
          <w:ilvl w:val="0"/>
          <w:numId w:val="12"/>
        </w:numPr>
      </w:pPr>
      <w:r>
        <w:rPr>
          <w:rFonts w:hint="eastAsia"/>
        </w:rPr>
        <w:t>阶段级产物落盘：每个阶段完成后，其状态、产物与错误信息都会随任务一同保存，而不是留在内存中等待全流程结束。这是"断点续跑"成立的前提——续跑时读取的是上一阶段已落盘的真实产物，不是重新计算出的近似结果。</w:t>
      </w:r>
    </w:p>
    <w:p w14:paraId="4B8864DA">
      <w:pPr>
        <w:pStyle w:val="10"/>
        <w:numPr>
          <w:ilvl w:val="0"/>
          <w:numId w:val="12"/>
        </w:numPr>
      </w:pPr>
      <w:r>
        <w:rPr>
          <w:rFonts w:hint="eastAsia"/>
        </w:rPr>
        <w:t>按任务编号恢复：服务重启后，系统可以依据任务编号重新加载任务状态与各阶段产物，继续执行未完成的阶段。恢复过程中不会重新执行已通过的阶段，避免已完成的工作被无谓覆盖。</w:t>
      </w:r>
    </w:p>
    <w:p w14:paraId="5B24F7CB">
      <w:pPr>
        <w:pStyle w:val="10"/>
        <w:numPr>
          <w:ilvl w:val="0"/>
          <w:numId w:val="12"/>
        </w:numPr>
      </w:pPr>
      <w:r>
        <w:rPr>
          <w:rFonts w:hint="eastAsia"/>
        </w:rPr>
        <w:t>修订编号与只读历史：每次修改或重新生成都会新增修订编号，历史修订转为只读。这样既保证了当前版本与历史版本可以并存对比，也让"某份交付物对应哪一次修订"有据可查。</w:t>
      </w:r>
    </w:p>
    <w:p w14:paraId="031A2922">
      <w:pPr>
        <w:pStyle w:val="10"/>
        <w:numPr>
          <w:ilvl w:val="0"/>
          <w:numId w:val="12"/>
        </w:numPr>
      </w:pPr>
      <w:r>
        <w:rPr>
          <w:rFonts w:hint="eastAsia"/>
        </w:rPr>
        <w:t>局部重跑优先：当上游研究范围与证据未发生变化时，系统只重新执行受影响的下游环节；当研究范围本身发生变化时，才连带重跑受影响的后续阶段。这一策略减少重复计算，也降低了"只改了一句措辞却导致数据全变"的风险。</w:t>
      </w:r>
    </w:p>
    <w:p w14:paraId="399F45D9">
      <w:pPr>
        <w:pStyle w:val="10"/>
        <w:numPr>
          <w:ilvl w:val="0"/>
          <w:numId w:val="12"/>
        </w:numPr>
      </w:pPr>
      <w:r>
        <w:rPr>
          <w:rFonts w:hint="eastAsia"/>
        </w:rPr>
        <w:t>部署形态与演进路径：当前版本采用单实例、单 Worker 部署，状态与产物以文件形式持久化，足以支撑演示与小规模试点。向多实例部署演进时，需要把状态存储替换为共享数据库，并引入共享任务队列、缓存与对象存储，使多个实例之间能够协同处理同一批任务而不互相覆盖。</w:t>
      </w:r>
    </w:p>
    <w:p w14:paraId="49998D54">
      <w:pPr>
        <w:pStyle w:val="3"/>
        <w:keepNext/>
        <w:keepLines/>
      </w:pPr>
      <w:bookmarkStart w:id="65" w:name="_Toc507307682"/>
      <w:r>
        <w:rPr>
          <w:rFonts w:hint="eastAsia"/>
        </w:rPr>
        <w:t>3.9 安全方案</w:t>
      </w:r>
      <w:bookmarkEnd w:id="65"/>
    </w:p>
    <w:p w14:paraId="38C09ED6">
      <w:pPr>
        <w:pStyle w:val="10"/>
      </w:pPr>
      <w:r>
        <w:rPr>
          <w:rFonts w:hint="eastAsia"/>
        </w:rPr>
        <w:t>本系统的输入具有特殊性：研究主题来自用户、数据来自外部接口、审核意见来自人工，三者都属于不可信内容；同时系统对外暴露了数据查询、模型调用与产物下载三类能力，任何一处防护缺失都可能被利用。因此安全设计的基本立场是把所有外部输入视为恶意或至少不可靠，通过校验、隔离、限权与脱敏四条手段，把风险限制在单次请求之内，避免影响任务数据与其他用户。</w:t>
      </w:r>
    </w:p>
    <w:p w14:paraId="76098E41">
      <w:pPr>
        <w:pStyle w:val="10"/>
      </w:pPr>
      <w:r>
        <w:rPr>
          <w:rFonts w:hint="eastAsia"/>
        </w:rPr>
        <w:t>身份与权限</w:t>
      </w:r>
    </w:p>
    <w:p w14:paraId="7C18F53B">
      <w:pPr>
        <w:pStyle w:val="10"/>
      </w:pPr>
      <w:r>
        <w:rPr>
          <w:rFonts w:hint="eastAsia"/>
        </w:rPr>
        <w:t>所有业务接口统一使用 Bearer Token 鉴权；任务的读取、审核、取消与产物下载均校验任务归属，确保用户只能操作自己的任务。任务编号由服务端生成而非客户端传入，避免通过构造编号猜测或覆盖他人任务。产物下载在返回文件前校验目标路径，防止通过路径拼接访问到产物目录之外的文件。</w:t>
      </w:r>
    </w:p>
    <w:p w14:paraId="296E4A1E">
      <w:pPr>
        <w:pStyle w:val="10"/>
      </w:pPr>
      <w:r>
        <w:rPr>
          <w:rFonts w:hint="eastAsia"/>
        </w:rPr>
        <w:t>输入与内容</w:t>
      </w:r>
    </w:p>
    <w:p w14:paraId="70B559C4">
      <w:pPr>
        <w:pStyle w:val="10"/>
      </w:pPr>
      <w:r>
        <w:rPr>
          <w:rFonts w:hint="eastAsia"/>
        </w:rPr>
        <w:t>请求字段通过 Pydantic 模型做白名单校验，未声明字段一律拒绝，类型、长度与枚举取值在进入工作流之前即完成校验，避免任意字段穿透到下游。用户输入、外部接口返回与审核意见统一按不可信内容处理；在数据解读与章节撰写两个环节额外执行提示注入与敏感输出检测，因为这两处是外部文本进入模型上下文的主要入口。数据获取阶段对无关数据采取隔离而非删除，既避免误删，也保证异常数据不流入下游分析。</w:t>
      </w:r>
    </w:p>
    <w:p w14:paraId="62641D50">
      <w:pPr>
        <w:pStyle w:val="10"/>
      </w:pPr>
      <w:r>
        <w:rPr>
          <w:rFonts w:hint="eastAsia"/>
        </w:rPr>
        <w:t>外部调用与密钥</w:t>
      </w:r>
    </w:p>
    <w:p w14:paraId="579A6EA8">
      <w:pPr>
        <w:pStyle w:val="10"/>
      </w:pPr>
      <w:r>
        <w:rPr>
          <w:rFonts w:hint="eastAsia"/>
        </w:rPr>
        <w:t>对外部数据与模型调用统一设置超时、有限重试与预算上限，避免单次异常调用无限占用资源。密钥仅从环境变量或密钥管理器读取，不写入代码、不进入版本库；日志中不保存密钥、完整提示词与外部原文，只保留必要的调用元信息（如调用次数、耗时、状态码），使日志可定位问题而不泄露敏感内容。业务模块不得绕过网关直接访问外部服务，保证上述策略对所有外部调用一致生效。</w:t>
      </w:r>
    </w:p>
    <w:p w14:paraId="38FB4D76">
      <w:pPr>
        <w:pStyle w:val="3"/>
        <w:keepNext/>
        <w:keepLines/>
      </w:pPr>
      <w:bookmarkStart w:id="66" w:name="_Toc810132784"/>
      <w:r>
        <w:rPr>
          <w:rFonts w:hint="eastAsia"/>
        </w:rPr>
        <w:t>3.10 报告质量控制</w:t>
      </w:r>
      <w:bookmarkEnd w:id="66"/>
    </w:p>
    <w:p w14:paraId="15E42D31">
      <w:pPr>
        <w:pStyle w:val="10"/>
      </w:pPr>
      <w:r>
        <w:rPr>
          <w:rFonts w:hint="eastAsia"/>
        </w:rPr>
        <w:t>报告质量控制回答的问题是"这份报告到底能不能交付"。系统不采用"生成完就交付"的做法，而是在最终报告产出后执行一次确定性评分，用可复核的维度给出结论，并区分"分数不高"与"根本不能出"两类情况——前者是质量问题，后者是硬性阻断问题，二者判断逻辑相互独立，不会因为总分尚可就放行一份存在根本缺陷的报告。</w:t>
      </w:r>
    </w:p>
    <w:p w14:paraId="2289BAF8">
      <w:pPr>
        <w:pStyle w:val="10"/>
      </w:pPr>
      <w:r>
        <w:rPr>
          <w:rFonts w:hint="eastAsia"/>
        </w:rPr>
        <w:t>评分维度</w:t>
      </w:r>
    </w:p>
    <w:p w14:paraId="00AC3031">
      <w:pPr>
        <w:pStyle w:val="10"/>
      </w:pPr>
      <w:r>
        <w:rPr>
          <w:rFonts w:hint="eastAsia"/>
        </w:rPr>
        <w:t>最终报告采用五维一百分的确定性评分，各维度含义如下，如表 3.1 所示：</w:t>
      </w:r>
    </w:p>
    <w:p w14:paraId="02F74DBA">
      <w:pPr>
        <w:pStyle w:val="10"/>
      </w:pPr>
      <w:r>
        <w:rPr>
          <w:rFonts w:hint="eastAsia"/>
        </w:rPr>
        <w:t>表 3.1 报告质量控制评分维度</w:t>
      </w:r>
    </w:p>
    <w:tbl>
      <w:tblPr>
        <w:tblStyle w:val="11"/>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op w:w="15" w:type="dxa"/>
          <w:left w:w="15" w:type="dxa"/>
          <w:bottom w:w="15" w:type="dxa"/>
          <w:right w:w="15" w:type="dxa"/>
        </w:tblCellMar>
      </w:tblPr>
      <w:tblGrid>
        <w:gridCol w:w="4153"/>
        <w:gridCol w:w="4153"/>
      </w:tblGrid>
      <w:tr w14:paraId="73854507">
        <w:trPr>
          <w:tblHeader/>
        </w:trPr>
        <w:tc>
          <w:tcPr>
            <w:tcW w:w="4153" w:type="dxa"/>
            <w:vAlign w:val="center"/>
          </w:tcPr>
          <w:p w14:paraId="79E44E73">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维度</w:t>
            </w:r>
          </w:p>
        </w:tc>
        <w:tc>
          <w:tcPr>
            <w:tcW w:w="4153" w:type="dxa"/>
            <w:vAlign w:val="center"/>
          </w:tcPr>
          <w:p w14:paraId="3337BEDE">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检查内容</w:t>
            </w:r>
          </w:p>
        </w:tc>
      </w:tr>
      <w:tr w14:paraId="498516EE">
        <w:tc>
          <w:tcPr>
            <w:tcW w:w="4153" w:type="dxa"/>
            <w:vAlign w:val="center"/>
          </w:tcPr>
          <w:p w14:paraId="20E4FF5A">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结构完整度</w:t>
            </w:r>
          </w:p>
        </w:tc>
        <w:tc>
          <w:tcPr>
            <w:tcW w:w="4153" w:type="dxa"/>
            <w:vAlign w:val="center"/>
          </w:tcPr>
          <w:p w14:paraId="250B4800">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是否达到七章二十一节的标准结构，章节与小节的缺失、错序或多余均计入扣分。</w:t>
            </w:r>
          </w:p>
        </w:tc>
      </w:tr>
      <w:tr w14:paraId="3C321118">
        <w:tc>
          <w:tcPr>
            <w:tcW w:w="4153" w:type="dxa"/>
            <w:vAlign w:val="center"/>
          </w:tcPr>
          <w:p w14:paraId="12C0AC14">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证据覆盖率</w:t>
            </w:r>
          </w:p>
        </w:tc>
        <w:tc>
          <w:tcPr>
            <w:tcW w:w="4153" w:type="dxa"/>
            <w:vAlign w:val="center"/>
          </w:tcPr>
          <w:p w14:paraId="74D6A244">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正文中的数字与论断是否来自已登记的证据集合，衡量"说了话有没有依据"。</w:t>
            </w:r>
          </w:p>
        </w:tc>
      </w:tr>
      <w:tr w14:paraId="01E1BCAC">
        <w:tc>
          <w:tcPr>
            <w:tcW w:w="4153" w:type="dxa"/>
            <w:vAlign w:val="center"/>
          </w:tcPr>
          <w:p w14:paraId="62E47AD1">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引用一致性</w:t>
            </w:r>
          </w:p>
        </w:tc>
        <w:tc>
          <w:tcPr>
            <w:tcW w:w="4153" w:type="dxa"/>
            <w:vAlign w:val="center"/>
          </w:tcPr>
          <w:p w14:paraId="3DD2A691">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是否存在未知结论、未知证据或未知图表的引用，出现或引用不存在的实体属严重问题。</w:t>
            </w:r>
          </w:p>
        </w:tc>
      </w:tr>
      <w:tr w14:paraId="588BE88F">
        <w:tc>
          <w:tcPr>
            <w:tcW w:w="4153" w:type="dxa"/>
            <w:vAlign w:val="center"/>
          </w:tcPr>
          <w:p w14:paraId="096DFE2A">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维度覆盖</w:t>
            </w:r>
          </w:p>
        </w:tc>
        <w:tc>
          <w:tcPr>
            <w:tcW w:w="4153" w:type="dxa"/>
            <w:vAlign w:val="center"/>
          </w:tcPr>
          <w:p w14:paraId="7240D634">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各研究维度是充分、部分还是不足，衡量研究广度是否满足主题要求。</w:t>
            </w:r>
          </w:p>
        </w:tc>
      </w:tr>
      <w:tr w14:paraId="7B099852">
        <w:tc>
          <w:tcPr>
            <w:tcW w:w="4153" w:type="dxa"/>
            <w:vAlign w:val="center"/>
          </w:tcPr>
          <w:p w14:paraId="41C1B1B7">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风险披露</w:t>
            </w:r>
          </w:p>
        </w:tc>
        <w:tc>
          <w:tcPr>
            <w:tcW w:w="4153" w:type="dxa"/>
            <w:vAlign w:val="center"/>
          </w:tcPr>
          <w:p w14:paraId="4D98EBB7">
            <w:pPr>
              <w:keepNext w:val="0"/>
              <w:keepLines w:val="0"/>
              <w:widowControl/>
              <w:jc w:val="center"/>
              <w:rPr>
                <w:rFonts w:hint="default" w:ascii="Times New Roman Regular" w:hAnsi="Times New Roman Regular" w:eastAsia="楷体" w:cs="Times New Roman Regular"/>
                <w:b/>
                <w:sz w:val="24"/>
              </w:rPr>
            </w:pPr>
            <w:r>
              <w:rPr>
                <w:rFonts w:hint="default" w:ascii="Times New Roman Regular" w:hAnsi="Times New Roman Regular" w:eastAsia="楷体" w:cs="Times New Roman Regular"/>
                <w:b/>
                <w:sz w:val="24"/>
              </w:rPr>
              <w:t>上游识别的数据缺口、口径冲突与不确定性是否在报告中得到完整披露。</w:t>
            </w:r>
          </w:p>
        </w:tc>
      </w:tr>
    </w:tbl>
    <w:p w14:paraId="48C0C934">
      <w:pPr>
        <w:pStyle w:val="10"/>
      </w:pPr>
      <w:r>
        <w:rPr>
          <w:rFonts w:hint="eastAsia"/>
        </w:rPr>
        <w:t>其中结构完整度确保报告在结构层面可比；证据覆盖率关注论证是否有据，因此权重最高；引用一致性用于发现脱离事实的表述；维度覆盖避免"结构完整却只覆盖少数维度"；风险披露要求结论的适用范围与不确定性披露相匹配。</w:t>
      </w:r>
    </w:p>
    <w:p w14:paraId="27407AD9">
      <w:pPr>
        <w:pStyle w:val="10"/>
      </w:pPr>
      <w:r>
        <w:rPr>
          <w:rFonts w:hint="eastAsia"/>
        </w:rPr>
        <w:t>硬性阻断条件</w:t>
      </w:r>
    </w:p>
    <w:p w14:paraId="083979B5">
      <w:pPr>
        <w:pStyle w:val="10"/>
      </w:pPr>
      <w:r>
        <w:rPr>
          <w:rFonts w:hint="eastAsia"/>
        </w:rPr>
        <w:t>质量分数与硬性阻断条件相互独立。即使总分较高，只要出现以下任一情况，系统仍不允许生成正式报告：不存在可用的核心结论、输入契约无法读取、或发生安全问题。这三类问题意味着报告的事实基础或合规前提已经失效，不属于可以通过扣分表达的质量瑕疵。</w:t>
      </w:r>
    </w:p>
    <w:p w14:paraId="658B2835">
      <w:pPr>
        <w:pStyle w:val="10"/>
      </w:pPr>
      <w:r>
        <w:rPr>
          <w:rFonts w:hint="eastAsia"/>
        </w:rPr>
        <w:t>关键实现机制</w:t>
      </w:r>
    </w:p>
    <w:p w14:paraId="29F2EF3C">
      <w:pPr>
        <w:pStyle w:val="10"/>
        <w:numPr>
          <w:ilvl w:val="0"/>
          <w:numId w:val="12"/>
        </w:numPr>
      </w:pPr>
      <w:r>
        <w:rPr>
          <w:rFonts w:hint="eastAsia"/>
        </w:rPr>
        <w:t>确定性评分而非主观评价：五个维度均由代码按固定规则计算，同一份报告每次评分结果一致。这使质量分可以用于版本之间的横向对比，也便于把评分标准的调整作为可控变更来管理。</w:t>
      </w:r>
    </w:p>
    <w:p w14:paraId="4BF9BB23">
      <w:pPr>
        <w:pStyle w:val="10"/>
        <w:numPr>
          <w:ilvl w:val="0"/>
          <w:numId w:val="12"/>
        </w:numPr>
      </w:pPr>
      <w:r>
        <w:rPr>
          <w:rFonts w:hint="eastAsia"/>
        </w:rPr>
        <w:t>分数与阻断分离：把"质量高低"与"能否交付"拆成两套判断，避免了实践中常见的一类错误——因为总分看起来不低，就放行一份核心结论其实不成立的报告。</w:t>
      </w:r>
    </w:p>
    <w:p w14:paraId="549F1F4B">
      <w:pPr>
        <w:pStyle w:val="10"/>
        <w:numPr>
          <w:ilvl w:val="0"/>
          <w:numId w:val="12"/>
        </w:numPr>
      </w:pPr>
      <w:r>
        <w:rPr>
          <w:rFonts w:hint="eastAsia"/>
        </w:rPr>
        <w:t>风险随报告一并披露：上游阶段识别出的数据缺口、冲突与不确定性会作为报告的一部分输出，读者不需要额外索取即可了解这份结论适用于什么范围。</w:t>
      </w:r>
    </w:p>
    <w:p w14:paraId="182498E4">
      <w:pPr>
        <w:pStyle w:val="3"/>
        <w:keepNext/>
        <w:keepLines/>
      </w:pPr>
      <w:bookmarkStart w:id="67" w:name="_Toc855378708"/>
      <w:r>
        <w:rPr>
          <w:rFonts w:hint="eastAsia"/>
        </w:rPr>
        <w:t>3.11 技术创新点</w:t>
      </w:r>
      <w:bookmarkEnd w:id="67"/>
    </w:p>
    <w:p w14:paraId="539F49AD">
      <w:pPr>
        <w:pStyle w:val="10"/>
      </w:pPr>
      <w:r>
        <w:rPr>
          <w:rFonts w:hint="eastAsia"/>
        </w:rPr>
        <w:t>本项目的创新集中在"如何让金融研究场景下的智能体产出可信、可核验、可干预"，而不是把模型能力堆叠得更强。以下七点均可对应到系统内的具体实现，而非设计设想。</w:t>
      </w:r>
    </w:p>
    <w:p w14:paraId="1D72DC03">
      <w:pPr>
        <w:pStyle w:val="10"/>
        <w:numPr>
          <w:ilvl w:val="0"/>
          <w:numId w:val="12"/>
        </w:numPr>
      </w:pPr>
      <w:r>
        <w:rPr>
          <w:rFonts w:hint="eastAsia"/>
        </w:rPr>
        <w:t>把防幻觉写进架构而非写进提示词：模型在本系统中只承担两类职责——理解研究需求并规划查询任务、以及在已有证据之上做归纳与解释。结构化事实只能来自数据接口的原始响应，由确定性融合代码完成口径统一、去重与冲突保留；数据解读阶段的指标与趋势由确定性引擎先行计算，模型只在其上做解释；报告融合阶段对新增数字与未知证据引用采取硬拒绝。幻觉的抑制来自"模型拿不到生成事实的权限"，而不是来自提示词里的告诫。</w:t>
      </w:r>
    </w:p>
    <w:p w14:paraId="01B3B0EB">
      <w:pPr>
        <w:pStyle w:val="10"/>
        <w:numPr>
          <w:ilvl w:val="0"/>
          <w:numId w:val="12"/>
        </w:numPr>
      </w:pPr>
      <w:r>
        <w:rPr>
          <w:rFonts w:hint="eastAsia"/>
        </w:rPr>
        <w:t>建立从原始响应到正文段落的完整证据链：每条进入系统的电子记录都会被登记为带唯一编号的证据，包含数据域、实体、指标、取值、单位、报告期与来源标识；图表、章节段落与最终报告正文都只引用已登记的证据编号。报告在渲染为 Markdown、HTML 与 PDF 之后，段落级引用关系依然保留，因此"正文里这个数字从哪来"是一次编号查询就能回答的问题，而不是需要人工翻查的溯源工作。</w:t>
      </w:r>
    </w:p>
    <w:p w14:paraId="5C3CB989">
      <w:pPr>
        <w:pStyle w:val="10"/>
        <w:numPr>
          <w:ilvl w:val="0"/>
          <w:numId w:val="12"/>
        </w:numPr>
      </w:pPr>
      <w:r>
        <w:rPr>
          <w:rFonts w:hint="eastAsia"/>
        </w:rPr>
        <w:t>把确定性计算与语义推理彻底分离：财务指标计算、趋势方向与方向一致率统计、稳健离群检测、跨来源一致性校验等全部由代码完成，模型不参与；模型负责的解释性工作则以结构化 Schema 约束输出，并强制标注所引用的证据。这一分离使系统在模型不可用时仍能输出确定的计算结果，也让同一份数据在不同模型下得到一致的事实层。</w:t>
      </w:r>
    </w:p>
    <w:p w14:paraId="1BF5FF03">
      <w:pPr>
        <w:pStyle w:val="10"/>
        <w:numPr>
          <w:ilvl w:val="0"/>
          <w:numId w:val="12"/>
        </w:numPr>
      </w:pPr>
      <w:r>
        <w:rPr>
          <w:rFonts w:hint="eastAsia"/>
        </w:rPr>
        <w:t>用规则化图型替代自由出图：图型选择由数据形态与规则层共同裁决，模型只能提出选型意向，不能决定"画成什么样"。系统在配置编译阶段拦截单位量纲混排、保留零轴参考线、处理极端值与长标签重叠；当数据形态不支持目标图型时执行确定性降级并记录降级原因，数据不足时允许不产出图表并说明抑制理由。图表因此从"看起来专业"转向"可以被核验"。</w:t>
      </w:r>
    </w:p>
    <w:p w14:paraId="2AC1E102">
      <w:pPr>
        <w:pStyle w:val="10"/>
        <w:numPr>
          <w:ilvl w:val="0"/>
          <w:numId w:val="12"/>
        </w:numPr>
      </w:pPr>
      <w:r>
        <w:rPr>
          <w:rFonts w:hint="eastAsia"/>
        </w:rPr>
        <w:t>把人工审核做成结构化决策而非笼统确认：需要人工判断的阶段会生成结构化决策包，列明阻断性风险、需确认风险、建议动作与风险摘要，并附风险快照校验摘要；人工在选择带风险通过时必须提交与风险条目一一对应的风险码。修改意见以白名单字段的形式传递，而非一段自由文本，使重跑范围可控、可预期。这使"人在回路"真正影响了流程走向，而不是形式上的点击确认。</w:t>
      </w:r>
    </w:p>
    <w:p w14:paraId="78D2915B">
      <w:pPr>
        <w:pStyle w:val="10"/>
        <w:numPr>
          <w:ilvl w:val="0"/>
          <w:numId w:val="12"/>
        </w:numPr>
      </w:pPr>
      <w:r>
        <w:rPr>
          <w:rFonts w:hint="eastAsia"/>
        </w:rPr>
        <w:t>以统一事实视图驱动多格式输出：Markdown、HTML 与 PDF 三种交付形态由同一份报告事实视图渲染，不存在三套独立生成的路径。跨格式内容不一致的问题因此在结构上不可能发生——任何内容改动都必须在视图层完成，三种格式同步生效。</w:t>
      </w:r>
    </w:p>
    <w:p w14:paraId="1FAE8060">
      <w:pPr>
        <w:pStyle w:val="10"/>
        <w:numPr>
          <w:ilvl w:val="0"/>
          <w:numId w:val="12"/>
        </w:numPr>
      </w:pPr>
      <w:r>
        <w:rPr>
          <w:rFonts w:hint="eastAsia"/>
        </w:rPr>
        <w:t>对失败路径给出显式恢复策略：数据接口鉴权失败、限流、超时或返回空结果时，系统记录结构化错误与数据缺口，不使用测试数据替代，缺少有效密钥时直接返回鉴权错误并停止；模型输出不符合契约时允许一次受控格式修复，修复过程不得改变原有数字、事实与证据编号，再次失败则转入确定性兜底并明确标注资料不足。系统对"取不到数、模型不可用、契约不满足"三类异常都有明确出口，而不是静默降级成一份看起来正常的报告。</w:t>
      </w:r>
    </w:p>
    <w:p w14:paraId="1EAD8C87">
      <w:pPr>
        <w:pStyle w:val="2"/>
        <w:keepNext w:val="0"/>
        <w:keepLines w:val="0"/>
        <w:widowControl/>
        <w:suppressLineNumbers w:val="0"/>
        <w:jc w:val="center"/>
        <w:rPr>
          <w:rFonts w:hint="default" w:ascii="Times New Roman Regular" w:hAnsi="Times New Roman Regular" w:eastAsia="楷体" w:cs="Times New Roman Regular"/>
        </w:rPr>
      </w:pPr>
      <w:bookmarkStart w:id="68" w:name="_Toc1094412338"/>
      <w:r>
        <w:rPr>
          <w:rFonts w:hint="default" w:ascii="Times New Roman Regular" w:hAnsi="Times New Roman Regular" w:eastAsia="楷体" w:cs="Times New Roman Regular"/>
        </w:rPr>
        <w:t>4 成本模型及可行性分析</w:t>
      </w:r>
      <w:bookmarkEnd w:id="68"/>
    </w:p>
    <w:p w14:paraId="483CA783">
      <w:pPr>
        <w:pStyle w:val="3"/>
        <w:keepNext w:val="0"/>
        <w:keepLines w:val="0"/>
        <w:widowControl/>
        <w:suppressLineNumbers w:val="0"/>
        <w:rPr>
          <w:rFonts w:hint="default" w:ascii="Times New Roman Regular" w:hAnsi="Times New Roman Regular" w:eastAsia="楷体" w:cs="Times New Roman Regular"/>
        </w:rPr>
      </w:pPr>
      <w:bookmarkStart w:id="69" w:name="_Toc590728211"/>
      <w:r>
        <w:rPr>
          <w:rFonts w:hint="default" w:ascii="Times New Roman Regular" w:hAnsi="Times New Roman Regular" w:eastAsia="楷体" w:cs="Times New Roman Regular"/>
        </w:rPr>
        <w:t>4.1 成本分析口径</w:t>
      </w:r>
      <w:bookmarkEnd w:id="69"/>
    </w:p>
    <w:p w14:paraId="3F492273">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项目成本分为一次性建设成本、固定运行成本、按量使用成本和风险储备。</w:t>
      </w:r>
    </w:p>
    <w:p w14:paraId="4F2A834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月度成本可以表示为：</w:t>
      </w:r>
    </w:p>
    <w:p w14:paraId="4CC2303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月度总成本＝固定基础设施成本＋报告数量×单份数据与模型成本＋运维和人工审核成本＋风险储备。</w:t>
      </w:r>
    </w:p>
    <w:p w14:paraId="36ED3125">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单份报告模型成本按照实际输入、输出 Token 和供应商单价计算。最终预算需要使用提交时的模型价格和 SkillHub 授权方案更新，本方案中的金额仅作为估算参考。</w:t>
      </w:r>
    </w:p>
    <w:p w14:paraId="5FA7896A">
      <w:pPr>
        <w:pStyle w:val="3"/>
        <w:keepNext w:val="0"/>
        <w:keepLines w:val="0"/>
        <w:widowControl/>
        <w:suppressLineNumbers w:val="0"/>
        <w:rPr>
          <w:rFonts w:hint="default" w:ascii="Times New Roman Regular" w:hAnsi="Times New Roman Regular" w:eastAsia="楷体" w:cs="Times New Roman Regular"/>
        </w:rPr>
      </w:pPr>
      <w:bookmarkStart w:id="70" w:name="_Toc552142196"/>
      <w:r>
        <w:rPr>
          <w:rFonts w:hint="default" w:ascii="Times New Roman Regular" w:hAnsi="Times New Roman Regular" w:eastAsia="楷体" w:cs="Times New Roman Regular"/>
        </w:rPr>
        <w:t>4.2 一次性建设成本</w:t>
      </w:r>
      <w:bookmarkEnd w:id="70"/>
    </w:p>
    <w:p w14:paraId="3F8EB951">
      <w:pPr>
        <w:pStyle w:val="10"/>
      </w:pPr>
      <w:r>
        <w:rPr>
          <w:rFonts w:hint="eastAsia"/>
        </w:rPr>
        <w:t>表 4.1 一次性建设成本估算</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680"/>
        <w:gridCol w:w="2955"/>
      </w:tblGrid>
      <w:tr w14:paraId="14296939">
        <w:trPr>
          <w:tblHeader/>
          <w:tblCellSpacing w:w="15" w:type="dxa"/>
        </w:trPr>
        <w:tc>
          <w:tcPr>
            <w:tcW w:w="0" w:type="auto"/>
            <w:shd w:val="clear" w:color="auto" w:fill="auto"/>
            <w:vAlign w:val="center"/>
          </w:tcPr>
          <w:p w14:paraId="13279789">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成本项目</w:t>
            </w:r>
          </w:p>
        </w:tc>
        <w:tc>
          <w:tcPr>
            <w:tcW w:w="0" w:type="auto"/>
            <w:shd w:val="clear" w:color="auto" w:fill="auto"/>
            <w:vAlign w:val="center"/>
          </w:tcPr>
          <w:p w14:paraId="7640000C">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当前阶段估算</w:t>
            </w:r>
          </w:p>
        </w:tc>
        <w:tc>
          <w:tcPr>
            <w:tcW w:w="0" w:type="auto"/>
            <w:shd w:val="clear" w:color="auto" w:fill="auto"/>
            <w:vAlign w:val="center"/>
          </w:tcPr>
          <w:p w14:paraId="0FFDB3DC">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说明</w:t>
            </w:r>
          </w:p>
        </w:tc>
      </w:tr>
      <w:tr w14:paraId="479A8B94">
        <w:trPr>
          <w:tblCellSpacing w:w="15" w:type="dxa"/>
        </w:trPr>
        <w:tc>
          <w:tcPr>
            <w:tcW w:w="0" w:type="auto"/>
            <w:shd w:val="clear" w:color="auto" w:fill="auto"/>
            <w:vAlign w:val="center"/>
          </w:tcPr>
          <w:p w14:paraId="22E19ACC">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代码与设计工具</w:t>
            </w:r>
          </w:p>
        </w:tc>
        <w:tc>
          <w:tcPr>
            <w:tcW w:w="0" w:type="auto"/>
            <w:shd w:val="clear" w:color="auto" w:fill="auto"/>
            <w:vAlign w:val="center"/>
          </w:tcPr>
          <w:p w14:paraId="553DD67F">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0—1,000元</w:t>
            </w:r>
          </w:p>
        </w:tc>
        <w:tc>
          <w:tcPr>
            <w:tcW w:w="0" w:type="auto"/>
            <w:shd w:val="clear" w:color="auto" w:fill="auto"/>
            <w:vAlign w:val="center"/>
          </w:tcPr>
          <w:p w14:paraId="678E66F0">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以开源工具和现有账号为主</w:t>
            </w:r>
          </w:p>
        </w:tc>
      </w:tr>
      <w:tr w14:paraId="38A7B9D3">
        <w:trPr>
          <w:tblCellSpacing w:w="15" w:type="dxa"/>
        </w:trPr>
        <w:tc>
          <w:tcPr>
            <w:tcW w:w="0" w:type="auto"/>
            <w:shd w:val="clear" w:color="auto" w:fill="auto"/>
            <w:vAlign w:val="center"/>
          </w:tcPr>
          <w:p w14:paraId="35D29B52">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云服务器和测试环境</w:t>
            </w:r>
          </w:p>
        </w:tc>
        <w:tc>
          <w:tcPr>
            <w:tcW w:w="0" w:type="auto"/>
            <w:shd w:val="clear" w:color="auto" w:fill="auto"/>
            <w:vAlign w:val="center"/>
          </w:tcPr>
          <w:p w14:paraId="14AA2C5E">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500—2,000元</w:t>
            </w:r>
          </w:p>
        </w:tc>
        <w:tc>
          <w:tcPr>
            <w:tcW w:w="0" w:type="auto"/>
            <w:shd w:val="clear" w:color="auto" w:fill="auto"/>
            <w:vAlign w:val="center"/>
          </w:tcPr>
          <w:p w14:paraId="3E583A33">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根据演示周期和配置确定</w:t>
            </w:r>
          </w:p>
        </w:tc>
      </w:tr>
      <w:tr w14:paraId="5A83BA10">
        <w:trPr>
          <w:tblCellSpacing w:w="15" w:type="dxa"/>
        </w:trPr>
        <w:tc>
          <w:tcPr>
            <w:tcW w:w="0" w:type="auto"/>
            <w:shd w:val="clear" w:color="auto" w:fill="auto"/>
            <w:vAlign w:val="center"/>
          </w:tcPr>
          <w:p w14:paraId="5612C3A6">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域名、证书和网络</w:t>
            </w:r>
          </w:p>
        </w:tc>
        <w:tc>
          <w:tcPr>
            <w:tcW w:w="0" w:type="auto"/>
            <w:shd w:val="clear" w:color="auto" w:fill="auto"/>
            <w:vAlign w:val="center"/>
          </w:tcPr>
          <w:p w14:paraId="485ECD78">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0—300元</w:t>
            </w:r>
          </w:p>
        </w:tc>
        <w:tc>
          <w:tcPr>
            <w:tcW w:w="0" w:type="auto"/>
            <w:shd w:val="clear" w:color="auto" w:fill="auto"/>
            <w:vAlign w:val="center"/>
          </w:tcPr>
          <w:p w14:paraId="61993A08">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可使用免费证书</w:t>
            </w:r>
          </w:p>
        </w:tc>
      </w:tr>
      <w:tr w14:paraId="20D83626">
        <w:trPr>
          <w:tblCellSpacing w:w="15" w:type="dxa"/>
        </w:trPr>
        <w:tc>
          <w:tcPr>
            <w:tcW w:w="0" w:type="auto"/>
            <w:shd w:val="clear" w:color="auto" w:fill="auto"/>
            <w:vAlign w:val="center"/>
          </w:tcPr>
          <w:p w14:paraId="56511C4F">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模型和图像接口测试</w:t>
            </w:r>
          </w:p>
        </w:tc>
        <w:tc>
          <w:tcPr>
            <w:tcW w:w="0" w:type="auto"/>
            <w:shd w:val="clear" w:color="auto" w:fill="auto"/>
            <w:vAlign w:val="center"/>
          </w:tcPr>
          <w:p w14:paraId="34081585">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500—3,000元</w:t>
            </w:r>
          </w:p>
        </w:tc>
        <w:tc>
          <w:tcPr>
            <w:tcW w:w="0" w:type="auto"/>
            <w:shd w:val="clear" w:color="auto" w:fill="auto"/>
            <w:vAlign w:val="center"/>
          </w:tcPr>
          <w:p w14:paraId="1E0D6703">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与测试次数、报告深度有关</w:t>
            </w:r>
          </w:p>
        </w:tc>
      </w:tr>
      <w:tr w14:paraId="1030D2CB">
        <w:trPr>
          <w:tblCellSpacing w:w="15" w:type="dxa"/>
        </w:trPr>
        <w:tc>
          <w:tcPr>
            <w:tcW w:w="0" w:type="auto"/>
            <w:shd w:val="clear" w:color="auto" w:fill="auto"/>
            <w:vAlign w:val="center"/>
          </w:tcPr>
          <w:p w14:paraId="03B28DD1">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SkillHub 数据授权</w:t>
            </w:r>
          </w:p>
        </w:tc>
        <w:tc>
          <w:tcPr>
            <w:tcW w:w="0" w:type="auto"/>
            <w:shd w:val="clear" w:color="auto" w:fill="auto"/>
            <w:vAlign w:val="center"/>
          </w:tcPr>
          <w:p w14:paraId="0B05F57A">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待确认</w:t>
            </w:r>
          </w:p>
        </w:tc>
        <w:tc>
          <w:tcPr>
            <w:tcW w:w="0" w:type="auto"/>
            <w:shd w:val="clear" w:color="auto" w:fill="auto"/>
            <w:vAlign w:val="center"/>
          </w:tcPr>
          <w:p w14:paraId="2275EFF7">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以实际授权方案为准</w:t>
            </w:r>
          </w:p>
        </w:tc>
      </w:tr>
      <w:tr w14:paraId="753E347B">
        <w:trPr>
          <w:tblCellSpacing w:w="15" w:type="dxa"/>
        </w:trPr>
        <w:tc>
          <w:tcPr>
            <w:tcW w:w="0" w:type="auto"/>
            <w:shd w:val="clear" w:color="auto" w:fill="auto"/>
            <w:vAlign w:val="center"/>
          </w:tcPr>
          <w:p w14:paraId="25910DF8">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存储、备份和杂项</w:t>
            </w:r>
          </w:p>
        </w:tc>
        <w:tc>
          <w:tcPr>
            <w:tcW w:w="0" w:type="auto"/>
            <w:shd w:val="clear" w:color="auto" w:fill="auto"/>
            <w:vAlign w:val="center"/>
          </w:tcPr>
          <w:p w14:paraId="12EB2895">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200—1,000元</w:t>
            </w:r>
          </w:p>
        </w:tc>
        <w:tc>
          <w:tcPr>
            <w:tcW w:w="0" w:type="auto"/>
            <w:shd w:val="clear" w:color="auto" w:fill="auto"/>
            <w:vAlign w:val="center"/>
          </w:tcPr>
          <w:p w14:paraId="790D0735">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报告、视频和备份空间</w:t>
            </w:r>
          </w:p>
        </w:tc>
      </w:tr>
      <w:tr w14:paraId="7E078739">
        <w:trPr>
          <w:tblCellSpacing w:w="15" w:type="dxa"/>
        </w:trPr>
        <w:tc>
          <w:tcPr>
            <w:tcW w:w="0" w:type="auto"/>
            <w:shd w:val="clear" w:color="auto" w:fill="auto"/>
            <w:vAlign w:val="center"/>
          </w:tcPr>
          <w:p w14:paraId="72C3A2F4">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风险储备</w:t>
            </w:r>
          </w:p>
        </w:tc>
        <w:tc>
          <w:tcPr>
            <w:tcW w:w="0" w:type="auto"/>
            <w:shd w:val="clear" w:color="auto" w:fill="auto"/>
            <w:vAlign w:val="center"/>
          </w:tcPr>
          <w:p w14:paraId="44D30075">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可计量成本的10%—20%</w:t>
            </w:r>
          </w:p>
        </w:tc>
        <w:tc>
          <w:tcPr>
            <w:tcW w:w="0" w:type="auto"/>
            <w:shd w:val="clear" w:color="auto" w:fill="auto"/>
            <w:vAlign w:val="center"/>
          </w:tcPr>
          <w:p w14:paraId="63CBA847">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用于临时扩容和接口重试</w:t>
            </w:r>
          </w:p>
        </w:tc>
      </w:tr>
    </w:tbl>
    <w:p w14:paraId="1AC7ECB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上述金额不包含团队成员的人力机会成本。若按照商业项目核算，应使用“角色月成本×投入月数×投入比例”计算研发人力成本。</w:t>
      </w:r>
    </w:p>
    <w:p w14:paraId="56EF678A">
      <w:pPr>
        <w:pStyle w:val="3"/>
        <w:keepNext w:val="0"/>
        <w:keepLines w:val="0"/>
        <w:widowControl/>
        <w:suppressLineNumbers w:val="0"/>
        <w:rPr>
          <w:rFonts w:hint="default" w:ascii="Times New Roman Regular" w:hAnsi="Times New Roman Regular" w:eastAsia="楷体" w:cs="Times New Roman Regular"/>
        </w:rPr>
      </w:pPr>
      <w:bookmarkStart w:id="71" w:name="_Toc577049485"/>
      <w:r>
        <w:rPr>
          <w:rFonts w:hint="default" w:ascii="Times New Roman Regular" w:hAnsi="Times New Roman Regular" w:eastAsia="楷体" w:cs="Times New Roman Regular"/>
        </w:rPr>
        <w:t>4.3 持续运行成本</w:t>
      </w:r>
      <w:bookmarkEnd w:id="71"/>
    </w:p>
    <w:p w14:paraId="3C2D0B6F">
      <w:pPr>
        <w:pStyle w:val="4"/>
        <w:keepNext w:val="0"/>
        <w:keepLines w:val="0"/>
        <w:widowControl/>
        <w:suppressLineNumbers w:val="0"/>
        <w:rPr>
          <w:rFonts w:hint="default" w:ascii="Times New Roman Regular" w:hAnsi="Times New Roman Regular" w:eastAsia="楷体" w:cs="Times New Roman Regular"/>
        </w:rPr>
      </w:pPr>
      <w:bookmarkStart w:id="72" w:name="_Toc434544543"/>
      <w:r>
        <w:rPr>
          <w:rFonts w:hint="default" w:ascii="Times New Roman Regular" w:hAnsi="Times New Roman Regular" w:eastAsia="楷体" w:cs="Times New Roman Regular"/>
        </w:rPr>
        <w:t>4.3.1 固定成本</w:t>
      </w:r>
      <w:bookmarkEnd w:id="72"/>
    </w:p>
    <w:p w14:paraId="7729235B">
      <w:pPr>
        <w:pStyle w:val="10"/>
        <w:keepNext w:val="0"/>
        <w:keepLines w:val="0"/>
        <w:widowControl/>
        <w:suppressLineNumbers w:val="0"/>
        <w:ind w:left="239" w:leftChars="114" w:firstLine="240" w:firstLineChars="1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固定成本包括服务器、数据库、对象存储、域名证书、监控、备份和安全务。</w:t>
      </w:r>
    </w:p>
    <w:p w14:paraId="480C47F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当前阶段可以采用单机部署控制成本；规模化试点阶段则需要数据库、缓存、任务队列和对象存储分离部署。</w:t>
      </w:r>
    </w:p>
    <w:p w14:paraId="08468D98">
      <w:pPr>
        <w:pStyle w:val="4"/>
        <w:keepNext w:val="0"/>
        <w:keepLines w:val="0"/>
        <w:widowControl/>
        <w:suppressLineNumbers w:val="0"/>
        <w:rPr>
          <w:rFonts w:hint="default" w:ascii="Times New Roman Regular" w:hAnsi="Times New Roman Regular" w:eastAsia="楷体" w:cs="Times New Roman Regular"/>
        </w:rPr>
      </w:pPr>
      <w:bookmarkStart w:id="73" w:name="_Toc1945734401"/>
      <w:r>
        <w:rPr>
          <w:rFonts w:hint="default" w:ascii="Times New Roman Regular" w:hAnsi="Times New Roman Regular" w:eastAsia="楷体" w:cs="Times New Roman Regular"/>
        </w:rPr>
        <w:t>4.3.2 变量成本</w:t>
      </w:r>
      <w:bookmarkEnd w:id="73"/>
    </w:p>
    <w:p w14:paraId="7A785C00">
      <w:pPr>
        <w:pStyle w:val="10"/>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变量成本包括：</w:t>
      </w:r>
    </w:p>
    <w:p w14:paraId="671FE23B">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SkillHub 数据调用费用。</w:t>
      </w:r>
    </w:p>
    <w:p w14:paraId="64E76372">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大模型输入和输出 Token 费用。</w:t>
      </w:r>
    </w:p>
    <w:p w14:paraId="43881B6C">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可选图像生成费用。</w:t>
      </w:r>
    </w:p>
    <w:p w14:paraId="0C6C8B67">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网络补充检索费用。</w:t>
      </w:r>
    </w:p>
    <w:p w14:paraId="03F05378">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PDF 渲染计算费用。</w:t>
      </w:r>
    </w:p>
    <w:p w14:paraId="22A4B283">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报告和证据存储费用。</w:t>
      </w:r>
    </w:p>
    <w:p w14:paraId="6E2D8EE2">
      <w:pPr>
        <w:keepNext w:val="0"/>
        <w:keepLines w:val="0"/>
        <w:widowControl/>
        <w:numPr>
          <w:ilvl w:val="0"/>
          <w:numId w:val="13"/>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人工审核和客户支持成本。</w:t>
      </w:r>
    </w:p>
    <w:p w14:paraId="001DA7E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Agent 3 图表生成和 Agent 5 报告融合采用确定性程序，不调用大模型，可以将模型成本集中在数据解读和章节撰写两个必要环节。</w:t>
      </w:r>
    </w:p>
    <w:p w14:paraId="67F75165">
      <w:pPr>
        <w:pStyle w:val="4"/>
        <w:keepNext w:val="0"/>
        <w:keepLines w:val="0"/>
        <w:widowControl/>
        <w:suppressLineNumbers w:val="0"/>
        <w:rPr>
          <w:rFonts w:hint="default" w:ascii="Times New Roman Regular" w:hAnsi="Times New Roman Regular" w:eastAsia="楷体" w:cs="Times New Roman Regular"/>
        </w:rPr>
      </w:pPr>
      <w:bookmarkStart w:id="74" w:name="_Toc77101091"/>
      <w:r>
        <w:rPr>
          <w:rFonts w:hint="default" w:ascii="Times New Roman Regular" w:hAnsi="Times New Roman Regular" w:eastAsia="楷体" w:cs="Times New Roman Regular"/>
        </w:rPr>
        <w:t>4.3.3 隐性成本</w:t>
      </w:r>
      <w:bookmarkEnd w:id="74"/>
    </w:p>
    <w:p w14:paraId="569FE93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隐性成本包括数据口径维护、模型升级适配、提示词和 Schema 调整、真实链路回归测试、错误复盘、用户培训、合规审查和客户支持。</w:t>
      </w:r>
    </w:p>
    <w:p w14:paraId="1D636EC5">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商业化预算不能只计算服务器和模型 API，还需要为持续维护工作预留资源。</w:t>
      </w:r>
    </w:p>
    <w:p w14:paraId="1D5661DD">
      <w:pPr>
        <w:pStyle w:val="3"/>
        <w:keepNext w:val="0"/>
        <w:keepLines w:val="0"/>
        <w:widowControl/>
        <w:suppressLineNumbers w:val="0"/>
        <w:rPr>
          <w:rFonts w:hint="default" w:ascii="Times New Roman Regular" w:hAnsi="Times New Roman Regular" w:eastAsia="楷体" w:cs="Times New Roman Regular"/>
        </w:rPr>
      </w:pPr>
      <w:bookmarkStart w:id="75" w:name="_Toc905397296"/>
      <w:r>
        <w:rPr>
          <w:rFonts w:hint="default" w:ascii="Times New Roman Regular" w:hAnsi="Times New Roman Regular" w:eastAsia="楷体" w:cs="Times New Roman Regular"/>
        </w:rPr>
        <w:t>4.4 成本控制策略</w:t>
      </w:r>
      <w:bookmarkEnd w:id="75"/>
    </w:p>
    <w:p w14:paraId="11F4FCEE">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对技能路由、图表选择、公式计算、质量评分和报告融合使用确定性规则。</w:t>
      </w:r>
    </w:p>
    <w:p w14:paraId="376EF40D">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按需加载分析方法，减少无关提示词。</w:t>
      </w:r>
    </w:p>
    <w:p w14:paraId="6BCEC85B">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按章节构建最小证据上下文。</w:t>
      </w:r>
    </w:p>
    <w:p w14:paraId="50EFD7AF">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对长任务进行分段生成，降低整体重试成本。</w:t>
      </w:r>
    </w:p>
    <w:p w14:paraId="1E1454B7">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支持指定章节重生成，避免重复执行全部阶段。</w:t>
      </w:r>
    </w:p>
    <w:p w14:paraId="6CCA5E9D">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对合规且时效允许的查询结果设置缓存。</w:t>
      </w:r>
    </w:p>
    <w:p w14:paraId="266DB638">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将图像生成设为可选能力。</w:t>
      </w:r>
    </w:p>
    <w:p w14:paraId="79FF7015">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按任务记录模型调用、Token、工具调用、重试次数和产物大小。</w:t>
      </w:r>
    </w:p>
    <w:p w14:paraId="738D759B">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根据概览、标准和深度模式设置不同额度。</w:t>
      </w:r>
    </w:p>
    <w:p w14:paraId="194AC649">
      <w:pPr>
        <w:keepNext w:val="0"/>
        <w:keepLines w:val="0"/>
        <w:widowControl/>
        <w:numPr>
          <w:ilvl w:val="0"/>
          <w:numId w:val="14"/>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建立成本告警和异常调用熔断机制。</w:t>
      </w:r>
    </w:p>
    <w:p w14:paraId="5610A54F">
      <w:pPr>
        <w:pStyle w:val="3"/>
        <w:keepNext w:val="0"/>
        <w:keepLines w:val="0"/>
        <w:widowControl/>
        <w:suppressLineNumbers w:val="0"/>
        <w:rPr>
          <w:rFonts w:hint="default" w:ascii="Times New Roman Regular" w:hAnsi="Times New Roman Regular" w:eastAsia="楷体" w:cs="Times New Roman Regular"/>
        </w:rPr>
      </w:pPr>
      <w:bookmarkStart w:id="76" w:name="_Toc2090714877"/>
      <w:r>
        <w:rPr>
          <w:rFonts w:hint="default" w:ascii="Times New Roman Regular" w:hAnsi="Times New Roman Regular" w:eastAsia="楷体" w:cs="Times New Roman Regular"/>
        </w:rPr>
        <w:t>4.5 收益分析</w:t>
      </w:r>
      <w:bookmarkEnd w:id="76"/>
    </w:p>
    <w:p w14:paraId="104FB57D">
      <w:pPr>
        <w:pStyle w:val="4"/>
        <w:keepNext w:val="0"/>
        <w:keepLines w:val="0"/>
        <w:widowControl/>
        <w:suppressLineNumbers w:val="0"/>
        <w:rPr>
          <w:rFonts w:hint="default" w:ascii="Times New Roman Regular" w:hAnsi="Times New Roman Regular" w:eastAsia="楷体" w:cs="Times New Roman Regular"/>
        </w:rPr>
      </w:pPr>
      <w:bookmarkStart w:id="77" w:name="_Toc1517505525"/>
      <w:r>
        <w:rPr>
          <w:rFonts w:hint="default" w:ascii="Times New Roman Regular" w:hAnsi="Times New Roman Regular" w:eastAsia="楷体" w:cs="Times New Roman Regular"/>
        </w:rPr>
        <w:t>4.5.1 可量化收益</w:t>
      </w:r>
      <w:bookmarkEnd w:id="77"/>
    </w:p>
    <w:p w14:paraId="5D92DD8A">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项目可以减少以下工作时间：</w:t>
      </w:r>
    </w:p>
    <w:p w14:paraId="5054A819">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多数据源检索和资料整理时间。</w:t>
      </w:r>
    </w:p>
    <w:p w14:paraId="6DC437B7">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重复计算和口径核对时间。</w:t>
      </w:r>
    </w:p>
    <w:p w14:paraId="61E68503">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图表制作和排版时间。</w:t>
      </w:r>
    </w:p>
    <w:p w14:paraId="2E6ADF73">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报告初稿撰写时间。</w:t>
      </w:r>
    </w:p>
    <w:p w14:paraId="2F71C765">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数据引用和来源核对时间。</w:t>
      </w:r>
    </w:p>
    <w:p w14:paraId="686E77DA">
      <w:pPr>
        <w:pStyle w:val="10"/>
        <w:keepNext w:val="0"/>
        <w:keepLines w:val="0"/>
        <w:widowControl/>
        <w:numPr>
          <w:ilvl w:val="0"/>
          <w:numId w:val="15"/>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修改后大面积返工时间。</w:t>
      </w:r>
    </w:p>
    <w:p w14:paraId="7A4CF233">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正式测算时，应通过对照实验分别记录纯人工方式与系统辅助方式的有效工时，而不能仅比较机器生成时间。</w:t>
      </w:r>
    </w:p>
    <w:p w14:paraId="44473BC1">
      <w:pPr>
        <w:pStyle w:val="4"/>
        <w:keepNext w:val="0"/>
        <w:keepLines w:val="0"/>
        <w:widowControl/>
        <w:suppressLineNumbers w:val="0"/>
        <w:rPr>
          <w:rFonts w:hint="default" w:ascii="Times New Roman Regular" w:hAnsi="Times New Roman Regular" w:eastAsia="楷体" w:cs="Times New Roman Regular"/>
        </w:rPr>
      </w:pPr>
      <w:bookmarkStart w:id="78" w:name="_Toc1199566903"/>
      <w:r>
        <w:rPr>
          <w:rFonts w:hint="default" w:ascii="Times New Roman Regular" w:hAnsi="Times New Roman Regular" w:eastAsia="楷体" w:cs="Times New Roman Regular"/>
        </w:rPr>
        <w:t>4.5.2 管理收益</w:t>
      </w:r>
      <w:bookmarkEnd w:id="78"/>
    </w:p>
    <w:p w14:paraId="6B4B342B">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项目还能提升研究流程的标准化程度和数据来源透明度，帮助团队沉淀知识、提高交接效率，并增强报告审计能力。</w:t>
      </w:r>
    </w:p>
    <w:p w14:paraId="4CC8076F">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这些收益不宜简单换算为金额，但会影响机构是否长期采用这套系统。</w:t>
      </w:r>
    </w:p>
    <w:p w14:paraId="5CF7160D">
      <w:pPr>
        <w:pStyle w:val="4"/>
        <w:keepNext w:val="0"/>
        <w:keepLines w:val="0"/>
        <w:widowControl/>
        <w:suppressLineNumbers w:val="0"/>
        <w:rPr>
          <w:rFonts w:hint="default" w:ascii="Times New Roman Regular" w:hAnsi="Times New Roman Regular" w:eastAsia="楷体" w:cs="Times New Roman Regular"/>
        </w:rPr>
      </w:pPr>
      <w:bookmarkStart w:id="79" w:name="_Toc544460685"/>
      <w:r>
        <w:rPr>
          <w:rFonts w:hint="default" w:ascii="Times New Roman Regular" w:hAnsi="Times New Roman Regular" w:eastAsia="楷体" w:cs="Times New Roman Regular"/>
        </w:rPr>
        <w:t>4.5.3 投资回报测算</w:t>
      </w:r>
      <w:bookmarkEnd w:id="79"/>
    </w:p>
    <w:p w14:paraId="0604A37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年度投资回报率可以按照以下方式计算：</w:t>
      </w:r>
    </w:p>
    <w:p w14:paraId="05FB3DB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ROI＝（年度节省的人力成本＋新增服务收入＋可验证的风险损失减少额－年度总成本）÷年度总成本×100%。</w:t>
      </w:r>
    </w:p>
    <w:p w14:paraId="2C37DD2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风险损失减少额必须使用保守且可验证的口径，不能将偶发事件作为确定性收益。</w:t>
      </w:r>
    </w:p>
    <w:p w14:paraId="29A347A5">
      <w:pPr>
        <w:pStyle w:val="3"/>
        <w:keepNext w:val="0"/>
        <w:keepLines w:val="0"/>
        <w:widowControl/>
        <w:suppressLineNumbers w:val="0"/>
        <w:rPr>
          <w:rFonts w:hint="default" w:ascii="Times New Roman Regular" w:hAnsi="Times New Roman Regular" w:eastAsia="楷体" w:cs="Times New Roman Regular"/>
        </w:rPr>
      </w:pPr>
      <w:bookmarkStart w:id="80" w:name="_Toc322912928"/>
      <w:r>
        <w:rPr>
          <w:rFonts w:hint="default" w:ascii="Times New Roman Regular" w:hAnsi="Times New Roman Regular" w:eastAsia="楷体" w:cs="Times New Roman Regular"/>
        </w:rPr>
        <w:t>4.6 技术可行性</w:t>
      </w:r>
      <w:bookmarkEnd w:id="80"/>
    </w:p>
    <w:p w14:paraId="59786032">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当前项目仓库已经具备前后端框架、五阶段工作流、SkillHub 适配、数据解读、十三类图表、七章二十一节写作、报告融合、人工审核、历史版本、HTML 预览和产物下载等主体实现。</w:t>
      </w:r>
    </w:p>
    <w:p w14:paraId="199C492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所使用的 FastAPI、Vue、Pydantic、ECharts 和 Playwright 均为成熟技术，且项目通过协议层隔离了外部服务，技术路线本身没有卡点。</w:t>
      </w:r>
    </w:p>
    <w:p w14:paraId="54614A0A">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另有一点要说清：当前的单机架构够演示和小规模使用，但不等同于扛得住大规模并发的生产系统。</w:t>
      </w:r>
    </w:p>
    <w:p w14:paraId="3566A7E8">
      <w:pPr>
        <w:pStyle w:val="3"/>
        <w:keepNext w:val="0"/>
        <w:keepLines w:val="0"/>
        <w:widowControl/>
        <w:suppressLineNumbers w:val="0"/>
        <w:rPr>
          <w:rFonts w:hint="default" w:ascii="Times New Roman Regular" w:hAnsi="Times New Roman Regular" w:eastAsia="楷体" w:cs="Times New Roman Regular"/>
        </w:rPr>
      </w:pPr>
      <w:bookmarkStart w:id="81" w:name="_Toc506404927"/>
      <w:r>
        <w:rPr>
          <w:rFonts w:hint="default" w:ascii="Times New Roman Regular" w:hAnsi="Times New Roman Regular" w:eastAsia="楷体" w:cs="Times New Roman Regular"/>
        </w:rPr>
        <w:t>4.7 数据可行性</w:t>
      </w:r>
      <w:bookmarkEnd w:id="81"/>
    </w:p>
    <w:p w14:paraId="284652A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问财 SkillHub 能够覆盖行业、财务、宏观、公告、研报和新闻等关键资料，可以支撑多数公开市场行业研究任务。</w:t>
      </w:r>
    </w:p>
    <w:p w14:paraId="0AD2A88E">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但不同行业和指标的数据完整程度存在差异，部分冷门指标可能无法获取。因此，系统通过数据缺口披露、冲突保留和人工审核控制风险。数据层面的结论应表述为“有条件可行”，不能承诺所有行业、所有指标均完整可得。</w:t>
      </w:r>
    </w:p>
    <w:p w14:paraId="12C5003B">
      <w:pPr>
        <w:pStyle w:val="3"/>
        <w:keepNext w:val="0"/>
        <w:keepLines w:val="0"/>
        <w:widowControl/>
        <w:suppressLineNumbers w:val="0"/>
        <w:rPr>
          <w:rFonts w:hint="default" w:ascii="Times New Roman Regular" w:hAnsi="Times New Roman Regular" w:eastAsia="楷体" w:cs="Times New Roman Regular"/>
        </w:rPr>
      </w:pPr>
      <w:bookmarkStart w:id="82" w:name="_Toc669915028"/>
      <w:r>
        <w:rPr>
          <w:rFonts w:hint="default" w:ascii="Times New Roman Regular" w:hAnsi="Times New Roman Regular" w:eastAsia="楷体" w:cs="Times New Roman Regular"/>
        </w:rPr>
        <w:t>4.8 业务可行性</w:t>
      </w:r>
      <w:bookmarkEnd w:id="82"/>
    </w:p>
    <w:p w14:paraId="1D22093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行业研究任务具有流程重复、结构稳定、资料量大和人工审核必要等特点，适合采用多智能体流水线。</w:t>
      </w:r>
    </w:p>
    <w:p w14:paraId="740CE72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研究范围、证据取舍和结论确认权仍在研究人员手里，系统提供的是初稿和底稿。比起宣称要替代分析师，这个定位更贴合专业机构的分工方式和责任边界。</w:t>
      </w:r>
    </w:p>
    <w:p w14:paraId="1BD61DA6">
      <w:pPr>
        <w:pStyle w:val="3"/>
        <w:keepNext w:val="0"/>
        <w:keepLines w:val="0"/>
        <w:widowControl/>
        <w:suppressLineNumbers w:val="0"/>
        <w:rPr>
          <w:rFonts w:hint="default" w:ascii="Times New Roman Regular" w:hAnsi="Times New Roman Regular" w:eastAsia="楷体" w:cs="Times New Roman Regular"/>
        </w:rPr>
      </w:pPr>
      <w:bookmarkStart w:id="83" w:name="_Toc5114375"/>
      <w:r>
        <w:rPr>
          <w:rFonts w:hint="default" w:ascii="Times New Roman Regular" w:hAnsi="Times New Roman Regular" w:eastAsia="楷体" w:cs="Times New Roman Regular"/>
        </w:rPr>
        <w:t>4.9 运营可行性</w:t>
      </w:r>
      <w:bookmarkEnd w:id="83"/>
    </w:p>
    <w:p w14:paraId="0448AF80">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当前系统具备健康检查、检查点恢复、版本管理、结构化错误和产物校验能力，可以支撑演示和小规模试点。</w:t>
      </w:r>
    </w:p>
    <w:p w14:paraId="04AD7DFC">
      <w:pPr>
        <w:pStyle w:val="10"/>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后续规模化运营还需要补充：</w:t>
      </w:r>
    </w:p>
    <w:p w14:paraId="16F9C6A5">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共享状态存储与并发写入。</w:t>
      </w:r>
    </w:p>
    <w:p w14:paraId="5D492124">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Redis 或其他共享限流服务。</w:t>
      </w:r>
    </w:p>
    <w:p w14:paraId="0F834EBB">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任务队列和异步 Worker。</w:t>
      </w:r>
    </w:p>
    <w:p w14:paraId="607D92A7">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对象存储。</w:t>
      </w:r>
    </w:p>
    <w:p w14:paraId="7F1331CC">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统一监控和告警。</w:t>
      </w:r>
    </w:p>
    <w:p w14:paraId="24FA4A5D">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灾备与数据保留策略。</w:t>
      </w:r>
    </w:p>
    <w:p w14:paraId="5EDF2A11">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多租户和细粒度权限。</w:t>
      </w:r>
    </w:p>
    <w:p w14:paraId="77CDE252">
      <w:pPr>
        <w:keepNext w:val="0"/>
        <w:keepLines w:val="0"/>
        <w:widowControl/>
        <w:numPr>
          <w:ilvl w:val="0"/>
          <w:numId w:val="16"/>
        </w:numPr>
        <w:suppressLineNumbers w:val="0"/>
        <w:spacing w:before="0" w:beforeAutospacing="1" w:after="0" w:afterAutospacing="1"/>
        <w:ind w:left="720" w:hanging="36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客户支持和成本管理。</w:t>
      </w:r>
    </w:p>
    <w:p w14:paraId="2E258B48">
      <w:pPr>
        <w:pStyle w:val="3"/>
        <w:keepNext w:val="0"/>
        <w:keepLines w:val="0"/>
        <w:widowControl/>
        <w:suppressLineNumbers w:val="0"/>
        <w:rPr>
          <w:rFonts w:hint="default" w:ascii="Times New Roman Regular" w:hAnsi="Times New Roman Regular" w:eastAsia="楷体" w:cs="Times New Roman Regular"/>
        </w:rPr>
      </w:pPr>
      <w:bookmarkStart w:id="84" w:name="_Toc57954745"/>
      <w:r>
        <w:rPr>
          <w:rFonts w:hint="default" w:ascii="Times New Roman Regular" w:hAnsi="Times New Roman Regular" w:eastAsia="楷体" w:cs="Times New Roman Regular"/>
        </w:rPr>
        <w:t>4.10 合规可行性</w:t>
      </w:r>
      <w:bookmarkEnd w:id="84"/>
    </w:p>
    <w:p w14:paraId="79F5778C">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系统定位为研究辅助工具，不执行交易、不自动给出个性化买卖建议，并保留数据来源、风险和人工审核记录，具备建立合规体系的基础。</w:t>
      </w:r>
    </w:p>
    <w:p w14:paraId="44DBCD81">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正式商业化前仍需要根据使用对象、数据授权范围、内容传播方式和适用地区进行法律审查、隐私评估和金融业务资质边界确认。</w:t>
      </w:r>
    </w:p>
    <w:p w14:paraId="0DD9212E">
      <w:pPr>
        <w:pStyle w:val="3"/>
        <w:keepNext w:val="0"/>
        <w:keepLines w:val="0"/>
        <w:widowControl/>
        <w:suppressLineNumbers w:val="0"/>
        <w:rPr>
          <w:rFonts w:hint="default" w:ascii="Times New Roman Regular" w:hAnsi="Times New Roman Regular" w:eastAsia="楷体" w:cs="Times New Roman Regular"/>
        </w:rPr>
      </w:pPr>
      <w:bookmarkStart w:id="85" w:name="_Toc1235307124"/>
      <w:r>
        <w:rPr>
          <w:rFonts w:hint="default" w:ascii="Times New Roman Regular" w:hAnsi="Times New Roman Regular" w:eastAsia="楷体" w:cs="Times New Roman Regular"/>
        </w:rPr>
        <w:t>4.11 市场与服务模式</w:t>
      </w:r>
      <w:bookmarkEnd w:id="85"/>
    </w:p>
    <w:p w14:paraId="0D19A39D">
      <w:pPr>
        <w:pStyle w:val="10"/>
        <w:keepNext w:val="0"/>
        <w:keepLines w:val="0"/>
        <w:widowControl/>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可选择的服务模式包括：</w:t>
      </w:r>
    </w:p>
    <w:p w14:paraId="4F1F6A8D">
      <w:pPr>
        <w:pStyle w:val="10"/>
        <w:keepNext w:val="0"/>
        <w:keepLines w:val="0"/>
        <w:widowControl/>
        <w:numPr>
          <w:ilvl w:val="0"/>
          <w:numId w:val="17"/>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面向个人和小团队的按报告计费或订阅服务。</w:t>
      </w:r>
    </w:p>
    <w:p w14:paraId="7C3A1570">
      <w:pPr>
        <w:pStyle w:val="10"/>
        <w:keepNext w:val="0"/>
        <w:keepLines w:val="0"/>
        <w:widowControl/>
        <w:numPr>
          <w:ilvl w:val="0"/>
          <w:numId w:val="17"/>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面向金融机构的私有化部署和年度授权。</w:t>
      </w:r>
    </w:p>
    <w:p w14:paraId="521BBE4B">
      <w:pPr>
        <w:pStyle w:val="10"/>
        <w:keepNext w:val="0"/>
        <w:keepLines w:val="0"/>
        <w:widowControl/>
        <w:numPr>
          <w:ilvl w:val="0"/>
          <w:numId w:val="17"/>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面向企业战略部门的行业专题研究服务。</w:t>
      </w:r>
    </w:p>
    <w:p w14:paraId="584997E9">
      <w:pPr>
        <w:pStyle w:val="10"/>
        <w:keepNext w:val="0"/>
        <w:keepLines w:val="0"/>
        <w:widowControl/>
        <w:numPr>
          <w:ilvl w:val="0"/>
          <w:numId w:val="17"/>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面向高校的金融智能体教学实验平台。</w:t>
      </w:r>
    </w:p>
    <w:p w14:paraId="62CB213A">
      <w:pPr>
        <w:pStyle w:val="10"/>
        <w:keepNext w:val="0"/>
        <w:keepLines w:val="0"/>
        <w:widowControl/>
        <w:numPr>
          <w:ilvl w:val="0"/>
          <w:numId w:val="17"/>
        </w:numPr>
        <w:suppressLineNumbers w:val="0"/>
        <w:ind w:firstLine="480" w:firstLineChars="20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面向 SkillHub 生态的报告模板、研究技能和工作流服务。</w:t>
      </w:r>
    </w:p>
    <w:p w14:paraId="3CD7F882">
      <w:pPr>
        <w:pStyle w:val="10"/>
        <w:keepNext w:val="0"/>
        <w:keepLines w:val="0"/>
        <w:widowControl/>
        <w:suppressLineNumbers w:val="0"/>
        <w:rPr>
          <w:rFonts w:hint="default" w:ascii="Times New Roman Regular" w:hAnsi="Times New Roman Regular" w:eastAsia="楷体" w:cs="Times New Roman Regular"/>
        </w:rPr>
      </w:pPr>
      <w:r>
        <w:rPr>
          <w:rFonts w:hint="default" w:ascii="Times New Roman Regular" w:hAnsi="Times New Roman Regular" w:eastAsia="楷体" w:cs="Times New Roman Regular"/>
        </w:rPr>
        <w:t>项目的差异化不在“能写文章”这件事上，而在 SkillHub 多技能组合、五阶段工作流、证据绑定、确定性计算、规则化图表和结构化人工审核凑成的完整链路。</w:t>
      </w:r>
    </w:p>
    <w:p w14:paraId="6D92B9F6">
      <w:pPr>
        <w:pStyle w:val="3"/>
        <w:keepNext w:val="0"/>
        <w:keepLines w:val="0"/>
        <w:widowControl/>
        <w:suppressLineNumbers w:val="0"/>
        <w:rPr>
          <w:rFonts w:hint="default" w:ascii="Times New Roman Regular" w:hAnsi="Times New Roman Regular" w:eastAsia="楷体" w:cs="Times New Roman Regular"/>
        </w:rPr>
      </w:pPr>
      <w:bookmarkStart w:id="86" w:name="_Toc2082417519"/>
      <w:r>
        <w:rPr>
          <w:rFonts w:hint="default" w:ascii="Times New Roman Regular" w:hAnsi="Times New Roman Regular" w:eastAsia="楷体" w:cs="Times New Roman Regular"/>
        </w:rPr>
        <w:t>4.12 主要风险与应对</w:t>
      </w:r>
      <w:bookmarkEnd w:id="86"/>
    </w:p>
    <w:p w14:paraId="7B515414">
      <w:pPr>
        <w:pStyle w:val="10"/>
      </w:pPr>
      <w:r>
        <w:rPr>
          <w:rFonts w:hint="eastAsia"/>
        </w:rPr>
        <w:t>表 4.2 主要风险与应对措施</w:t>
      </w:r>
    </w:p>
    <w:tbl>
      <w:tblPr>
        <w:tblStyle w:val="1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2827"/>
        <w:gridCol w:w="4629"/>
      </w:tblGrid>
      <w:tr w14:paraId="69519B00">
        <w:trPr>
          <w:tblHeader/>
          <w:tblCellSpacing w:w="15" w:type="dxa"/>
        </w:trPr>
        <w:tc>
          <w:tcPr>
            <w:tcW w:w="0" w:type="auto"/>
            <w:shd w:val="clear" w:color="auto" w:fill="auto"/>
            <w:vAlign w:val="center"/>
          </w:tcPr>
          <w:p w14:paraId="29E94485">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风险类别</w:t>
            </w:r>
          </w:p>
        </w:tc>
        <w:tc>
          <w:tcPr>
            <w:tcW w:w="0" w:type="auto"/>
            <w:shd w:val="clear" w:color="auto" w:fill="auto"/>
            <w:vAlign w:val="center"/>
          </w:tcPr>
          <w:p w14:paraId="09125AF7">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主要风险</w:t>
            </w:r>
          </w:p>
        </w:tc>
        <w:tc>
          <w:tcPr>
            <w:tcW w:w="0" w:type="auto"/>
            <w:shd w:val="clear" w:color="auto" w:fill="auto"/>
            <w:vAlign w:val="center"/>
          </w:tcPr>
          <w:p w14:paraId="41D6AAA1">
            <w:pPr>
              <w:keepNext w:val="0"/>
              <w:keepLines w:val="0"/>
              <w:widowControl/>
              <w:suppressLineNumbers w:val="0"/>
              <w:jc w:val="center"/>
              <w:rPr>
                <w:rFonts w:hint="default" w:ascii="Times New Roman Regular" w:hAnsi="Times New Roman Regular" w:eastAsia="楷体" w:cs="Times New Roman Regular"/>
                <w:b/>
                <w:bCs/>
              </w:rPr>
            </w:pPr>
            <w:r>
              <w:rPr>
                <w:rFonts w:hint="default" w:ascii="Times New Roman Regular" w:hAnsi="Times New Roman Regular" w:eastAsia="楷体" w:cs="Times New Roman Regular"/>
                <w:b/>
                <w:bCs/>
                <w:kern w:val="0"/>
                <w:sz w:val="24"/>
                <w:szCs w:val="24"/>
                <w:lang w:val="en-US" w:eastAsia="zh-CN" w:bidi="ar"/>
              </w:rPr>
              <w:t>应对措施</w:t>
            </w:r>
          </w:p>
        </w:tc>
      </w:tr>
      <w:tr w14:paraId="71A5EA44">
        <w:trPr>
          <w:tblCellSpacing w:w="15" w:type="dxa"/>
        </w:trPr>
        <w:tc>
          <w:tcPr>
            <w:tcW w:w="0" w:type="auto"/>
            <w:shd w:val="clear" w:color="auto" w:fill="auto"/>
            <w:vAlign w:val="center"/>
          </w:tcPr>
          <w:p w14:paraId="3D6B549A">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数据风险</w:t>
            </w:r>
          </w:p>
        </w:tc>
        <w:tc>
          <w:tcPr>
            <w:tcW w:w="0" w:type="auto"/>
            <w:shd w:val="clear" w:color="auto" w:fill="auto"/>
            <w:vAlign w:val="center"/>
          </w:tcPr>
          <w:p w14:paraId="23C4D3C4">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空结果、字段变化、口径冲突</w:t>
            </w:r>
          </w:p>
        </w:tc>
        <w:tc>
          <w:tcPr>
            <w:tcW w:w="0" w:type="auto"/>
            <w:shd w:val="clear" w:color="auto" w:fill="auto"/>
            <w:vAlign w:val="center"/>
          </w:tcPr>
          <w:p w14:paraId="6A56387F">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多技能组合、Schema校验、缺口披露、人工复核</w:t>
            </w:r>
          </w:p>
        </w:tc>
      </w:tr>
      <w:tr w14:paraId="440D2258">
        <w:trPr>
          <w:tblCellSpacing w:w="15" w:type="dxa"/>
        </w:trPr>
        <w:tc>
          <w:tcPr>
            <w:tcW w:w="0" w:type="auto"/>
            <w:shd w:val="clear" w:color="auto" w:fill="auto"/>
            <w:vAlign w:val="center"/>
          </w:tcPr>
          <w:p w14:paraId="4269CB57">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模型风险</w:t>
            </w:r>
          </w:p>
        </w:tc>
        <w:tc>
          <w:tcPr>
            <w:tcW w:w="0" w:type="auto"/>
            <w:shd w:val="clear" w:color="auto" w:fill="auto"/>
            <w:vAlign w:val="center"/>
          </w:tcPr>
          <w:p w14:paraId="7F54D654">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幻觉、格式错误、输出截断</w:t>
            </w:r>
          </w:p>
        </w:tc>
        <w:tc>
          <w:tcPr>
            <w:tcW w:w="0" w:type="auto"/>
            <w:shd w:val="clear" w:color="auto" w:fill="auto"/>
            <w:vAlign w:val="center"/>
          </w:tcPr>
          <w:p w14:paraId="0F8B9141">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证据约束、固定计算、结构化输出、有限修订</w:t>
            </w:r>
          </w:p>
        </w:tc>
      </w:tr>
      <w:tr w14:paraId="14BC862D">
        <w:trPr>
          <w:tblCellSpacing w:w="15" w:type="dxa"/>
        </w:trPr>
        <w:tc>
          <w:tcPr>
            <w:tcW w:w="0" w:type="auto"/>
            <w:shd w:val="clear" w:color="auto" w:fill="auto"/>
            <w:vAlign w:val="center"/>
          </w:tcPr>
          <w:p w14:paraId="5FB6FCC3">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技术风险</w:t>
            </w:r>
          </w:p>
        </w:tc>
        <w:tc>
          <w:tcPr>
            <w:tcW w:w="0" w:type="auto"/>
            <w:shd w:val="clear" w:color="auto" w:fill="auto"/>
            <w:vAlign w:val="center"/>
          </w:tcPr>
          <w:p w14:paraId="4B7C072D">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超时、状态丢失、PDF失败</w:t>
            </w:r>
          </w:p>
        </w:tc>
        <w:tc>
          <w:tcPr>
            <w:tcW w:w="0" w:type="auto"/>
            <w:shd w:val="clear" w:color="auto" w:fill="auto"/>
            <w:vAlign w:val="center"/>
          </w:tcPr>
          <w:p w14:paraId="3AA12FA7">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检查点、阶段超时、健康检查、产物校验</w:t>
            </w:r>
          </w:p>
        </w:tc>
      </w:tr>
      <w:tr w14:paraId="16BF4DB7">
        <w:trPr>
          <w:tblCellSpacing w:w="15" w:type="dxa"/>
        </w:trPr>
        <w:tc>
          <w:tcPr>
            <w:tcW w:w="0" w:type="auto"/>
            <w:shd w:val="clear" w:color="auto" w:fill="auto"/>
            <w:vAlign w:val="center"/>
          </w:tcPr>
          <w:p w14:paraId="13DFC87D">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安全风险</w:t>
            </w:r>
          </w:p>
        </w:tc>
        <w:tc>
          <w:tcPr>
            <w:tcW w:w="0" w:type="auto"/>
            <w:shd w:val="clear" w:color="auto" w:fill="auto"/>
            <w:vAlign w:val="center"/>
          </w:tcPr>
          <w:p w14:paraId="49CA7E02">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密钥泄露、越权、提示注入</w:t>
            </w:r>
          </w:p>
        </w:tc>
        <w:tc>
          <w:tcPr>
            <w:tcW w:w="0" w:type="auto"/>
            <w:shd w:val="clear" w:color="auto" w:fill="auto"/>
            <w:vAlign w:val="center"/>
          </w:tcPr>
          <w:p w14:paraId="4ED3CB98">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环境密钥、归属校验、白名单、脱敏日志</w:t>
            </w:r>
          </w:p>
        </w:tc>
      </w:tr>
      <w:tr w14:paraId="754686A8">
        <w:trPr>
          <w:tblCellSpacing w:w="15" w:type="dxa"/>
        </w:trPr>
        <w:tc>
          <w:tcPr>
            <w:tcW w:w="0" w:type="auto"/>
            <w:shd w:val="clear" w:color="auto" w:fill="auto"/>
            <w:vAlign w:val="center"/>
          </w:tcPr>
          <w:p w14:paraId="31151C59">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合规风险</w:t>
            </w:r>
          </w:p>
        </w:tc>
        <w:tc>
          <w:tcPr>
            <w:tcW w:w="0" w:type="auto"/>
            <w:shd w:val="clear" w:color="auto" w:fill="auto"/>
            <w:vAlign w:val="center"/>
          </w:tcPr>
          <w:p w14:paraId="35CA07EE">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授权超范围、被误作投资建议</w:t>
            </w:r>
          </w:p>
        </w:tc>
        <w:tc>
          <w:tcPr>
            <w:tcW w:w="0" w:type="auto"/>
            <w:shd w:val="clear" w:color="auto" w:fill="auto"/>
            <w:vAlign w:val="center"/>
          </w:tcPr>
          <w:p w14:paraId="710B4110">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授权审查、用途声明、人工审批和审计记录</w:t>
            </w:r>
          </w:p>
        </w:tc>
      </w:tr>
      <w:tr w14:paraId="10E9CFA8">
        <w:trPr>
          <w:tblCellSpacing w:w="15" w:type="dxa"/>
        </w:trPr>
        <w:tc>
          <w:tcPr>
            <w:tcW w:w="0" w:type="auto"/>
            <w:shd w:val="clear" w:color="auto" w:fill="auto"/>
            <w:vAlign w:val="center"/>
          </w:tcPr>
          <w:p w14:paraId="6E37D2C6">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成本风险</w:t>
            </w:r>
          </w:p>
        </w:tc>
        <w:tc>
          <w:tcPr>
            <w:tcW w:w="0" w:type="auto"/>
            <w:shd w:val="clear" w:color="auto" w:fill="auto"/>
            <w:vAlign w:val="center"/>
          </w:tcPr>
          <w:p w14:paraId="4374D69A">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模型价格上涨、重复重试</w:t>
            </w:r>
          </w:p>
        </w:tc>
        <w:tc>
          <w:tcPr>
            <w:tcW w:w="0" w:type="auto"/>
            <w:shd w:val="clear" w:color="auto" w:fill="auto"/>
            <w:vAlign w:val="center"/>
          </w:tcPr>
          <w:p w14:paraId="0B881EC3">
            <w:pPr>
              <w:keepNext w:val="0"/>
              <w:keepLines w:val="0"/>
              <w:widowControl/>
              <w:suppressLineNumbers w:val="0"/>
              <w:jc w:val="left"/>
              <w:rPr>
                <w:rFonts w:hint="default" w:ascii="Times New Roman Regular" w:hAnsi="Times New Roman Regular" w:eastAsia="楷体" w:cs="Times New Roman Regular"/>
              </w:rPr>
            </w:pPr>
            <w:r>
              <w:rPr>
                <w:rFonts w:hint="default" w:ascii="Times New Roman Regular" w:hAnsi="Times New Roman Regular" w:eastAsia="楷体" w:cs="Times New Roman Regular"/>
                <w:kern w:val="0"/>
                <w:sz w:val="24"/>
                <w:szCs w:val="24"/>
                <w:lang w:val="en-US" w:eastAsia="zh-CN" w:bidi="ar"/>
              </w:rPr>
              <w:t>最小上下文、局部重跑、额度和成本告警</w:t>
            </w:r>
          </w:p>
        </w:tc>
      </w:tr>
      <w:tr w14:paraId="713F9CE4">
        <w:trPr>
          <w:tblCellSpacing w:w="15" w:type="dxa"/>
        </w:trPr>
        <w:tc>
          <w:tcPr>
            <w:tcW w:w="0" w:type="auto"/>
            <w:shd w:val="clear" w:color="auto" w:fill="auto"/>
            <w:vAlign w:val="center"/>
          </w:tcPr>
          <w:p w14:paraId="655FA622">
            <w:pPr>
              <w:keepNext w:val="0"/>
              <w:keepLines w:val="0"/>
              <w:widowControl/>
              <w:suppressLineNumbers w:val="0"/>
              <w:jc w:val="left"/>
              <w:rPr>
                <w:rFonts w:hint="default" w:ascii="Times New Roman Regular" w:hAnsi="Times New Roman Regular" w:eastAsia="楷体" w:cs="Times New Roman Regular"/>
              </w:rPr>
            </w:pPr>
          </w:p>
        </w:tc>
        <w:tc>
          <w:tcPr>
            <w:tcW w:w="0" w:type="auto"/>
            <w:shd w:val="clear" w:color="auto" w:fill="auto"/>
            <w:vAlign w:val="center"/>
          </w:tcPr>
          <w:p w14:paraId="7DDB908D">
            <w:pPr>
              <w:keepNext w:val="0"/>
              <w:keepLines w:val="0"/>
              <w:widowControl/>
              <w:suppressLineNumbers w:val="0"/>
              <w:jc w:val="left"/>
              <w:rPr>
                <w:rFonts w:hint="default" w:ascii="Times New Roman Regular" w:hAnsi="Times New Roman Regular" w:eastAsia="楷体" w:cs="Times New Roman Regular"/>
              </w:rPr>
            </w:pPr>
          </w:p>
        </w:tc>
        <w:tc>
          <w:tcPr>
            <w:tcW w:w="0" w:type="auto"/>
            <w:shd w:val="clear" w:color="auto" w:fill="auto"/>
            <w:vAlign w:val="center"/>
          </w:tcPr>
          <w:p w14:paraId="00355BCD">
            <w:pPr>
              <w:keepNext w:val="0"/>
              <w:keepLines w:val="0"/>
              <w:widowControl/>
              <w:suppressLineNumbers w:val="0"/>
              <w:jc w:val="left"/>
              <w:rPr>
                <w:rFonts w:hint="default" w:ascii="Times New Roman Regular" w:hAnsi="Times New Roman Regular" w:eastAsia="楷体" w:cs="Times New Roman Regular"/>
              </w:rPr>
            </w:pPr>
          </w:p>
        </w:tc>
      </w:tr>
    </w:tbl>
    <w:p w14:paraId="0CFB252D">
      <w:pPr>
        <w:rPr>
          <w:rFonts w:hint="default" w:ascii="Times New Roman Regular" w:hAnsi="Times New Roman Regular" w:eastAsia="楷体" w:cs="Times New Roman Regul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aiti SC">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C28283">
    <w:pPr>
      <w:pStyle w:val="7"/>
      <w:rPr>
        <w:rFonts w:hint="eastAsia" w:eastAsia="宋体"/>
        <w:lang w:eastAsia="zh-CN"/>
      </w:rPr>
    </w:pPr>
    <w:r>
      <w:rPr>
        <w:rFonts w:hint="eastAsia" w:eastAsia="宋体"/>
        <w:lang w:eastAsia="zh-CN"/>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65420" cy="7441565"/>
          <wp:effectExtent l="0" t="0" r="17780" b="635"/>
          <wp:wrapNone/>
          <wp:docPr id="2" name="图片 5" descr="Codex 图像 2026年9月24日 23_30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Codex 图像 2026年9月24日 23_30_07"/>
                  <pic:cNvPicPr>
                    <a:picLocks noChangeAspect="1"/>
                  </pic:cNvPicPr>
                </pic:nvPicPr>
                <pic:blipFill>
                  <a:blip r:embed="rId1"/>
                  <a:stretch>
                    <a:fillRect/>
                  </a:stretch>
                </pic:blipFill>
                <pic:spPr>
                  <a:xfrm>
                    <a:off x="0" y="0"/>
                    <a:ext cx="5265420" cy="74415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ECCC3E"/>
    <w:multiLevelType w:val="singleLevel"/>
    <w:tmpl w:val="AFECCC3E"/>
    <w:lvl w:ilvl="0" w:tentative="0">
      <w:start w:val="1"/>
      <w:numFmt w:val="decimal"/>
      <w:suff w:val="nothing"/>
      <w:lvlText w:val="%1）"/>
      <w:lvlJc w:val="left"/>
    </w:lvl>
  </w:abstractNum>
  <w:abstractNum w:abstractNumId="1">
    <w:nsid w:val="AFFCD9BE"/>
    <w:multiLevelType w:val="singleLevel"/>
    <w:tmpl w:val="AFFCD9BE"/>
    <w:lvl w:ilvl="0" w:tentative="0">
      <w:start w:val="1"/>
      <w:numFmt w:val="decimal"/>
      <w:suff w:val="nothing"/>
      <w:lvlText w:val="%1）"/>
      <w:lvlJc w:val="left"/>
    </w:lvl>
  </w:abstractNum>
  <w:abstractNum w:abstractNumId="2">
    <w:nsid w:val="B1FF17FB"/>
    <w:multiLevelType w:val="multilevel"/>
    <w:tmpl w:val="B1FF1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9FE21DC"/>
    <w:multiLevelType w:val="singleLevel"/>
    <w:tmpl w:val="C9FE21DC"/>
    <w:lvl w:ilvl="0" w:tentative="0">
      <w:start w:val="1"/>
      <w:numFmt w:val="decimal"/>
      <w:suff w:val="nothing"/>
      <w:lvlText w:val="%1）"/>
      <w:lvlJc w:val="left"/>
    </w:lvl>
  </w:abstractNum>
  <w:abstractNum w:abstractNumId="4">
    <w:nsid w:val="D2EB3C6F"/>
    <w:multiLevelType w:val="singleLevel"/>
    <w:tmpl w:val="D2EB3C6F"/>
    <w:lvl w:ilvl="0" w:tentative="0">
      <w:start w:val="1"/>
      <w:numFmt w:val="decimal"/>
      <w:suff w:val="nothing"/>
      <w:lvlText w:val="%1）"/>
      <w:lvlJc w:val="left"/>
    </w:lvl>
  </w:abstractNum>
  <w:abstractNum w:abstractNumId="5">
    <w:nsid w:val="EAD7F82A"/>
    <w:multiLevelType w:val="multilevel"/>
    <w:tmpl w:val="EAD7F82A"/>
    <w:lvl w:ilvl="0" w:tentative="0">
      <w:start w:val="1"/>
      <w:numFmt w:val="decimal"/>
      <w:lvlText w:val="%1."/>
      <w:lvlJc w:val="left"/>
      <w:pPr>
        <w:ind w:left="336" w:hanging="336"/>
      </w:pPr>
      <w:rPr>
        <w:rFonts w:hint="default"/>
      </w:rPr>
    </w:lvl>
    <w:lvl w:ilvl="1" w:tentative="0">
      <w:start w:val="1"/>
      <w:numFmt w:val="lowerLetter"/>
      <w:lvlText w:val="%2."/>
      <w:lvlJc w:val="left"/>
      <w:pPr>
        <w:ind w:left="672" w:hanging="336"/>
      </w:pPr>
      <w:rPr>
        <w:rFonts w:hint="default"/>
      </w:rPr>
    </w:lvl>
    <w:lvl w:ilvl="2" w:tentative="0">
      <w:start w:val="1"/>
      <w:numFmt w:val="lowerRoman"/>
      <w:lvlText w:val="%3."/>
      <w:lvlJc w:val="left"/>
      <w:pPr>
        <w:ind w:left="1008" w:hanging="336"/>
      </w:pPr>
      <w:rPr>
        <w:rFonts w:hint="default"/>
      </w:rPr>
    </w:lvl>
    <w:lvl w:ilvl="3" w:tentative="0">
      <w:start w:val="1"/>
      <w:numFmt w:val="decimal"/>
      <w:lvlText w:val="%4."/>
      <w:lvlJc w:val="left"/>
      <w:pPr>
        <w:ind w:left="1344" w:hanging="336"/>
      </w:pPr>
      <w:rPr>
        <w:rFonts w:hint="default"/>
      </w:rPr>
    </w:lvl>
    <w:lvl w:ilvl="4" w:tentative="0">
      <w:start w:val="1"/>
      <w:numFmt w:val="lowerLetter"/>
      <w:lvlText w:val="%5."/>
      <w:lvlJc w:val="left"/>
      <w:pPr>
        <w:ind w:left="1680" w:hanging="336"/>
      </w:pPr>
      <w:rPr>
        <w:rFonts w:hint="default"/>
      </w:rPr>
    </w:lvl>
    <w:lvl w:ilvl="5" w:tentative="0">
      <w:start w:val="1"/>
      <w:numFmt w:val="lowerRoman"/>
      <w:lvlText w:val="%6."/>
      <w:lvlJc w:val="left"/>
      <w:pPr>
        <w:ind w:left="2016" w:hanging="336"/>
      </w:pPr>
      <w:rPr>
        <w:rFonts w:hint="default"/>
      </w:rPr>
    </w:lvl>
    <w:lvl w:ilvl="6" w:tentative="0">
      <w:start w:val="1"/>
      <w:numFmt w:val="decimal"/>
      <w:lvlText w:val="%7."/>
      <w:lvlJc w:val="left"/>
      <w:pPr>
        <w:ind w:left="2352" w:hanging="336"/>
      </w:pPr>
      <w:rPr>
        <w:rFonts w:hint="default"/>
      </w:rPr>
    </w:lvl>
    <w:lvl w:ilvl="7" w:tentative="0">
      <w:start w:val="1"/>
      <w:numFmt w:val="lowerLetter"/>
      <w:lvlText w:val="%8."/>
      <w:lvlJc w:val="left"/>
      <w:pPr>
        <w:ind w:left="2688" w:hanging="336"/>
      </w:pPr>
      <w:rPr>
        <w:rFonts w:hint="default"/>
      </w:rPr>
    </w:lvl>
    <w:lvl w:ilvl="8" w:tentative="0">
      <w:start w:val="1"/>
      <w:numFmt w:val="lowerRoman"/>
      <w:lvlText w:val="%9."/>
      <w:lvlJc w:val="left"/>
      <w:pPr>
        <w:ind w:left="3024" w:hanging="336"/>
      </w:pPr>
      <w:rPr>
        <w:rFonts w:hint="default"/>
      </w:rPr>
    </w:lvl>
  </w:abstractNum>
  <w:abstractNum w:abstractNumId="6">
    <w:nsid w:val="F2BF9035"/>
    <w:multiLevelType w:val="singleLevel"/>
    <w:tmpl w:val="F2BF9035"/>
    <w:lvl w:ilvl="0" w:tentative="0">
      <w:start w:val="1"/>
      <w:numFmt w:val="bullet"/>
      <w:lvlText w:val=""/>
      <w:lvlJc w:val="left"/>
      <w:pPr>
        <w:ind w:left="420" w:hanging="420"/>
      </w:pPr>
      <w:rPr>
        <w:rFonts w:hint="default" w:ascii="Wingdings" w:hAnsi="Wingdings"/>
      </w:rPr>
    </w:lvl>
  </w:abstractNum>
  <w:abstractNum w:abstractNumId="7">
    <w:nsid w:val="F6753CF5"/>
    <w:multiLevelType w:val="multilevel"/>
    <w:tmpl w:val="F6753C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6A04D8"/>
    <w:multiLevelType w:val="singleLevel"/>
    <w:tmpl w:val="FF6A04D8"/>
    <w:lvl w:ilvl="0" w:tentative="0">
      <w:start w:val="1"/>
      <w:numFmt w:val="decimal"/>
      <w:suff w:val="nothing"/>
      <w:lvlText w:val="%1）"/>
      <w:lvlJc w:val="left"/>
    </w:lvl>
  </w:abstractNum>
  <w:abstractNum w:abstractNumId="9">
    <w:nsid w:val="FFB57A8B"/>
    <w:multiLevelType w:val="singleLevel"/>
    <w:tmpl w:val="FFB57A8B"/>
    <w:lvl w:ilvl="0" w:tentative="0">
      <w:start w:val="1"/>
      <w:numFmt w:val="decimal"/>
      <w:suff w:val="nothing"/>
      <w:lvlText w:val="%1）"/>
      <w:lvlJc w:val="left"/>
    </w:lvl>
  </w:abstractNum>
  <w:abstractNum w:abstractNumId="10">
    <w:nsid w:val="FFDB9961"/>
    <w:multiLevelType w:val="multilevel"/>
    <w:tmpl w:val="FFDB99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E6394B"/>
    <w:multiLevelType w:val="singleLevel"/>
    <w:tmpl w:val="FFE6394B"/>
    <w:lvl w:ilvl="0" w:tentative="0">
      <w:start w:val="1"/>
      <w:numFmt w:val="decimal"/>
      <w:suff w:val="nothing"/>
      <w:lvlText w:val="%1）"/>
      <w:lvlJc w:val="left"/>
    </w:lvl>
  </w:abstractNum>
  <w:abstractNum w:abstractNumId="12">
    <w:nsid w:val="2FD23B94"/>
    <w:multiLevelType w:val="singleLevel"/>
    <w:tmpl w:val="2FD23B94"/>
    <w:lvl w:ilvl="0" w:tentative="0">
      <w:start w:val="1"/>
      <w:numFmt w:val="decimal"/>
      <w:suff w:val="nothing"/>
      <w:lvlText w:val="%1）"/>
      <w:lvlJc w:val="left"/>
    </w:lvl>
  </w:abstractNum>
  <w:abstractNum w:abstractNumId="13">
    <w:nsid w:val="3BDB47FB"/>
    <w:multiLevelType w:val="singleLevel"/>
    <w:tmpl w:val="3BDB47FB"/>
    <w:lvl w:ilvl="0" w:tentative="0">
      <w:start w:val="1"/>
      <w:numFmt w:val="decimal"/>
      <w:suff w:val="nothing"/>
      <w:lvlText w:val="%1）"/>
      <w:lvlJc w:val="left"/>
    </w:lvl>
  </w:abstractNum>
  <w:abstractNum w:abstractNumId="14">
    <w:nsid w:val="3DF664B9"/>
    <w:multiLevelType w:val="singleLevel"/>
    <w:tmpl w:val="3DF664B9"/>
    <w:lvl w:ilvl="0" w:tentative="0">
      <w:start w:val="1"/>
      <w:numFmt w:val="decimal"/>
      <w:suff w:val="nothing"/>
      <w:lvlText w:val="%1）"/>
      <w:lvlJc w:val="left"/>
    </w:lvl>
  </w:abstractNum>
  <w:abstractNum w:abstractNumId="15">
    <w:nsid w:val="5F7E4639"/>
    <w:multiLevelType w:val="multilevel"/>
    <w:tmpl w:val="5F7E46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6B3E6732"/>
    <w:multiLevelType w:val="singleLevel"/>
    <w:tmpl w:val="6B3E6732"/>
    <w:lvl w:ilvl="0" w:tentative="0">
      <w:start w:val="1"/>
      <w:numFmt w:val="decimal"/>
      <w:suff w:val="nothing"/>
      <w:lvlText w:val="%1）"/>
      <w:lvlJc w:val="left"/>
    </w:lvl>
  </w:abstractNum>
  <w:num w:numId="1">
    <w:abstractNumId w:val="8"/>
  </w:num>
  <w:num w:numId="2">
    <w:abstractNumId w:val="5"/>
  </w:num>
  <w:num w:numId="3">
    <w:abstractNumId w:val="16"/>
  </w:num>
  <w:num w:numId="4">
    <w:abstractNumId w:val="12"/>
  </w:num>
  <w:num w:numId="5">
    <w:abstractNumId w:val="9"/>
  </w:num>
  <w:num w:numId="6">
    <w:abstractNumId w:val="13"/>
  </w:num>
  <w:num w:numId="7">
    <w:abstractNumId w:val="1"/>
  </w:num>
  <w:num w:numId="8">
    <w:abstractNumId w:val="4"/>
  </w:num>
  <w:num w:numId="9">
    <w:abstractNumId w:val="0"/>
  </w:num>
  <w:num w:numId="10">
    <w:abstractNumId w:val="3"/>
  </w:num>
  <w:num w:numId="11">
    <w:abstractNumId w:val="10"/>
  </w:num>
  <w:num w:numId="12">
    <w:abstractNumId w:val="6"/>
  </w:num>
  <w:num w:numId="13">
    <w:abstractNumId w:val="2"/>
  </w:num>
  <w:num w:numId="14">
    <w:abstractNumId w:val="7"/>
  </w:num>
  <w:num w:numId="15">
    <w:abstractNumId w:val="11"/>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FE9E27"/>
    <w:rsid w:val="2FDE722E"/>
    <w:rsid w:val="3CE749E4"/>
    <w:rsid w:val="3EEE7004"/>
    <w:rsid w:val="5FFBF7F6"/>
    <w:rsid w:val="677F87EA"/>
    <w:rsid w:val="67FF5A4C"/>
    <w:rsid w:val="6DDFD1AF"/>
    <w:rsid w:val="75F67038"/>
    <w:rsid w:val="79FBD253"/>
    <w:rsid w:val="7ADDFA8C"/>
    <w:rsid w:val="7BFF4FC9"/>
    <w:rsid w:val="7F7BB208"/>
    <w:rsid w:val="BFFE5899"/>
    <w:rsid w:val="DFFFF5BB"/>
    <w:rsid w:val="E9DEA251"/>
    <w:rsid w:val="ECF7C13E"/>
    <w:rsid w:val="F3F7B0BD"/>
    <w:rsid w:val="F5CBDEDA"/>
    <w:rsid w:val="F7FF9D15"/>
    <w:rsid w:val="FBBE3DF4"/>
    <w:rsid w:val="FDFF39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outlineLvl w:val="1"/>
    </w:pPr>
    <w:rPr>
      <w:rFonts w:hint="eastAsia" w:ascii="宋体" w:hAnsi="宋体" w:eastAsia="Kaiti SC" w:cs="宋体"/>
      <w:b/>
      <w:bCs/>
      <w:kern w:val="0"/>
      <w:sz w:val="32"/>
      <w:szCs w:val="36"/>
      <w:lang w:bidi="ar"/>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eastAsia="宋体" w:cs="宋体"/>
      <w:b/>
      <w:bCs/>
      <w:kern w:val="0"/>
      <w:sz w:val="30"/>
      <w:szCs w:val="27"/>
      <w:lang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rFonts w:ascii="Times New Roman" w:hAnsi="Times New Roman" w:eastAsia="宋体" w:cs="Times New Roman"/>
      <w:sz w:val="18"/>
      <w:szCs w:val="20"/>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6"/>
    <customShpInfo spid="_x0000_s1035"/>
    <customShpInfo spid="_x0000_s10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42</Pages>
  <TotalTime>84</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2026-09-29T04:32:00Z</dcterms:created>
  <dc:creator>Data</dc:creator>
  <cp:lastModifiedBy>裴帅</cp:lastModifiedBy>
  <dcterms:modified xsi:type="dcterms:W3CDTF">2026-09-28T22:01:08Z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034355FD3F57EA872473BA6A73781ECC_42</vt:lpwstr>
  </property>
</Properties>
</file>