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3FFEA" w14:textId="6C2BA0C4" w:rsidR="00D83F37" w:rsidRDefault="00CD2E71">
      <w:r>
        <w:t>From website:</w:t>
      </w:r>
    </w:p>
    <w:p w14:paraId="60C35EE3" w14:textId="084C93C2" w:rsidR="00CD2E71" w:rsidRDefault="00CD2E71">
      <w:hyperlink r:id="rId4" w:history="1">
        <w:r w:rsidRPr="00CE0B7E">
          <w:rPr>
            <w:rStyle w:val="Hyperlink"/>
          </w:rPr>
          <w:t>https://www.usgs.gov/faqs/what-are-best-landsat-spectral-bands-use-my-research?qt-news_science_products=0#qt-news_science_products</w:t>
        </w:r>
      </w:hyperlink>
    </w:p>
    <w:p w14:paraId="7CCD2BE6" w14:textId="661A201F" w:rsidR="00CD2E71" w:rsidRDefault="00CD2E71"/>
    <w:p w14:paraId="134F31FC" w14:textId="7096DC13" w:rsidR="00CD2E71" w:rsidRDefault="00CD2E71">
      <w:r>
        <w:t>Last rows added manually based on googling.</w:t>
      </w:r>
    </w:p>
    <w:p w14:paraId="26AF795A" w14:textId="77777777" w:rsidR="00CD2E71" w:rsidRDefault="00CD2E71"/>
    <w:tbl>
      <w:tblPr>
        <w:tblW w:w="8222" w:type="dxa"/>
        <w:shd w:val="clear" w:color="auto" w:fill="FFFFFF"/>
        <w:tblCellMar>
          <w:top w:w="15" w:type="dxa"/>
          <w:left w:w="15" w:type="dxa"/>
          <w:bottom w:w="15" w:type="dxa"/>
          <w:right w:w="15" w:type="dxa"/>
        </w:tblCellMar>
        <w:tblLook w:val="04A0" w:firstRow="1" w:lastRow="0" w:firstColumn="1" w:lastColumn="0" w:noHBand="0" w:noVBand="1"/>
      </w:tblPr>
      <w:tblGrid>
        <w:gridCol w:w="1701"/>
        <w:gridCol w:w="1418"/>
        <w:gridCol w:w="5103"/>
      </w:tblGrid>
      <w:tr w:rsidR="00CD2E71" w:rsidRPr="00CD2E71" w14:paraId="75AFB6F7" w14:textId="77777777" w:rsidTr="00CD2E71">
        <w:trPr>
          <w:tblHeader/>
        </w:trPr>
        <w:tc>
          <w:tcPr>
            <w:tcW w:w="1701" w:type="dxa"/>
            <w:tcBorders>
              <w:top w:val="nil"/>
              <w:bottom w:val="single" w:sz="12" w:space="0" w:color="AAAAAA"/>
            </w:tcBorders>
            <w:shd w:val="clear" w:color="auto" w:fill="FFFFFF"/>
            <w:tcMar>
              <w:top w:w="120" w:type="dxa"/>
              <w:left w:w="120" w:type="dxa"/>
              <w:bottom w:w="120" w:type="dxa"/>
              <w:right w:w="120" w:type="dxa"/>
            </w:tcMar>
            <w:vAlign w:val="bottom"/>
            <w:hideMark/>
          </w:tcPr>
          <w:p w14:paraId="0D24473D" w14:textId="77777777" w:rsidR="00CD2E71" w:rsidRPr="00CD2E71" w:rsidRDefault="00CD2E71" w:rsidP="00CD2E71">
            <w:pPr>
              <w:spacing w:after="300" w:line="240" w:lineRule="auto"/>
              <w:rPr>
                <w:rFonts w:ascii="Source Sans Pro" w:eastAsia="Times New Roman" w:hAnsi="Source Sans Pro"/>
                <w:b/>
                <w:bCs/>
                <w:color w:val="333333"/>
                <w:sz w:val="21"/>
                <w:szCs w:val="21"/>
                <w:lang w:eastAsia="en-CA"/>
              </w:rPr>
            </w:pPr>
            <w:r w:rsidRPr="00CD2E71">
              <w:rPr>
                <w:rFonts w:ascii="Source Sans Pro" w:eastAsia="Times New Roman" w:hAnsi="Source Sans Pro"/>
                <w:b/>
                <w:bCs/>
                <w:color w:val="333333"/>
                <w:sz w:val="21"/>
                <w:szCs w:val="21"/>
                <w:lang w:eastAsia="en-CA"/>
              </w:rPr>
              <w:t>Band</w:t>
            </w:r>
          </w:p>
        </w:tc>
        <w:tc>
          <w:tcPr>
            <w:tcW w:w="1418" w:type="dxa"/>
            <w:tcBorders>
              <w:top w:val="nil"/>
              <w:bottom w:val="single" w:sz="12" w:space="0" w:color="AAAAAA"/>
            </w:tcBorders>
            <w:shd w:val="clear" w:color="auto" w:fill="FFFFFF"/>
            <w:tcMar>
              <w:top w:w="120" w:type="dxa"/>
              <w:left w:w="120" w:type="dxa"/>
              <w:bottom w:w="120" w:type="dxa"/>
              <w:right w:w="120" w:type="dxa"/>
            </w:tcMar>
            <w:vAlign w:val="bottom"/>
            <w:hideMark/>
          </w:tcPr>
          <w:p w14:paraId="43CDA6A5" w14:textId="77777777" w:rsidR="00CD2E71" w:rsidRPr="00CD2E71" w:rsidRDefault="00CD2E71" w:rsidP="00CD2E71">
            <w:pPr>
              <w:spacing w:after="300" w:line="240" w:lineRule="auto"/>
              <w:rPr>
                <w:rFonts w:ascii="Source Sans Pro" w:eastAsia="Times New Roman" w:hAnsi="Source Sans Pro"/>
                <w:b/>
                <w:bCs/>
                <w:color w:val="333333"/>
                <w:sz w:val="21"/>
                <w:szCs w:val="21"/>
                <w:lang w:eastAsia="en-CA"/>
              </w:rPr>
            </w:pPr>
            <w:r w:rsidRPr="00CD2E71">
              <w:rPr>
                <w:rFonts w:ascii="Source Sans Pro" w:eastAsia="Times New Roman" w:hAnsi="Source Sans Pro"/>
                <w:b/>
                <w:bCs/>
                <w:color w:val="333333"/>
                <w:sz w:val="21"/>
                <w:szCs w:val="21"/>
                <w:lang w:eastAsia="en-CA"/>
              </w:rPr>
              <w:t>Wavelength</w:t>
            </w:r>
          </w:p>
        </w:tc>
        <w:tc>
          <w:tcPr>
            <w:tcW w:w="5103" w:type="dxa"/>
            <w:tcBorders>
              <w:top w:val="nil"/>
              <w:bottom w:val="single" w:sz="12" w:space="0" w:color="AAAAAA"/>
            </w:tcBorders>
            <w:shd w:val="clear" w:color="auto" w:fill="FFFFFF"/>
            <w:tcMar>
              <w:top w:w="120" w:type="dxa"/>
              <w:left w:w="120" w:type="dxa"/>
              <w:bottom w:w="120" w:type="dxa"/>
              <w:right w:w="120" w:type="dxa"/>
            </w:tcMar>
            <w:vAlign w:val="bottom"/>
            <w:hideMark/>
          </w:tcPr>
          <w:p w14:paraId="437EE1F8" w14:textId="77777777" w:rsidR="00CD2E71" w:rsidRPr="00CD2E71" w:rsidRDefault="00CD2E71" w:rsidP="00CD2E71">
            <w:pPr>
              <w:spacing w:after="300" w:line="240" w:lineRule="auto"/>
              <w:rPr>
                <w:rFonts w:ascii="Source Sans Pro" w:eastAsia="Times New Roman" w:hAnsi="Source Sans Pro"/>
                <w:b/>
                <w:bCs/>
                <w:color w:val="333333"/>
                <w:sz w:val="21"/>
                <w:szCs w:val="21"/>
                <w:lang w:eastAsia="en-CA"/>
              </w:rPr>
            </w:pPr>
            <w:r w:rsidRPr="00CD2E71">
              <w:rPr>
                <w:rFonts w:ascii="Source Sans Pro" w:eastAsia="Times New Roman" w:hAnsi="Source Sans Pro"/>
                <w:b/>
                <w:bCs/>
                <w:color w:val="333333"/>
                <w:sz w:val="21"/>
                <w:szCs w:val="21"/>
                <w:lang w:eastAsia="en-CA"/>
              </w:rPr>
              <w:t>Useful for mapping</w:t>
            </w:r>
          </w:p>
        </w:tc>
      </w:tr>
      <w:tr w:rsidR="00CD2E71" w:rsidRPr="00CD2E71" w14:paraId="658A6080" w14:textId="77777777" w:rsidTr="00CD2E71">
        <w:tc>
          <w:tcPr>
            <w:tcW w:w="1701" w:type="dxa"/>
            <w:tcBorders>
              <w:top w:val="single" w:sz="6" w:space="0" w:color="DDDDDD"/>
            </w:tcBorders>
            <w:shd w:val="clear" w:color="auto" w:fill="FFFFFF"/>
            <w:tcMar>
              <w:top w:w="120" w:type="dxa"/>
              <w:left w:w="120" w:type="dxa"/>
              <w:bottom w:w="120" w:type="dxa"/>
              <w:right w:w="120" w:type="dxa"/>
            </w:tcMar>
            <w:hideMark/>
          </w:tcPr>
          <w:p w14:paraId="710B13B2" w14:textId="17D746D3" w:rsidR="00CD2E71" w:rsidRPr="00CD2E71" w:rsidRDefault="00CD2E71" w:rsidP="00CD2E71">
            <w:pPr>
              <w:spacing w:after="300" w:line="240" w:lineRule="auto"/>
              <w:rPr>
                <w:rFonts w:ascii="Source Sans Pro" w:eastAsia="Times New Roman" w:hAnsi="Source Sans Pro"/>
                <w:color w:val="333333"/>
                <w:sz w:val="21"/>
                <w:szCs w:val="21"/>
                <w:lang w:eastAsia="en-CA"/>
              </w:rPr>
            </w:pPr>
            <w:r w:rsidRPr="00CD2E71">
              <w:rPr>
                <w:rFonts w:ascii="Source Sans Pro" w:eastAsia="Times New Roman" w:hAnsi="Source Sans Pro"/>
                <w:color w:val="333333"/>
                <w:sz w:val="21"/>
                <w:szCs w:val="21"/>
                <w:lang w:eastAsia="en-CA"/>
              </w:rPr>
              <w:t>Band 2 - blue</w:t>
            </w:r>
          </w:p>
        </w:tc>
        <w:tc>
          <w:tcPr>
            <w:tcW w:w="1418" w:type="dxa"/>
            <w:tcBorders>
              <w:top w:val="single" w:sz="6" w:space="0" w:color="DDDDDD"/>
            </w:tcBorders>
            <w:shd w:val="clear" w:color="auto" w:fill="FFFFFF"/>
            <w:tcMar>
              <w:top w:w="120" w:type="dxa"/>
              <w:left w:w="120" w:type="dxa"/>
              <w:bottom w:w="120" w:type="dxa"/>
              <w:right w:w="120" w:type="dxa"/>
            </w:tcMar>
            <w:hideMark/>
          </w:tcPr>
          <w:p w14:paraId="50FF7824" w14:textId="6F33C1D9" w:rsidR="00CD2E71" w:rsidRPr="00CD2E71" w:rsidRDefault="00CD2E71" w:rsidP="00CD2E71">
            <w:pPr>
              <w:spacing w:after="300" w:line="240" w:lineRule="auto"/>
              <w:rPr>
                <w:rFonts w:ascii="Source Sans Pro" w:eastAsia="Times New Roman" w:hAnsi="Source Sans Pro"/>
                <w:color w:val="333333"/>
                <w:sz w:val="21"/>
                <w:szCs w:val="21"/>
                <w:lang w:eastAsia="en-CA"/>
              </w:rPr>
            </w:pPr>
            <w:r w:rsidRPr="00CD2E71">
              <w:rPr>
                <w:rFonts w:ascii="Source Sans Pro" w:eastAsia="Times New Roman" w:hAnsi="Source Sans Pro"/>
                <w:color w:val="333333"/>
                <w:sz w:val="21"/>
                <w:szCs w:val="21"/>
                <w:lang w:eastAsia="en-CA"/>
              </w:rPr>
              <w:t>0.45-0.51</w:t>
            </w:r>
          </w:p>
        </w:tc>
        <w:tc>
          <w:tcPr>
            <w:tcW w:w="5103" w:type="dxa"/>
            <w:tcBorders>
              <w:top w:val="single" w:sz="6" w:space="0" w:color="DDDDDD"/>
            </w:tcBorders>
            <w:shd w:val="clear" w:color="auto" w:fill="FFFFFF"/>
            <w:tcMar>
              <w:top w:w="120" w:type="dxa"/>
              <w:left w:w="120" w:type="dxa"/>
              <w:bottom w:w="120" w:type="dxa"/>
              <w:right w:w="120" w:type="dxa"/>
            </w:tcMar>
            <w:hideMark/>
          </w:tcPr>
          <w:p w14:paraId="73B0ED3E" w14:textId="3D7E2729" w:rsidR="00CD2E71" w:rsidRPr="00CD2E71" w:rsidRDefault="00CD2E71" w:rsidP="00CD2E71">
            <w:pPr>
              <w:spacing w:after="300" w:line="240" w:lineRule="auto"/>
              <w:rPr>
                <w:rFonts w:ascii="Source Sans Pro" w:eastAsia="Times New Roman" w:hAnsi="Source Sans Pro"/>
                <w:color w:val="333333"/>
                <w:sz w:val="21"/>
                <w:szCs w:val="21"/>
                <w:lang w:eastAsia="en-CA"/>
              </w:rPr>
            </w:pPr>
            <w:r w:rsidRPr="00CD2E71">
              <w:rPr>
                <w:rFonts w:ascii="Source Sans Pro" w:eastAsia="Times New Roman" w:hAnsi="Source Sans Pro"/>
                <w:color w:val="333333"/>
                <w:sz w:val="21"/>
                <w:szCs w:val="21"/>
                <w:lang w:eastAsia="en-CA"/>
              </w:rPr>
              <w:t>Bathymetric mapping, distinguishing soil from vegetation and deciduous from coniferous vegetation</w:t>
            </w:r>
          </w:p>
        </w:tc>
      </w:tr>
      <w:tr w:rsidR="00CD2E71" w:rsidRPr="00CD2E71" w14:paraId="5BAB62AE" w14:textId="77777777" w:rsidTr="00CD2E71">
        <w:tc>
          <w:tcPr>
            <w:tcW w:w="1701" w:type="dxa"/>
            <w:tcBorders>
              <w:top w:val="single" w:sz="6" w:space="0" w:color="DDDDDD"/>
            </w:tcBorders>
            <w:shd w:val="clear" w:color="auto" w:fill="F9F9F9"/>
            <w:tcMar>
              <w:top w:w="120" w:type="dxa"/>
              <w:left w:w="120" w:type="dxa"/>
              <w:bottom w:w="120" w:type="dxa"/>
              <w:right w:w="120" w:type="dxa"/>
            </w:tcMar>
            <w:hideMark/>
          </w:tcPr>
          <w:p w14:paraId="08A50DCF" w14:textId="43E62223" w:rsidR="00CD2E71" w:rsidRPr="00CD2E71" w:rsidRDefault="00CD2E71" w:rsidP="00CD2E71">
            <w:pPr>
              <w:spacing w:after="300" w:line="240" w:lineRule="auto"/>
              <w:rPr>
                <w:rFonts w:ascii="Source Sans Pro" w:eastAsia="Times New Roman" w:hAnsi="Source Sans Pro"/>
                <w:color w:val="333333"/>
                <w:sz w:val="21"/>
                <w:szCs w:val="21"/>
                <w:lang w:eastAsia="en-CA"/>
              </w:rPr>
            </w:pPr>
            <w:r w:rsidRPr="00CD2E71">
              <w:rPr>
                <w:rFonts w:ascii="Source Sans Pro" w:eastAsia="Times New Roman" w:hAnsi="Source Sans Pro"/>
                <w:color w:val="333333"/>
                <w:sz w:val="21"/>
                <w:szCs w:val="21"/>
                <w:lang w:eastAsia="en-CA"/>
              </w:rPr>
              <w:t>Band 3 - green</w:t>
            </w:r>
          </w:p>
        </w:tc>
        <w:tc>
          <w:tcPr>
            <w:tcW w:w="1418" w:type="dxa"/>
            <w:tcBorders>
              <w:top w:val="single" w:sz="6" w:space="0" w:color="DDDDDD"/>
            </w:tcBorders>
            <w:shd w:val="clear" w:color="auto" w:fill="F9F9F9"/>
            <w:tcMar>
              <w:top w:w="120" w:type="dxa"/>
              <w:left w:w="120" w:type="dxa"/>
              <w:bottom w:w="120" w:type="dxa"/>
              <w:right w:w="120" w:type="dxa"/>
            </w:tcMar>
            <w:hideMark/>
          </w:tcPr>
          <w:p w14:paraId="3F0F629D" w14:textId="345A6B68" w:rsidR="00CD2E71" w:rsidRPr="00CD2E71" w:rsidRDefault="00CD2E71" w:rsidP="00CD2E71">
            <w:pPr>
              <w:spacing w:after="300" w:line="240" w:lineRule="auto"/>
              <w:rPr>
                <w:rFonts w:ascii="Source Sans Pro" w:eastAsia="Times New Roman" w:hAnsi="Source Sans Pro"/>
                <w:color w:val="333333"/>
                <w:sz w:val="21"/>
                <w:szCs w:val="21"/>
                <w:lang w:eastAsia="en-CA"/>
              </w:rPr>
            </w:pPr>
            <w:r w:rsidRPr="00CD2E71">
              <w:rPr>
                <w:rFonts w:ascii="Source Sans Pro" w:eastAsia="Times New Roman" w:hAnsi="Source Sans Pro"/>
                <w:color w:val="333333"/>
                <w:sz w:val="21"/>
                <w:szCs w:val="21"/>
                <w:lang w:eastAsia="en-CA"/>
              </w:rPr>
              <w:t>0.53-0.59</w:t>
            </w:r>
          </w:p>
        </w:tc>
        <w:tc>
          <w:tcPr>
            <w:tcW w:w="5103" w:type="dxa"/>
            <w:tcBorders>
              <w:top w:val="single" w:sz="6" w:space="0" w:color="DDDDDD"/>
            </w:tcBorders>
            <w:shd w:val="clear" w:color="auto" w:fill="F9F9F9"/>
            <w:tcMar>
              <w:top w:w="120" w:type="dxa"/>
              <w:left w:w="120" w:type="dxa"/>
              <w:bottom w:w="120" w:type="dxa"/>
              <w:right w:w="120" w:type="dxa"/>
            </w:tcMar>
            <w:hideMark/>
          </w:tcPr>
          <w:p w14:paraId="4C470583" w14:textId="5C8B8B78" w:rsidR="00CD2E71" w:rsidRPr="00CD2E71" w:rsidRDefault="00CD2E71" w:rsidP="00CD2E71">
            <w:pPr>
              <w:spacing w:after="300" w:line="240" w:lineRule="auto"/>
              <w:rPr>
                <w:rFonts w:ascii="Source Sans Pro" w:eastAsia="Times New Roman" w:hAnsi="Source Sans Pro"/>
                <w:color w:val="333333"/>
                <w:sz w:val="21"/>
                <w:szCs w:val="21"/>
                <w:lang w:eastAsia="en-CA"/>
              </w:rPr>
            </w:pPr>
            <w:r w:rsidRPr="00CD2E71">
              <w:rPr>
                <w:rFonts w:ascii="Source Sans Pro" w:eastAsia="Times New Roman" w:hAnsi="Source Sans Pro"/>
                <w:color w:val="333333"/>
                <w:sz w:val="21"/>
                <w:szCs w:val="21"/>
                <w:lang w:eastAsia="en-CA"/>
              </w:rPr>
              <w:t>Emphasizes peak vegetation, which is useful for assessing plant vigor</w:t>
            </w:r>
          </w:p>
        </w:tc>
      </w:tr>
      <w:tr w:rsidR="00CD2E71" w:rsidRPr="00CD2E71" w14:paraId="2847D319" w14:textId="77777777" w:rsidTr="00CD2E71">
        <w:tc>
          <w:tcPr>
            <w:tcW w:w="1701" w:type="dxa"/>
            <w:tcBorders>
              <w:top w:val="single" w:sz="6" w:space="0" w:color="DDDDDD"/>
            </w:tcBorders>
            <w:shd w:val="clear" w:color="auto" w:fill="FFFFFF"/>
            <w:tcMar>
              <w:top w:w="120" w:type="dxa"/>
              <w:left w:w="120" w:type="dxa"/>
              <w:bottom w:w="120" w:type="dxa"/>
              <w:right w:w="120" w:type="dxa"/>
            </w:tcMar>
            <w:hideMark/>
          </w:tcPr>
          <w:p w14:paraId="58F5A339" w14:textId="6EE4238F" w:rsidR="00CD2E71" w:rsidRPr="00CD2E71" w:rsidRDefault="00CD2E71" w:rsidP="00CD2E71">
            <w:pPr>
              <w:spacing w:after="300" w:line="240" w:lineRule="auto"/>
              <w:rPr>
                <w:rFonts w:ascii="Source Sans Pro" w:eastAsia="Times New Roman" w:hAnsi="Source Sans Pro"/>
                <w:color w:val="333333"/>
                <w:sz w:val="21"/>
                <w:szCs w:val="21"/>
                <w:lang w:eastAsia="en-CA"/>
              </w:rPr>
            </w:pPr>
            <w:r w:rsidRPr="00CD2E71">
              <w:rPr>
                <w:rFonts w:ascii="Source Sans Pro" w:eastAsia="Times New Roman" w:hAnsi="Source Sans Pro"/>
                <w:color w:val="333333"/>
                <w:sz w:val="21"/>
                <w:szCs w:val="21"/>
                <w:lang w:eastAsia="en-CA"/>
              </w:rPr>
              <w:t>Band 4 - red</w:t>
            </w:r>
          </w:p>
        </w:tc>
        <w:tc>
          <w:tcPr>
            <w:tcW w:w="1418" w:type="dxa"/>
            <w:tcBorders>
              <w:top w:val="single" w:sz="6" w:space="0" w:color="DDDDDD"/>
            </w:tcBorders>
            <w:shd w:val="clear" w:color="auto" w:fill="FFFFFF"/>
            <w:tcMar>
              <w:top w:w="120" w:type="dxa"/>
              <w:left w:w="120" w:type="dxa"/>
              <w:bottom w:w="120" w:type="dxa"/>
              <w:right w:w="120" w:type="dxa"/>
            </w:tcMar>
            <w:hideMark/>
          </w:tcPr>
          <w:p w14:paraId="62839EC4" w14:textId="2EF619E2" w:rsidR="00CD2E71" w:rsidRPr="00CD2E71" w:rsidRDefault="00CD2E71" w:rsidP="00CD2E71">
            <w:pPr>
              <w:spacing w:after="300" w:line="240" w:lineRule="auto"/>
              <w:rPr>
                <w:rFonts w:ascii="Source Sans Pro" w:eastAsia="Times New Roman" w:hAnsi="Source Sans Pro"/>
                <w:color w:val="333333"/>
                <w:sz w:val="21"/>
                <w:szCs w:val="21"/>
                <w:lang w:eastAsia="en-CA"/>
              </w:rPr>
            </w:pPr>
            <w:r w:rsidRPr="00CD2E71">
              <w:rPr>
                <w:rFonts w:ascii="Source Sans Pro" w:eastAsia="Times New Roman" w:hAnsi="Source Sans Pro"/>
                <w:color w:val="333333"/>
                <w:sz w:val="21"/>
                <w:szCs w:val="21"/>
                <w:lang w:eastAsia="en-CA"/>
              </w:rPr>
              <w:t>0.64-0.67</w:t>
            </w:r>
          </w:p>
        </w:tc>
        <w:tc>
          <w:tcPr>
            <w:tcW w:w="5103" w:type="dxa"/>
            <w:tcBorders>
              <w:top w:val="single" w:sz="6" w:space="0" w:color="DDDDDD"/>
            </w:tcBorders>
            <w:shd w:val="clear" w:color="auto" w:fill="FFFFFF"/>
            <w:tcMar>
              <w:top w:w="120" w:type="dxa"/>
              <w:left w:w="120" w:type="dxa"/>
              <w:bottom w:w="120" w:type="dxa"/>
              <w:right w:w="120" w:type="dxa"/>
            </w:tcMar>
            <w:hideMark/>
          </w:tcPr>
          <w:p w14:paraId="6E6EB5F8" w14:textId="1D0B58E1" w:rsidR="00CD2E71" w:rsidRPr="00CD2E71" w:rsidRDefault="00CD2E71" w:rsidP="00CD2E71">
            <w:pPr>
              <w:spacing w:after="300" w:line="240" w:lineRule="auto"/>
              <w:rPr>
                <w:rFonts w:ascii="Source Sans Pro" w:eastAsia="Times New Roman" w:hAnsi="Source Sans Pro"/>
                <w:color w:val="333333"/>
                <w:sz w:val="21"/>
                <w:szCs w:val="21"/>
                <w:lang w:eastAsia="en-CA"/>
              </w:rPr>
            </w:pPr>
            <w:r w:rsidRPr="00CD2E71">
              <w:rPr>
                <w:rFonts w:ascii="Source Sans Pro" w:eastAsia="Times New Roman" w:hAnsi="Source Sans Pro"/>
                <w:color w:val="333333"/>
                <w:sz w:val="21"/>
                <w:szCs w:val="21"/>
                <w:lang w:eastAsia="en-CA"/>
              </w:rPr>
              <w:t>Discriminates vegetation slopes</w:t>
            </w:r>
          </w:p>
        </w:tc>
      </w:tr>
      <w:tr w:rsidR="00CD2E71" w:rsidRPr="00CD2E71" w14:paraId="45473FA2" w14:textId="77777777" w:rsidTr="00CD2E71">
        <w:tc>
          <w:tcPr>
            <w:tcW w:w="1701" w:type="dxa"/>
            <w:tcBorders>
              <w:top w:val="single" w:sz="6" w:space="0" w:color="DDDDDD"/>
            </w:tcBorders>
            <w:shd w:val="clear" w:color="auto" w:fill="F9F9F9"/>
            <w:tcMar>
              <w:top w:w="120" w:type="dxa"/>
              <w:left w:w="120" w:type="dxa"/>
              <w:bottom w:w="120" w:type="dxa"/>
              <w:right w:w="120" w:type="dxa"/>
            </w:tcMar>
            <w:hideMark/>
          </w:tcPr>
          <w:p w14:paraId="667A1E0D" w14:textId="342CECBB" w:rsidR="00CD2E71" w:rsidRPr="00CD2E71" w:rsidRDefault="00CD2E71" w:rsidP="00CD2E71">
            <w:pPr>
              <w:spacing w:after="300" w:line="240" w:lineRule="auto"/>
              <w:rPr>
                <w:rFonts w:ascii="Source Sans Pro" w:eastAsia="Times New Roman" w:hAnsi="Source Sans Pro"/>
                <w:color w:val="333333"/>
                <w:sz w:val="21"/>
                <w:szCs w:val="21"/>
                <w:lang w:eastAsia="en-CA"/>
              </w:rPr>
            </w:pPr>
            <w:r w:rsidRPr="00CD2E71">
              <w:rPr>
                <w:rFonts w:ascii="Source Sans Pro" w:eastAsia="Times New Roman" w:hAnsi="Source Sans Pro"/>
                <w:color w:val="333333"/>
                <w:sz w:val="21"/>
                <w:szCs w:val="21"/>
                <w:lang w:eastAsia="en-CA"/>
              </w:rPr>
              <w:t>Band 5 - Near Infrared (NIR)</w:t>
            </w:r>
          </w:p>
        </w:tc>
        <w:tc>
          <w:tcPr>
            <w:tcW w:w="1418" w:type="dxa"/>
            <w:tcBorders>
              <w:top w:val="single" w:sz="6" w:space="0" w:color="DDDDDD"/>
            </w:tcBorders>
            <w:shd w:val="clear" w:color="auto" w:fill="F9F9F9"/>
            <w:tcMar>
              <w:top w:w="120" w:type="dxa"/>
              <w:left w:w="120" w:type="dxa"/>
              <w:bottom w:w="120" w:type="dxa"/>
              <w:right w:w="120" w:type="dxa"/>
            </w:tcMar>
            <w:hideMark/>
          </w:tcPr>
          <w:p w14:paraId="75DFCCDC" w14:textId="3FD56A25" w:rsidR="00CD2E71" w:rsidRPr="00CD2E71" w:rsidRDefault="00CD2E71" w:rsidP="00CD2E71">
            <w:pPr>
              <w:spacing w:after="300" w:line="240" w:lineRule="auto"/>
              <w:rPr>
                <w:rFonts w:ascii="Source Sans Pro" w:eastAsia="Times New Roman" w:hAnsi="Source Sans Pro"/>
                <w:color w:val="333333"/>
                <w:sz w:val="21"/>
                <w:szCs w:val="21"/>
                <w:lang w:eastAsia="en-CA"/>
              </w:rPr>
            </w:pPr>
            <w:r w:rsidRPr="00CD2E71">
              <w:rPr>
                <w:rFonts w:ascii="Source Sans Pro" w:eastAsia="Times New Roman" w:hAnsi="Source Sans Pro"/>
                <w:color w:val="333333"/>
                <w:sz w:val="21"/>
                <w:szCs w:val="21"/>
                <w:lang w:eastAsia="en-CA"/>
              </w:rPr>
              <w:t>0.85-0.88</w:t>
            </w:r>
          </w:p>
        </w:tc>
        <w:tc>
          <w:tcPr>
            <w:tcW w:w="5103" w:type="dxa"/>
            <w:tcBorders>
              <w:top w:val="single" w:sz="6" w:space="0" w:color="DDDDDD"/>
            </w:tcBorders>
            <w:shd w:val="clear" w:color="auto" w:fill="F9F9F9"/>
            <w:tcMar>
              <w:top w:w="120" w:type="dxa"/>
              <w:left w:w="120" w:type="dxa"/>
              <w:bottom w:w="120" w:type="dxa"/>
              <w:right w:w="120" w:type="dxa"/>
            </w:tcMar>
            <w:hideMark/>
          </w:tcPr>
          <w:p w14:paraId="25C30298" w14:textId="6F48EA51" w:rsidR="00CD2E71" w:rsidRPr="00CD2E71" w:rsidRDefault="00CD2E71" w:rsidP="00CD2E71">
            <w:pPr>
              <w:spacing w:after="300" w:line="240" w:lineRule="auto"/>
              <w:rPr>
                <w:rFonts w:ascii="Source Sans Pro" w:eastAsia="Times New Roman" w:hAnsi="Source Sans Pro"/>
                <w:color w:val="333333"/>
                <w:sz w:val="21"/>
                <w:szCs w:val="21"/>
                <w:lang w:eastAsia="en-CA"/>
              </w:rPr>
            </w:pPr>
            <w:r w:rsidRPr="00CD2E71">
              <w:rPr>
                <w:rFonts w:ascii="Source Sans Pro" w:eastAsia="Times New Roman" w:hAnsi="Source Sans Pro"/>
                <w:color w:val="333333"/>
                <w:sz w:val="21"/>
                <w:szCs w:val="21"/>
                <w:lang w:eastAsia="en-CA"/>
              </w:rPr>
              <w:t>Emphasizes biomass content and shorelines</w:t>
            </w:r>
          </w:p>
        </w:tc>
      </w:tr>
      <w:tr w:rsidR="00CD2E71" w:rsidRPr="00CD2E71" w14:paraId="3CA4C60B" w14:textId="77777777" w:rsidTr="00CD2E71">
        <w:tc>
          <w:tcPr>
            <w:tcW w:w="1701" w:type="dxa"/>
            <w:tcBorders>
              <w:top w:val="single" w:sz="6" w:space="0" w:color="DDDDDD"/>
            </w:tcBorders>
            <w:shd w:val="clear" w:color="auto" w:fill="FFFFFF"/>
            <w:tcMar>
              <w:top w:w="120" w:type="dxa"/>
              <w:left w:w="120" w:type="dxa"/>
              <w:bottom w:w="120" w:type="dxa"/>
              <w:right w:w="120" w:type="dxa"/>
            </w:tcMar>
            <w:hideMark/>
          </w:tcPr>
          <w:p w14:paraId="59610F74" w14:textId="78D96A79" w:rsidR="00CD2E71" w:rsidRPr="00CD2E71" w:rsidRDefault="00CD2E71" w:rsidP="00CD2E71">
            <w:pPr>
              <w:spacing w:after="300" w:line="240" w:lineRule="auto"/>
              <w:rPr>
                <w:rFonts w:ascii="Source Sans Pro" w:eastAsia="Times New Roman" w:hAnsi="Source Sans Pro"/>
                <w:color w:val="333333"/>
                <w:sz w:val="21"/>
                <w:szCs w:val="21"/>
                <w:lang w:eastAsia="en-CA"/>
              </w:rPr>
            </w:pPr>
            <w:r w:rsidRPr="00CD2E71">
              <w:rPr>
                <w:rFonts w:ascii="Source Sans Pro" w:eastAsia="Times New Roman" w:hAnsi="Source Sans Pro"/>
                <w:color w:val="333333"/>
                <w:sz w:val="21"/>
                <w:szCs w:val="21"/>
                <w:lang w:eastAsia="en-CA"/>
              </w:rPr>
              <w:t>Band 6 - Short-wave Infrared (SWIR) 1</w:t>
            </w:r>
          </w:p>
        </w:tc>
        <w:tc>
          <w:tcPr>
            <w:tcW w:w="1418" w:type="dxa"/>
            <w:tcBorders>
              <w:top w:val="single" w:sz="6" w:space="0" w:color="DDDDDD"/>
            </w:tcBorders>
            <w:shd w:val="clear" w:color="auto" w:fill="FFFFFF"/>
            <w:tcMar>
              <w:top w:w="120" w:type="dxa"/>
              <w:left w:w="120" w:type="dxa"/>
              <w:bottom w:w="120" w:type="dxa"/>
              <w:right w:w="120" w:type="dxa"/>
            </w:tcMar>
            <w:hideMark/>
          </w:tcPr>
          <w:p w14:paraId="7B9ABAAA" w14:textId="11759E6F" w:rsidR="00CD2E71" w:rsidRPr="00CD2E71" w:rsidRDefault="00CD2E71" w:rsidP="00CD2E71">
            <w:pPr>
              <w:spacing w:after="300" w:line="240" w:lineRule="auto"/>
              <w:rPr>
                <w:rFonts w:ascii="Source Sans Pro" w:eastAsia="Times New Roman" w:hAnsi="Source Sans Pro"/>
                <w:color w:val="333333"/>
                <w:sz w:val="21"/>
                <w:szCs w:val="21"/>
                <w:lang w:eastAsia="en-CA"/>
              </w:rPr>
            </w:pPr>
            <w:r w:rsidRPr="00CD2E71">
              <w:rPr>
                <w:rFonts w:ascii="Source Sans Pro" w:eastAsia="Times New Roman" w:hAnsi="Source Sans Pro"/>
                <w:color w:val="333333"/>
                <w:sz w:val="21"/>
                <w:szCs w:val="21"/>
                <w:lang w:eastAsia="en-CA"/>
              </w:rPr>
              <w:t>1.57-1.65</w:t>
            </w:r>
          </w:p>
        </w:tc>
        <w:tc>
          <w:tcPr>
            <w:tcW w:w="5103" w:type="dxa"/>
            <w:tcBorders>
              <w:top w:val="single" w:sz="6" w:space="0" w:color="DDDDDD"/>
            </w:tcBorders>
            <w:shd w:val="clear" w:color="auto" w:fill="FFFFFF"/>
            <w:tcMar>
              <w:top w:w="120" w:type="dxa"/>
              <w:left w:w="120" w:type="dxa"/>
              <w:bottom w:w="120" w:type="dxa"/>
              <w:right w:w="120" w:type="dxa"/>
            </w:tcMar>
            <w:hideMark/>
          </w:tcPr>
          <w:p w14:paraId="79F810AD" w14:textId="3D480F72" w:rsidR="00CD2E71" w:rsidRPr="00CD2E71" w:rsidRDefault="00CD2E71" w:rsidP="00CD2E71">
            <w:pPr>
              <w:spacing w:after="300" w:line="240" w:lineRule="auto"/>
              <w:rPr>
                <w:rFonts w:ascii="Source Sans Pro" w:eastAsia="Times New Roman" w:hAnsi="Source Sans Pro"/>
                <w:color w:val="333333"/>
                <w:sz w:val="21"/>
                <w:szCs w:val="21"/>
                <w:lang w:eastAsia="en-CA"/>
              </w:rPr>
            </w:pPr>
            <w:r w:rsidRPr="00CD2E71">
              <w:rPr>
                <w:rFonts w:ascii="Source Sans Pro" w:eastAsia="Times New Roman" w:hAnsi="Source Sans Pro"/>
                <w:color w:val="333333"/>
                <w:sz w:val="21"/>
                <w:szCs w:val="21"/>
                <w:lang w:eastAsia="en-CA"/>
              </w:rPr>
              <w:t>Discriminates moisture content of soil and vegetation; penetrates thin clouds</w:t>
            </w:r>
          </w:p>
        </w:tc>
      </w:tr>
      <w:tr w:rsidR="00CD2E71" w:rsidRPr="00CD2E71" w14:paraId="69B425CB" w14:textId="77777777" w:rsidTr="00CD2E71">
        <w:tc>
          <w:tcPr>
            <w:tcW w:w="1701"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184E5DF4" w14:textId="67B28DCF" w:rsidR="00CD2E71" w:rsidRPr="00CD2E71" w:rsidRDefault="00CD2E71" w:rsidP="00CD2E71">
            <w:pPr>
              <w:spacing w:after="300" w:line="240" w:lineRule="auto"/>
              <w:rPr>
                <w:rFonts w:ascii="Source Sans Pro" w:eastAsia="Times New Roman" w:hAnsi="Source Sans Pro"/>
                <w:color w:val="333333"/>
                <w:sz w:val="21"/>
                <w:szCs w:val="21"/>
                <w:lang w:eastAsia="en-CA"/>
              </w:rPr>
            </w:pPr>
            <w:r w:rsidRPr="00CD2E71">
              <w:rPr>
                <w:rFonts w:ascii="Source Sans Pro" w:eastAsia="Times New Roman" w:hAnsi="Source Sans Pro"/>
                <w:color w:val="333333"/>
                <w:sz w:val="21"/>
                <w:szCs w:val="21"/>
                <w:lang w:eastAsia="en-CA"/>
              </w:rPr>
              <w:t>Band 7 - Short-wave Infrared (SWIR) 2</w:t>
            </w:r>
          </w:p>
        </w:tc>
        <w:tc>
          <w:tcPr>
            <w:tcW w:w="1418"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117717D6" w14:textId="71AEF7C5" w:rsidR="00CD2E71" w:rsidRPr="00CD2E71" w:rsidRDefault="00CD2E71" w:rsidP="00CD2E71">
            <w:pPr>
              <w:spacing w:after="300" w:line="240" w:lineRule="auto"/>
              <w:rPr>
                <w:rFonts w:ascii="Source Sans Pro" w:eastAsia="Times New Roman" w:hAnsi="Source Sans Pro"/>
                <w:color w:val="333333"/>
                <w:sz w:val="21"/>
                <w:szCs w:val="21"/>
                <w:lang w:eastAsia="en-CA"/>
              </w:rPr>
            </w:pPr>
            <w:r w:rsidRPr="00CD2E71">
              <w:rPr>
                <w:rFonts w:ascii="Source Sans Pro" w:eastAsia="Times New Roman" w:hAnsi="Source Sans Pro"/>
                <w:color w:val="333333"/>
                <w:sz w:val="21"/>
                <w:szCs w:val="21"/>
                <w:lang w:eastAsia="en-CA"/>
              </w:rPr>
              <w:t>2.11-2.29</w:t>
            </w:r>
          </w:p>
        </w:tc>
        <w:tc>
          <w:tcPr>
            <w:tcW w:w="5103" w:type="dxa"/>
            <w:tcBorders>
              <w:top w:val="single" w:sz="6" w:space="0" w:color="DDDDDD"/>
              <w:bottom w:val="single" w:sz="6" w:space="0" w:color="DDDDDD"/>
            </w:tcBorders>
            <w:shd w:val="clear" w:color="auto" w:fill="F9F9F9"/>
            <w:tcMar>
              <w:top w:w="120" w:type="dxa"/>
              <w:left w:w="120" w:type="dxa"/>
              <w:bottom w:w="120" w:type="dxa"/>
              <w:right w:w="120" w:type="dxa"/>
            </w:tcMar>
            <w:hideMark/>
          </w:tcPr>
          <w:p w14:paraId="20DA1714" w14:textId="00328176" w:rsidR="00CD2E71" w:rsidRPr="00CD2E71" w:rsidRDefault="00CD2E71" w:rsidP="00CD2E71">
            <w:pPr>
              <w:spacing w:after="300" w:line="240" w:lineRule="auto"/>
              <w:rPr>
                <w:rFonts w:ascii="Source Sans Pro" w:eastAsia="Times New Roman" w:hAnsi="Source Sans Pro"/>
                <w:color w:val="333333"/>
                <w:sz w:val="21"/>
                <w:szCs w:val="21"/>
                <w:lang w:eastAsia="en-CA"/>
              </w:rPr>
            </w:pPr>
            <w:r w:rsidRPr="00CD2E71">
              <w:rPr>
                <w:rFonts w:ascii="Source Sans Pro" w:eastAsia="Times New Roman" w:hAnsi="Source Sans Pro"/>
                <w:color w:val="333333"/>
                <w:sz w:val="21"/>
                <w:szCs w:val="21"/>
                <w:lang w:eastAsia="en-CA"/>
              </w:rPr>
              <w:t>Improved moisture content of soil and vegetation; penetrates thin clouds</w:t>
            </w:r>
          </w:p>
        </w:tc>
      </w:tr>
      <w:tr w:rsidR="00CD2E71" w:rsidRPr="00CD2E71" w14:paraId="62B657A1" w14:textId="77777777" w:rsidTr="00CD2E71">
        <w:tc>
          <w:tcPr>
            <w:tcW w:w="1701" w:type="dxa"/>
            <w:tcBorders>
              <w:top w:val="single" w:sz="6" w:space="0" w:color="DDDDDD"/>
              <w:bottom w:val="single" w:sz="6" w:space="0" w:color="DDDDDD"/>
            </w:tcBorders>
            <w:shd w:val="clear" w:color="auto" w:fill="F9F9F9"/>
            <w:tcMar>
              <w:top w:w="120" w:type="dxa"/>
              <w:left w:w="120" w:type="dxa"/>
              <w:bottom w:w="120" w:type="dxa"/>
              <w:right w:w="120" w:type="dxa"/>
            </w:tcMar>
          </w:tcPr>
          <w:p w14:paraId="6CA7D1F7" w14:textId="112522D1" w:rsidR="00CD2E71" w:rsidRPr="00CD2E71" w:rsidRDefault="00CD2E71" w:rsidP="00CD2E71">
            <w:pPr>
              <w:spacing w:after="300" w:line="240" w:lineRule="auto"/>
              <w:rPr>
                <w:rFonts w:ascii="Source Sans Pro" w:eastAsia="Times New Roman" w:hAnsi="Source Sans Pro"/>
                <w:color w:val="333333"/>
                <w:sz w:val="21"/>
                <w:szCs w:val="21"/>
                <w:lang w:eastAsia="en-CA"/>
              </w:rPr>
            </w:pPr>
            <w:r>
              <w:t>NBR</w:t>
            </w:r>
            <w:r>
              <w:t xml:space="preserve"> – Normalized burn ratio</w:t>
            </w:r>
          </w:p>
        </w:tc>
        <w:tc>
          <w:tcPr>
            <w:tcW w:w="1418" w:type="dxa"/>
            <w:tcBorders>
              <w:top w:val="single" w:sz="6" w:space="0" w:color="DDDDDD"/>
              <w:bottom w:val="single" w:sz="6" w:space="0" w:color="DDDDDD"/>
            </w:tcBorders>
            <w:shd w:val="clear" w:color="auto" w:fill="F9F9F9"/>
            <w:tcMar>
              <w:top w:w="120" w:type="dxa"/>
              <w:left w:w="120" w:type="dxa"/>
              <w:bottom w:w="120" w:type="dxa"/>
              <w:right w:w="120" w:type="dxa"/>
            </w:tcMar>
          </w:tcPr>
          <w:p w14:paraId="7D2EDC2D" w14:textId="4AD4DF64" w:rsidR="00CD2E71" w:rsidRPr="00CD2E71" w:rsidRDefault="00CD2E71" w:rsidP="00CD2E71">
            <w:pPr>
              <w:spacing w:after="300" w:line="240" w:lineRule="auto"/>
              <w:rPr>
                <w:rFonts w:ascii="Source Sans Pro" w:eastAsia="Times New Roman" w:hAnsi="Source Sans Pro"/>
                <w:color w:val="333333"/>
                <w:sz w:val="21"/>
                <w:szCs w:val="21"/>
                <w:lang w:eastAsia="en-CA"/>
              </w:rPr>
            </w:pPr>
            <w:r>
              <w:rPr>
                <w:rFonts w:ascii="Source Sans Pro" w:eastAsia="Times New Roman" w:hAnsi="Source Sans Pro"/>
                <w:color w:val="333333"/>
                <w:sz w:val="21"/>
                <w:szCs w:val="21"/>
                <w:lang w:eastAsia="en-CA"/>
              </w:rPr>
              <w:t>(NIR – SWIR) /(NIR+SWIR)</w:t>
            </w:r>
          </w:p>
        </w:tc>
        <w:tc>
          <w:tcPr>
            <w:tcW w:w="5103" w:type="dxa"/>
            <w:tcBorders>
              <w:top w:val="single" w:sz="6" w:space="0" w:color="DDDDDD"/>
              <w:bottom w:val="single" w:sz="6" w:space="0" w:color="DDDDDD"/>
            </w:tcBorders>
            <w:shd w:val="clear" w:color="auto" w:fill="F9F9F9"/>
            <w:tcMar>
              <w:top w:w="120" w:type="dxa"/>
              <w:left w:w="120" w:type="dxa"/>
              <w:bottom w:w="120" w:type="dxa"/>
              <w:right w:w="120" w:type="dxa"/>
            </w:tcMar>
          </w:tcPr>
          <w:p w14:paraId="09C19679" w14:textId="1F0ACEB6" w:rsidR="00CD2E71" w:rsidRPr="00CD2E71" w:rsidRDefault="00CD2E71" w:rsidP="00CD2E71">
            <w:pPr>
              <w:spacing w:after="300" w:line="240" w:lineRule="auto"/>
              <w:rPr>
                <w:rFonts w:ascii="Source Sans Pro" w:eastAsia="Times New Roman" w:hAnsi="Source Sans Pro"/>
                <w:color w:val="333333"/>
                <w:sz w:val="21"/>
                <w:szCs w:val="21"/>
                <w:lang w:eastAsia="en-CA"/>
              </w:rPr>
            </w:pPr>
            <w:r>
              <w:rPr>
                <w:rFonts w:ascii="Arial" w:hAnsi="Arial" w:cs="Arial"/>
                <w:color w:val="333333"/>
                <w:sz w:val="20"/>
                <w:szCs w:val="20"/>
                <w:shd w:val="clear" w:color="auto" w:fill="FFFFFF"/>
              </w:rPr>
              <w:t>A high NBR value indicates healthy vegetation while a low value indicates bare ground and recently burnt areas. Non-burnt areas are normally attributed to values close to zero.</w:t>
            </w:r>
          </w:p>
        </w:tc>
      </w:tr>
      <w:tr w:rsidR="00CD2E71" w:rsidRPr="00CD2E71" w14:paraId="0883AE20" w14:textId="77777777" w:rsidTr="00CD2E71">
        <w:trPr>
          <w:trHeight w:val="2187"/>
        </w:trPr>
        <w:tc>
          <w:tcPr>
            <w:tcW w:w="1701" w:type="dxa"/>
            <w:tcBorders>
              <w:top w:val="single" w:sz="6" w:space="0" w:color="DDDDDD"/>
              <w:bottom w:val="single" w:sz="6" w:space="0" w:color="DDDDDD"/>
            </w:tcBorders>
            <w:shd w:val="clear" w:color="auto" w:fill="F9F9F9"/>
            <w:tcMar>
              <w:top w:w="120" w:type="dxa"/>
              <w:left w:w="120" w:type="dxa"/>
              <w:bottom w:w="120" w:type="dxa"/>
              <w:right w:w="120" w:type="dxa"/>
            </w:tcMar>
          </w:tcPr>
          <w:p w14:paraId="3257FE54" w14:textId="08224500" w:rsidR="00CD2E71" w:rsidRDefault="00CD2E71" w:rsidP="00CD2E71">
            <w:pPr>
              <w:spacing w:after="300" w:line="240" w:lineRule="auto"/>
            </w:pPr>
            <w:r>
              <w:lastRenderedPageBreak/>
              <w:t>NDVI – Normalized Difference Vegetation Index</w:t>
            </w:r>
          </w:p>
        </w:tc>
        <w:tc>
          <w:tcPr>
            <w:tcW w:w="1418" w:type="dxa"/>
            <w:tcBorders>
              <w:top w:val="single" w:sz="6" w:space="0" w:color="DDDDDD"/>
              <w:bottom w:val="single" w:sz="6" w:space="0" w:color="DDDDDD"/>
            </w:tcBorders>
            <w:shd w:val="clear" w:color="auto" w:fill="F9F9F9"/>
            <w:tcMar>
              <w:top w:w="120" w:type="dxa"/>
              <w:left w:w="120" w:type="dxa"/>
              <w:bottom w:w="120" w:type="dxa"/>
              <w:right w:w="120" w:type="dxa"/>
            </w:tcMar>
          </w:tcPr>
          <w:p w14:paraId="74C4A14C" w14:textId="35337FC3" w:rsidR="00CD2E71" w:rsidRDefault="00CD2E71" w:rsidP="00CD2E71">
            <w:pPr>
              <w:spacing w:after="300" w:line="240" w:lineRule="auto"/>
              <w:rPr>
                <w:rFonts w:ascii="Source Sans Pro" w:eastAsia="Times New Roman" w:hAnsi="Source Sans Pro"/>
                <w:color w:val="333333"/>
                <w:sz w:val="21"/>
                <w:szCs w:val="21"/>
                <w:lang w:eastAsia="en-CA"/>
              </w:rPr>
            </w:pPr>
            <w:r>
              <w:rPr>
                <w:rFonts w:ascii="Source Sans Pro" w:eastAsia="Times New Roman" w:hAnsi="Source Sans Pro"/>
                <w:color w:val="333333"/>
                <w:sz w:val="21"/>
                <w:szCs w:val="21"/>
                <w:lang w:eastAsia="en-CA"/>
              </w:rPr>
              <w:t>(NIR-Red) /(</w:t>
            </w:r>
            <w:proofErr w:type="spellStart"/>
            <w:r>
              <w:rPr>
                <w:rFonts w:ascii="Source Sans Pro" w:eastAsia="Times New Roman" w:hAnsi="Source Sans Pro"/>
                <w:color w:val="333333"/>
                <w:sz w:val="21"/>
                <w:szCs w:val="21"/>
                <w:lang w:eastAsia="en-CA"/>
              </w:rPr>
              <w:t>NIR+Red</w:t>
            </w:r>
            <w:proofErr w:type="spellEnd"/>
            <w:r>
              <w:rPr>
                <w:rFonts w:ascii="Source Sans Pro" w:eastAsia="Times New Roman" w:hAnsi="Source Sans Pro"/>
                <w:color w:val="333333"/>
                <w:sz w:val="21"/>
                <w:szCs w:val="21"/>
                <w:lang w:eastAsia="en-CA"/>
              </w:rPr>
              <w:t>)</w:t>
            </w:r>
          </w:p>
        </w:tc>
        <w:tc>
          <w:tcPr>
            <w:tcW w:w="5103" w:type="dxa"/>
            <w:tcBorders>
              <w:top w:val="single" w:sz="6" w:space="0" w:color="DDDDDD"/>
              <w:bottom w:val="single" w:sz="6" w:space="0" w:color="DDDDDD"/>
            </w:tcBorders>
            <w:shd w:val="clear" w:color="auto" w:fill="F9F9F9"/>
            <w:tcMar>
              <w:top w:w="120" w:type="dxa"/>
              <w:left w:w="120" w:type="dxa"/>
              <w:bottom w:w="120" w:type="dxa"/>
              <w:right w:w="120" w:type="dxa"/>
            </w:tcMar>
          </w:tcPr>
          <w:p w14:paraId="366CD712" w14:textId="1B328754" w:rsidR="00CD2E71" w:rsidRDefault="00CD2E71" w:rsidP="00CD2E71">
            <w:pPr>
              <w:spacing w:after="300" w:line="240" w:lineRule="auto"/>
              <w:rPr>
                <w:rFonts w:ascii="Arial" w:hAnsi="Arial" w:cs="Arial"/>
                <w:color w:val="333333"/>
                <w:sz w:val="20"/>
                <w:szCs w:val="20"/>
                <w:shd w:val="clear" w:color="auto" w:fill="FFFFFF"/>
              </w:rPr>
            </w:pPr>
            <w:r>
              <w:rPr>
                <w:rFonts w:ascii="Source Sans Pro" w:hAnsi="Source Sans Pro"/>
                <w:color w:val="333333"/>
                <w:sz w:val="21"/>
                <w:szCs w:val="21"/>
                <w:shd w:val="clear" w:color="auto" w:fill="FFFFFF"/>
              </w:rPr>
              <w:t>NDVI values range from +1.0 to -1.0. Areas of barren rock, sand, or snow usually show very low NDVI values (for example, 0.1 or less). Sparse vegetation such as shrubs and grasslands or senescing crops may result in moderate NDVI values (approximately 0.2 to 0.5). High NDVI values (approximately 0.6 to 0.9) correspond to dense vegetation such as that found in temperate and tropical forests or crops at their peak growth stage. </w:t>
            </w:r>
          </w:p>
        </w:tc>
      </w:tr>
      <w:tr w:rsidR="00CD2E71" w:rsidRPr="00CD2E71" w14:paraId="378D4166" w14:textId="77777777" w:rsidTr="00BA558E">
        <w:trPr>
          <w:trHeight w:val="2187"/>
        </w:trPr>
        <w:tc>
          <w:tcPr>
            <w:tcW w:w="1701" w:type="dxa"/>
            <w:tcBorders>
              <w:top w:val="single" w:sz="6" w:space="0" w:color="DDDDDD"/>
              <w:bottom w:val="single" w:sz="6" w:space="0" w:color="DDDDDD"/>
            </w:tcBorders>
            <w:shd w:val="clear" w:color="auto" w:fill="F9F9F9"/>
            <w:tcMar>
              <w:top w:w="120" w:type="dxa"/>
              <w:left w:w="120" w:type="dxa"/>
              <w:bottom w:w="120" w:type="dxa"/>
              <w:right w:w="120" w:type="dxa"/>
            </w:tcMar>
          </w:tcPr>
          <w:p w14:paraId="3CE6578A" w14:textId="1DDAF099" w:rsidR="00CD2E71" w:rsidRDefault="00CD2E71" w:rsidP="00CD2E71">
            <w:pPr>
              <w:spacing w:after="300" w:line="240" w:lineRule="auto"/>
            </w:pPr>
            <w:r>
              <w:t>ND</w:t>
            </w:r>
            <w:r>
              <w:t>W</w:t>
            </w:r>
            <w:r>
              <w:t xml:space="preserve">I – Normalized Difference </w:t>
            </w:r>
            <w:r>
              <w:t>Water</w:t>
            </w:r>
            <w:r>
              <w:t xml:space="preserve"> Index</w:t>
            </w:r>
          </w:p>
        </w:tc>
        <w:tc>
          <w:tcPr>
            <w:tcW w:w="1418" w:type="dxa"/>
            <w:tcBorders>
              <w:top w:val="single" w:sz="6" w:space="0" w:color="DDDDDD"/>
              <w:bottom w:val="single" w:sz="6" w:space="0" w:color="DDDDDD"/>
            </w:tcBorders>
            <w:shd w:val="clear" w:color="auto" w:fill="F9F9F9"/>
            <w:tcMar>
              <w:top w:w="120" w:type="dxa"/>
              <w:left w:w="120" w:type="dxa"/>
              <w:bottom w:w="120" w:type="dxa"/>
              <w:right w:w="120" w:type="dxa"/>
            </w:tcMar>
          </w:tcPr>
          <w:p w14:paraId="6BB9128F" w14:textId="26DAB104" w:rsidR="00CD2E71" w:rsidRDefault="00CD2E71" w:rsidP="00CD2E71">
            <w:pPr>
              <w:spacing w:after="300" w:line="240" w:lineRule="auto"/>
              <w:rPr>
                <w:rFonts w:ascii="Source Sans Pro" w:eastAsia="Times New Roman" w:hAnsi="Source Sans Pro"/>
                <w:color w:val="333333"/>
                <w:sz w:val="21"/>
                <w:szCs w:val="21"/>
                <w:lang w:eastAsia="en-CA"/>
              </w:rPr>
            </w:pPr>
            <w:r>
              <w:rPr>
                <w:rFonts w:ascii="Source Sans Pro" w:eastAsia="Times New Roman" w:hAnsi="Source Sans Pro"/>
                <w:color w:val="333333"/>
                <w:sz w:val="21"/>
                <w:szCs w:val="21"/>
                <w:lang w:eastAsia="en-CA"/>
              </w:rPr>
              <w:t>(NIR-SWIR) /(NIR+SWIR)</w:t>
            </w:r>
          </w:p>
        </w:tc>
        <w:tc>
          <w:tcPr>
            <w:tcW w:w="5103" w:type="dxa"/>
            <w:tcBorders>
              <w:top w:val="single" w:sz="6" w:space="0" w:color="DDDDDD"/>
              <w:bottom w:val="single" w:sz="6" w:space="0" w:color="DDDDDD"/>
            </w:tcBorders>
            <w:shd w:val="clear" w:color="auto" w:fill="F9F9F9"/>
            <w:tcMar>
              <w:top w:w="120" w:type="dxa"/>
              <w:left w:w="120" w:type="dxa"/>
              <w:bottom w:w="120" w:type="dxa"/>
              <w:right w:w="120" w:type="dxa"/>
            </w:tcMar>
          </w:tcPr>
          <w:p w14:paraId="3609F874" w14:textId="2BDDC439" w:rsidR="00CD2E71" w:rsidRDefault="00CD2E71" w:rsidP="00CD2E71">
            <w:pPr>
              <w:spacing w:after="300" w:line="240" w:lineRule="auto"/>
              <w:rPr>
                <w:rFonts w:ascii="Source Sans Pro" w:hAnsi="Source Sans Pro"/>
                <w:color w:val="333333"/>
                <w:sz w:val="21"/>
                <w:szCs w:val="21"/>
                <w:shd w:val="clear" w:color="auto" w:fill="FFFFFF"/>
              </w:rPr>
            </w:pPr>
            <w:r>
              <w:rPr>
                <w:rFonts w:ascii="Arial" w:hAnsi="Arial" w:cs="Arial"/>
                <w:color w:val="202124"/>
                <w:sz w:val="21"/>
                <w:szCs w:val="21"/>
                <w:shd w:val="clear" w:color="auto" w:fill="FFFFFF"/>
              </w:rPr>
              <w:t>The Normalized Difference Water Index (NDWI) is sensitive to changes in liquid water content of vegetation canopies. It is derived from the Near-IR band and a second IR band, ≈1.24μm when available and the nearest available IR band otherwise. It ranges in value from -1.0 to 1.0. See </w:t>
            </w:r>
            <w:hyperlink r:id="rId5" w:history="1">
              <w:r>
                <w:rPr>
                  <w:rStyle w:val="Hyperlink"/>
                  <w:rFonts w:ascii="Arial" w:hAnsi="Arial" w:cs="Arial"/>
                  <w:sz w:val="21"/>
                  <w:szCs w:val="21"/>
                  <w:shd w:val="clear" w:color="auto" w:fill="FFFFFF"/>
                </w:rPr>
                <w:t>Gao (1996)</w:t>
              </w:r>
            </w:hyperlink>
            <w:r>
              <w:rPr>
                <w:rFonts w:ascii="Arial" w:hAnsi="Arial" w:cs="Arial"/>
                <w:color w:val="202124"/>
                <w:sz w:val="21"/>
                <w:szCs w:val="21"/>
                <w:shd w:val="clear" w:color="auto" w:fill="FFFFFF"/>
              </w:rPr>
              <w:t> for details.</w:t>
            </w:r>
          </w:p>
        </w:tc>
      </w:tr>
      <w:tr w:rsidR="00BA558E" w:rsidRPr="00CD2E71" w14:paraId="2FE1908D" w14:textId="77777777" w:rsidTr="00BA558E">
        <w:trPr>
          <w:trHeight w:val="2187"/>
        </w:trPr>
        <w:tc>
          <w:tcPr>
            <w:tcW w:w="1701" w:type="dxa"/>
            <w:tcBorders>
              <w:top w:val="single" w:sz="6" w:space="0" w:color="DDDDDD"/>
              <w:bottom w:val="single" w:sz="6" w:space="0" w:color="DDDDDD"/>
            </w:tcBorders>
            <w:shd w:val="clear" w:color="auto" w:fill="F9F9F9"/>
            <w:tcMar>
              <w:top w:w="120" w:type="dxa"/>
              <w:left w:w="120" w:type="dxa"/>
              <w:bottom w:w="120" w:type="dxa"/>
              <w:right w:w="120" w:type="dxa"/>
            </w:tcMar>
          </w:tcPr>
          <w:p w14:paraId="077AF773" w14:textId="77777777" w:rsidR="00BA558E" w:rsidRDefault="00BA558E" w:rsidP="00CD2E71">
            <w:pPr>
              <w:spacing w:after="300" w:line="240" w:lineRule="auto"/>
            </w:pPr>
            <w:r>
              <w:t>TCB – Tasseled cap brightness</w:t>
            </w:r>
          </w:p>
          <w:p w14:paraId="1592AF25" w14:textId="467812ED" w:rsidR="00BA558E" w:rsidRDefault="00BA558E" w:rsidP="00CD2E71">
            <w:pPr>
              <w:spacing w:after="300" w:line="240" w:lineRule="auto"/>
            </w:pPr>
          </w:p>
        </w:tc>
        <w:tc>
          <w:tcPr>
            <w:tcW w:w="1418" w:type="dxa"/>
            <w:tcBorders>
              <w:top w:val="single" w:sz="6" w:space="0" w:color="DDDDDD"/>
              <w:bottom w:val="single" w:sz="6" w:space="0" w:color="DDDDDD"/>
            </w:tcBorders>
            <w:shd w:val="clear" w:color="auto" w:fill="F9F9F9"/>
            <w:tcMar>
              <w:top w:w="120" w:type="dxa"/>
              <w:left w:w="120" w:type="dxa"/>
              <w:bottom w:w="120" w:type="dxa"/>
              <w:right w:w="120" w:type="dxa"/>
            </w:tcMar>
          </w:tcPr>
          <w:p w14:paraId="3755DD75" w14:textId="77777777" w:rsidR="00BA558E" w:rsidRDefault="00BA558E" w:rsidP="00CD2E71">
            <w:pPr>
              <w:spacing w:after="300" w:line="240" w:lineRule="auto"/>
              <w:rPr>
                <w:rFonts w:ascii="Source Sans Pro" w:eastAsia="Times New Roman" w:hAnsi="Source Sans Pro"/>
                <w:color w:val="333333"/>
                <w:sz w:val="21"/>
                <w:szCs w:val="21"/>
                <w:lang w:eastAsia="en-CA"/>
              </w:rPr>
            </w:pPr>
          </w:p>
        </w:tc>
        <w:tc>
          <w:tcPr>
            <w:tcW w:w="5103" w:type="dxa"/>
            <w:tcBorders>
              <w:top w:val="single" w:sz="6" w:space="0" w:color="DDDDDD"/>
              <w:bottom w:val="single" w:sz="6" w:space="0" w:color="DDDDDD"/>
            </w:tcBorders>
            <w:shd w:val="clear" w:color="auto" w:fill="F9F9F9"/>
            <w:tcMar>
              <w:top w:w="120" w:type="dxa"/>
              <w:left w:w="120" w:type="dxa"/>
              <w:bottom w:w="120" w:type="dxa"/>
              <w:right w:w="120" w:type="dxa"/>
            </w:tcMar>
          </w:tcPr>
          <w:p w14:paraId="741DA220" w14:textId="5830BDA5" w:rsidR="00BA558E" w:rsidRDefault="00BA558E" w:rsidP="00CD2E71">
            <w:pPr>
              <w:spacing w:after="300" w:line="240" w:lineRule="auto"/>
              <w:rPr>
                <w:rFonts w:ascii="Arial" w:hAnsi="Arial" w:cs="Arial"/>
                <w:color w:val="202124"/>
                <w:sz w:val="21"/>
                <w:szCs w:val="21"/>
                <w:shd w:val="clear" w:color="auto" w:fill="FFFFFF"/>
              </w:rPr>
            </w:pPr>
            <w:r>
              <w:rPr>
                <w:rFonts w:ascii="Arial" w:hAnsi="Arial" w:cs="Arial"/>
                <w:color w:val="202122"/>
                <w:sz w:val="21"/>
                <w:szCs w:val="21"/>
                <w:shd w:val="clear" w:color="auto" w:fill="FFFFFF"/>
              </w:rPr>
              <w:t>a measurement value for the ground</w:t>
            </w:r>
          </w:p>
        </w:tc>
      </w:tr>
      <w:tr w:rsidR="00BA558E" w:rsidRPr="00CD2E71" w14:paraId="7E4522AC" w14:textId="77777777" w:rsidTr="00CD2E71">
        <w:trPr>
          <w:trHeight w:val="2187"/>
        </w:trPr>
        <w:tc>
          <w:tcPr>
            <w:tcW w:w="1701" w:type="dxa"/>
            <w:tcBorders>
              <w:top w:val="single" w:sz="6" w:space="0" w:color="DDDDDD"/>
            </w:tcBorders>
            <w:shd w:val="clear" w:color="auto" w:fill="F9F9F9"/>
            <w:tcMar>
              <w:top w:w="120" w:type="dxa"/>
              <w:left w:w="120" w:type="dxa"/>
              <w:bottom w:w="120" w:type="dxa"/>
              <w:right w:w="120" w:type="dxa"/>
            </w:tcMar>
          </w:tcPr>
          <w:p w14:paraId="010B5F06" w14:textId="062898DA" w:rsidR="00BA558E" w:rsidRDefault="00BA558E" w:rsidP="00CD2E71">
            <w:pPr>
              <w:spacing w:after="300" w:line="240" w:lineRule="auto"/>
            </w:pPr>
            <w:r>
              <w:t>TCW – Tasseled cap wetness</w:t>
            </w:r>
          </w:p>
        </w:tc>
        <w:tc>
          <w:tcPr>
            <w:tcW w:w="1418" w:type="dxa"/>
            <w:tcBorders>
              <w:top w:val="single" w:sz="6" w:space="0" w:color="DDDDDD"/>
            </w:tcBorders>
            <w:shd w:val="clear" w:color="auto" w:fill="F9F9F9"/>
            <w:tcMar>
              <w:top w:w="120" w:type="dxa"/>
              <w:left w:w="120" w:type="dxa"/>
              <w:bottom w:w="120" w:type="dxa"/>
              <w:right w:w="120" w:type="dxa"/>
            </w:tcMar>
          </w:tcPr>
          <w:p w14:paraId="2C4907D4" w14:textId="77777777" w:rsidR="00BA558E" w:rsidRDefault="00BA558E" w:rsidP="00CD2E71">
            <w:pPr>
              <w:spacing w:after="300" w:line="240" w:lineRule="auto"/>
              <w:rPr>
                <w:rFonts w:ascii="Source Sans Pro" w:eastAsia="Times New Roman" w:hAnsi="Source Sans Pro"/>
                <w:color w:val="333333"/>
                <w:sz w:val="21"/>
                <w:szCs w:val="21"/>
                <w:lang w:eastAsia="en-CA"/>
              </w:rPr>
            </w:pPr>
          </w:p>
        </w:tc>
        <w:tc>
          <w:tcPr>
            <w:tcW w:w="5103" w:type="dxa"/>
            <w:tcBorders>
              <w:top w:val="single" w:sz="6" w:space="0" w:color="DDDDDD"/>
            </w:tcBorders>
            <w:shd w:val="clear" w:color="auto" w:fill="F9F9F9"/>
            <w:tcMar>
              <w:top w:w="120" w:type="dxa"/>
              <w:left w:w="120" w:type="dxa"/>
              <w:bottom w:w="120" w:type="dxa"/>
              <w:right w:w="120" w:type="dxa"/>
            </w:tcMar>
          </w:tcPr>
          <w:p w14:paraId="08BE0EA9" w14:textId="49C5CCC6" w:rsidR="00BA558E" w:rsidRDefault="00BA558E" w:rsidP="00CD2E71">
            <w:pPr>
              <w:spacing w:after="300" w:line="240" w:lineRule="auto"/>
              <w:rPr>
                <w:rFonts w:ascii="Arial" w:hAnsi="Arial" w:cs="Arial"/>
                <w:color w:val="202124"/>
                <w:sz w:val="21"/>
                <w:szCs w:val="21"/>
                <w:shd w:val="clear" w:color="auto" w:fill="FFFFFF"/>
              </w:rPr>
            </w:pPr>
            <w:r>
              <w:rPr>
                <w:rFonts w:ascii="Arial" w:hAnsi="Arial" w:cs="Arial"/>
                <w:color w:val="202122"/>
                <w:sz w:val="21"/>
                <w:szCs w:val="21"/>
                <w:shd w:val="clear" w:color="auto" w:fill="FFFFFF"/>
              </w:rPr>
              <w:t>a measured value for interactions of soil and canopy moisture</w:t>
            </w:r>
          </w:p>
        </w:tc>
      </w:tr>
    </w:tbl>
    <w:p w14:paraId="77F3FDA1" w14:textId="18AB5289" w:rsidR="00CD2E71" w:rsidRDefault="00CD2E71"/>
    <w:p w14:paraId="7F89FFEA" w14:textId="68ABA68C" w:rsidR="00CD2E71" w:rsidRDefault="00CD2E71">
      <w:r>
        <w:t xml:space="preserve">– Normalized burn ratio. </w:t>
      </w:r>
    </w:p>
    <w:sectPr w:rsidR="00CD2E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10"/>
    <w:rsid w:val="002A1DB2"/>
    <w:rsid w:val="0093200A"/>
    <w:rsid w:val="00BA558E"/>
    <w:rsid w:val="00CD2E71"/>
    <w:rsid w:val="00D83F37"/>
    <w:rsid w:val="00FC1A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FD08"/>
  <w15:chartTrackingRefBased/>
  <w15:docId w15:val="{0EF1A43B-575F-4C87-989B-0033DAB4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00A"/>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3200A"/>
    <w:pPr>
      <w:keepNext/>
      <w:keepLines/>
      <w:spacing w:before="40" w:after="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0A"/>
    <w:rPr>
      <w:rFonts w:eastAsiaTheme="majorEastAsia" w:cstheme="majorBidi"/>
      <w:b/>
      <w:szCs w:val="32"/>
    </w:rPr>
  </w:style>
  <w:style w:type="character" w:customStyle="1" w:styleId="Heading2Char">
    <w:name w:val="Heading 2 Char"/>
    <w:basedOn w:val="DefaultParagraphFont"/>
    <w:link w:val="Heading2"/>
    <w:uiPriority w:val="9"/>
    <w:rsid w:val="0093200A"/>
    <w:rPr>
      <w:rFonts w:eastAsiaTheme="majorEastAsia" w:cstheme="majorBidi"/>
      <w:i/>
      <w:szCs w:val="26"/>
    </w:rPr>
  </w:style>
  <w:style w:type="character" w:styleId="Hyperlink">
    <w:name w:val="Hyperlink"/>
    <w:basedOn w:val="DefaultParagraphFont"/>
    <w:uiPriority w:val="99"/>
    <w:unhideWhenUsed/>
    <w:rsid w:val="00CD2E71"/>
    <w:rPr>
      <w:color w:val="0563C1" w:themeColor="hyperlink"/>
      <w:u w:val="single"/>
    </w:rPr>
  </w:style>
  <w:style w:type="character" w:styleId="UnresolvedMention">
    <w:name w:val="Unresolved Mention"/>
    <w:basedOn w:val="DefaultParagraphFont"/>
    <w:uiPriority w:val="99"/>
    <w:semiHidden/>
    <w:unhideWhenUsed/>
    <w:rsid w:val="00CD2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862360">
      <w:bodyDiv w:val="1"/>
      <w:marLeft w:val="0"/>
      <w:marRight w:val="0"/>
      <w:marTop w:val="0"/>
      <w:marBottom w:val="0"/>
      <w:divBdr>
        <w:top w:val="none" w:sz="0" w:space="0" w:color="auto"/>
        <w:left w:val="none" w:sz="0" w:space="0" w:color="auto"/>
        <w:bottom w:val="none" w:sz="0" w:space="0" w:color="auto"/>
        <w:right w:val="none" w:sz="0" w:space="0" w:color="auto"/>
      </w:divBdr>
    </w:div>
    <w:div w:id="136579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ciencedirect.com/science/article/pii/S0034425796000673" TargetMode="External"/><Relationship Id="rId4" Type="http://schemas.openxmlformats.org/officeDocument/2006/relationships/hyperlink" Target="https://www.usgs.gov/faqs/what-are-best-landsat-spectral-bands-use-my-research?qt-news_science_products=0#qt-news_science_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Hedley</dc:creator>
  <cp:keywords/>
  <dc:description/>
  <cp:lastModifiedBy>Richard Hedley</cp:lastModifiedBy>
  <cp:revision>2</cp:revision>
  <dcterms:created xsi:type="dcterms:W3CDTF">2021-02-03T20:45:00Z</dcterms:created>
  <dcterms:modified xsi:type="dcterms:W3CDTF">2021-02-03T21:30:00Z</dcterms:modified>
</cp:coreProperties>
</file>