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sz w:val="44"/>
          <w:szCs w:val="44"/>
        </w:rPr>
        <w:t xml:space="preserve">BLUE HELM — ADDITIONS &amp; OPPORTUNITIES</w:t>
      </w:r>
    </w:p>
    <w:p>
      <w:pPr>
        <w:spacing w:after="60"/>
        <w:jc w:val="center"/>
      </w:pPr>
      <w:r>
        <w:rPr>
          <w:color w:val="555555"/>
          <w:sz w:val="24"/>
          <w:szCs w:val="24"/>
        </w:rPr>
        <w:t xml:space="preserve">Two-machine setup · feature backlog from the ecosystem · open-source path</w:t>
      </w:r>
    </w:p>
    <w:p>
      <w:pPr>
        <w:spacing w:after="280"/>
        <w:jc w:val="center"/>
      </w:pPr>
      <w:r>
        <w:rPr>
          <w:i/>
          <w:iCs/>
          <w:color w:val="888888"/>
          <w:sz w:val="20"/>
          <w:szCs w:val="20"/>
        </w:rPr>
        <w:t xml:space="preserve">July 2, 2026</w:t>
      </w:r>
    </w:p>
    <w:p>
      <w:pPr>
        <w:pStyle w:val="Heading1"/>
        <w:spacing w:after="160" w:before="320"/>
      </w:pPr>
      <w:r>
        <w:t xml:space="preserve">1. Two-Machine Setup — Laptop (5080) + Desktop (3060 Ti)</w:t>
      </w:r>
    </w:p>
    <w:p>
      <w:pPr>
        <w:spacing w:after="160" w:line="276"/>
      </w:pPr>
      <w:r>
        <w:t xml:space="preserve">The transfer is a clone, not a migration: the repo on GitHub is the single source of truth, and both machines become peers that pull and push the same code. Budget 30–60 minutes for the desktop, most of it downloads. The one true gotcha is the secret store: </w:t>
      </w:r>
      <w:r>
        <w:rPr>
          <w:b/>
          <w:bCs/>
        </w:rPr>
        <w:t xml:space="preserve">safeStorage/DPAPI encryption is bound to the machine and Windows user</w:t>
      </w:r>
      <w:r>
        <w:t xml:space="preserve">, so the encrypted secure.json cannot be copied over — you re-enter the Gemini key once in the setup banner on the desktop and it encrypts fresh there. That is a security feature working as designed, not an obstacle.</w:t>
      </w:r>
    </w:p>
    <w:p>
      <w:pPr>
        <w:pStyle w:val="Heading2"/>
        <w:spacing w:after="120" w:before="240"/>
      </w:pPr>
      <w:r>
        <w:t xml:space="preserve">Desktop bootstrap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3200"/>
      </w:tblGrid>
      <w:tr>
        <w:tc>
          <w:tcPr>
            <w:tcW w:type="dxa" w:w="700"/>
            <w:shd w:fill="1F3864" w:color="auto" w:val="clear"/>
            <w:tcMar>
              <w:top w:type="dxa" w:w="60"/>
              <w:left w:type="dxa" w:w="100"/>
              <w:bottom w:type="dxa" w:w="60"/>
              <w:right w:type="dxa" w:w="100"/>
            </w:tcMar>
          </w:tcPr>
          <w:p>
            <w:pPr>
              <w:spacing w:after="0"/>
            </w:pPr>
            <w:r>
              <w:rPr>
                <w:b/>
                <w:bCs/>
                <w:color w:val="FFFFFF"/>
                <w:sz w:val="20"/>
                <w:szCs w:val="20"/>
              </w:rPr>
              <w:t xml:space="preserve">#</w:t>
            </w:r>
          </w:p>
        </w:tc>
        <w:tc>
          <w:tcPr>
            <w:tcW w:type="dxa" w:w="5460"/>
            <w:shd w:fill="1F3864" w:color="auto" w:val="clear"/>
            <w:tcMar>
              <w:top w:type="dxa" w:w="60"/>
              <w:left w:type="dxa" w:w="100"/>
              <w:bottom w:type="dxa" w:w="60"/>
              <w:right w:type="dxa" w:w="100"/>
            </w:tcMar>
          </w:tcPr>
          <w:p>
            <w:pPr>
              <w:spacing w:after="0"/>
            </w:pPr>
            <w:r>
              <w:rPr>
                <w:b/>
                <w:bCs/>
                <w:color w:val="FFFFFF"/>
                <w:sz w:val="20"/>
                <w:szCs w:val="20"/>
              </w:rPr>
              <w:t xml:space="preserve">Step</w:t>
            </w:r>
          </w:p>
        </w:tc>
        <w:tc>
          <w:tcPr>
            <w:tcW w:type="dxa" w:w="3200"/>
            <w:shd w:fill="1F3864" w:color="auto" w:val="clear"/>
            <w:tcMar>
              <w:top w:type="dxa" w:w="60"/>
              <w:left w:type="dxa" w:w="100"/>
              <w:bottom w:type="dxa" w:w="60"/>
              <w:right w:type="dxa" w:w="100"/>
            </w:tcMar>
          </w:tcPr>
          <w:p>
            <w:pPr>
              <w:spacing w:after="0"/>
            </w:pPr>
            <w:r>
              <w:rPr>
                <w:b/>
                <w:bCs/>
                <w:color w:val="FFFFFF"/>
                <w:sz w:val="20"/>
                <w:szCs w:val="20"/>
              </w:rPr>
              <w:t xml:space="preserve">Notes</w:t>
            </w:r>
          </w:p>
        </w:tc>
      </w:tr>
      <w:tr>
        <w:tc>
          <w:tcPr>
            <w:tcW w:type="dxa" w:w="700"/>
            <w:tcMar>
              <w:top w:type="dxa" w:w="60"/>
              <w:left w:type="dxa" w:w="100"/>
              <w:bottom w:type="dxa" w:w="60"/>
              <w:right w:type="dxa" w:w="100"/>
            </w:tcMar>
          </w:tcPr>
          <w:p>
            <w:pPr>
              <w:spacing w:after="0"/>
            </w:pPr>
            <w:r>
              <w:rPr>
                <w:b w:val="false"/>
                <w:bCs w:val="false"/>
                <w:sz w:val="20"/>
                <w:szCs w:val="20"/>
              </w:rPr>
              <w:t xml:space="preserve">1</w:t>
            </w:r>
          </w:p>
        </w:tc>
        <w:tc>
          <w:tcPr>
            <w:tcW w:type="dxa" w:w="5460"/>
            <w:tcMar>
              <w:top w:type="dxa" w:w="60"/>
              <w:left w:type="dxa" w:w="100"/>
              <w:bottom w:type="dxa" w:w="60"/>
              <w:right w:type="dxa" w:w="100"/>
            </w:tcMar>
          </w:tcPr>
          <w:p>
            <w:pPr>
              <w:spacing w:after="0"/>
            </w:pPr>
            <w:r>
              <w:rPr>
                <w:b w:val="false"/>
                <w:bCs w:val="false"/>
                <w:sz w:val="20"/>
                <w:szCs w:val="20"/>
              </w:rPr>
              <w:t xml:space="preserve">Install Git, Node LTS, and the three CLIs (Claude Code, Codex, Gemini); sign each in</w:t>
            </w:r>
          </w:p>
        </w:tc>
        <w:tc>
          <w:tcPr>
            <w:tcW w:type="dxa" w:w="3200"/>
            <w:tcMar>
              <w:top w:type="dxa" w:w="60"/>
              <w:left w:type="dxa" w:w="100"/>
              <w:bottom w:type="dxa" w:w="60"/>
              <w:right w:type="dxa" w:w="100"/>
            </w:tcMar>
          </w:tcPr>
          <w:p>
            <w:pPr>
              <w:spacing w:after="0"/>
            </w:pPr>
            <w:r>
              <w:rPr>
                <w:b w:val="false"/>
                <w:bCs w:val="false"/>
                <w:sz w:val="20"/>
                <w:szCs w:val="20"/>
              </w:rPr>
              <w:t xml:space="preserve">One-time; Claude Code sign-in covers the Pro plan</w:t>
            </w:r>
          </w:p>
        </w:tc>
      </w:tr>
      <w:tr>
        <w:tc>
          <w:tcPr>
            <w:tcW w:type="dxa" w:w="700"/>
            <w:tcMar>
              <w:top w:type="dxa" w:w="60"/>
              <w:left w:type="dxa" w:w="100"/>
              <w:bottom w:type="dxa" w:w="60"/>
              <w:right w:type="dxa" w:w="100"/>
            </w:tcMar>
          </w:tcPr>
          <w:p>
            <w:pPr>
              <w:spacing w:after="0"/>
            </w:pPr>
            <w:r>
              <w:rPr>
                <w:b w:val="false"/>
                <w:bCs w:val="false"/>
                <w:sz w:val="20"/>
                <w:szCs w:val="20"/>
              </w:rPr>
              <w:t xml:space="preserve">2</w:t>
            </w:r>
          </w:p>
        </w:tc>
        <w:tc>
          <w:tcPr>
            <w:tcW w:type="dxa" w:w="5460"/>
            <w:tcMar>
              <w:top w:type="dxa" w:w="60"/>
              <w:left w:type="dxa" w:w="100"/>
              <w:bottom w:type="dxa" w:w="60"/>
              <w:right w:type="dxa" w:w="100"/>
            </w:tcMar>
          </w:tcPr>
          <w:p>
            <w:pPr>
              <w:spacing w:after="0"/>
            </w:pPr>
            <w:r>
              <w:rPr>
                <w:b w:val="false"/>
                <w:bCs w:val="false"/>
                <w:sz w:val="20"/>
                <w:szCs w:val="20"/>
              </w:rPr>
              <w:t xml:space="preserve">git clone the AgentCommandCenter repo to D:\Workspace</w:t>
            </w:r>
          </w:p>
        </w:tc>
        <w:tc>
          <w:tcPr>
            <w:tcW w:type="dxa" w:w="3200"/>
            <w:tcMar>
              <w:top w:type="dxa" w:w="60"/>
              <w:left w:type="dxa" w:w="100"/>
              <w:bottom w:type="dxa" w:w="60"/>
              <w:right w:type="dxa" w:w="100"/>
            </w:tcMar>
          </w:tcPr>
          <w:p>
            <w:pPr>
              <w:spacing w:after="0"/>
            </w:pPr>
            <w:r>
              <w:rPr>
                <w:b w:val="false"/>
                <w:bCs w:val="false"/>
                <w:sz w:val="20"/>
                <w:szCs w:val="20"/>
              </w:rPr>
              <w:t xml:space="preserve">Match the drive/path layout, or make projects-root configurable first (recommended)</w:t>
            </w:r>
          </w:p>
        </w:tc>
      </w:tr>
      <w:tr>
        <w:tc>
          <w:tcPr>
            <w:tcW w:type="dxa" w:w="700"/>
            <w:tcMar>
              <w:top w:type="dxa" w:w="60"/>
              <w:left w:type="dxa" w:w="100"/>
              <w:bottom w:type="dxa" w:w="60"/>
              <w:right w:type="dxa" w:w="100"/>
            </w:tcMar>
          </w:tcPr>
          <w:p>
            <w:pPr>
              <w:spacing w:after="0"/>
            </w:pPr>
            <w:r>
              <w:rPr>
                <w:b w:val="false"/>
                <w:bCs w:val="false"/>
                <w:sz w:val="20"/>
                <w:szCs w:val="20"/>
              </w:rPr>
              <w:t xml:space="preserve">3</w:t>
            </w:r>
          </w:p>
        </w:tc>
        <w:tc>
          <w:tcPr>
            <w:tcW w:type="dxa" w:w="5460"/>
            <w:tcMar>
              <w:top w:type="dxa" w:w="60"/>
              <w:left w:type="dxa" w:w="100"/>
              <w:bottom w:type="dxa" w:w="60"/>
              <w:right w:type="dxa" w:w="100"/>
            </w:tcMar>
          </w:tcPr>
          <w:p>
            <w:pPr>
              <w:spacing w:after="0"/>
            </w:pPr>
            <w:r>
              <w:rPr>
                <w:b w:val="false"/>
                <w:bCs w:val="false"/>
                <w:sz w:val="20"/>
                <w:szCs w:val="20"/>
              </w:rPr>
              <w:t xml:space="preserve">npm install in the app directory</w:t>
            </w:r>
          </w:p>
        </w:tc>
        <w:tc>
          <w:tcPr>
            <w:tcW w:type="dxa" w:w="3200"/>
            <w:tcMar>
              <w:top w:type="dxa" w:w="60"/>
              <w:left w:type="dxa" w:w="100"/>
              <w:bottom w:type="dxa" w:w="60"/>
              <w:right w:type="dxa" w:w="100"/>
            </w:tcMar>
          </w:tcPr>
          <w:p>
            <w:pPr>
              <w:spacing w:after="0"/>
            </w:pPr>
            <w:r>
              <w:rPr>
                <w:b w:val="false"/>
                <w:bCs w:val="false"/>
                <w:sz w:val="20"/>
                <w:szCs w:val="20"/>
              </w:rPr>
              <w:t xml:space="preserve">node-pty ships prebuilt — no compiler needed</w:t>
            </w:r>
          </w:p>
        </w:tc>
      </w:tr>
      <w:tr>
        <w:tc>
          <w:tcPr>
            <w:tcW w:type="dxa" w:w="700"/>
            <w:tcMar>
              <w:top w:type="dxa" w:w="60"/>
              <w:left w:type="dxa" w:w="100"/>
              <w:bottom w:type="dxa" w:w="60"/>
              <w:right w:type="dxa" w:w="100"/>
            </w:tcMar>
          </w:tcPr>
          <w:p>
            <w:pPr>
              <w:spacing w:after="0"/>
            </w:pPr>
            <w:r>
              <w:rPr>
                <w:b w:val="false"/>
                <w:bCs w:val="false"/>
                <w:sz w:val="20"/>
                <w:szCs w:val="20"/>
              </w:rPr>
              <w:t xml:space="preserve">4</w:t>
            </w:r>
          </w:p>
        </w:tc>
        <w:tc>
          <w:tcPr>
            <w:tcW w:type="dxa" w:w="5460"/>
            <w:tcMar>
              <w:top w:type="dxa" w:w="60"/>
              <w:left w:type="dxa" w:w="100"/>
              <w:bottom w:type="dxa" w:w="60"/>
              <w:right w:type="dxa" w:w="100"/>
            </w:tcMar>
          </w:tcPr>
          <w:p>
            <w:pPr>
              <w:spacing w:after="0"/>
            </w:pPr>
            <w:r>
              <w:rPr>
                <w:b w:val="false"/>
                <w:bCs w:val="false"/>
                <w:sz w:val="20"/>
                <w:szCs w:val="20"/>
              </w:rPr>
              <w:t xml:space="preserve">Run scripts\sync-roles.ps1</w:t>
            </w:r>
          </w:p>
        </w:tc>
        <w:tc>
          <w:tcPr>
            <w:tcW w:type="dxa" w:w="3200"/>
            <w:tcMar>
              <w:top w:type="dxa" w:w="60"/>
              <w:left w:type="dxa" w:w="100"/>
              <w:bottom w:type="dxa" w:w="60"/>
              <w:right w:type="dxa" w:w="100"/>
            </w:tcMar>
          </w:tcPr>
          <w:p>
            <w:pPr>
              <w:spacing w:after="0"/>
            </w:pPr>
            <w:r>
              <w:rPr>
                <w:b w:val="false"/>
                <w:bCs w:val="false"/>
                <w:sz w:val="20"/>
                <w:szCs w:val="20"/>
              </w:rPr>
              <w:t xml:space="preserve">Deploys the five roles to ~/.claude/agents/ on this machine</w:t>
            </w:r>
          </w:p>
        </w:tc>
      </w:tr>
      <w:tr>
        <w:tc>
          <w:tcPr>
            <w:tcW w:type="dxa" w:w="700"/>
            <w:tcMar>
              <w:top w:type="dxa" w:w="60"/>
              <w:left w:type="dxa" w:w="100"/>
              <w:bottom w:type="dxa" w:w="60"/>
              <w:right w:type="dxa" w:w="100"/>
            </w:tcMar>
          </w:tcPr>
          <w:p>
            <w:pPr>
              <w:spacing w:after="0"/>
            </w:pPr>
            <w:r>
              <w:rPr>
                <w:b w:val="false"/>
                <w:bCs w:val="false"/>
                <w:sz w:val="20"/>
                <w:szCs w:val="20"/>
              </w:rPr>
              <w:t xml:space="preserve">5</w:t>
            </w:r>
          </w:p>
        </w:tc>
        <w:tc>
          <w:tcPr>
            <w:tcW w:type="dxa" w:w="5460"/>
            <w:tcMar>
              <w:top w:type="dxa" w:w="60"/>
              <w:left w:type="dxa" w:w="100"/>
              <w:bottom w:type="dxa" w:w="60"/>
              <w:right w:type="dxa" w:w="100"/>
            </w:tcMar>
          </w:tcPr>
          <w:p>
            <w:pPr>
              <w:spacing w:after="0"/>
            </w:pPr>
            <w:r>
              <w:rPr>
                <w:b w:val="false"/>
                <w:bCs w:val="false"/>
                <w:sz w:val="20"/>
                <w:szCs w:val="20"/>
              </w:rPr>
              <w:t xml:space="preserve">Launch app, paste Gemini key into the setup banner</w:t>
            </w:r>
          </w:p>
        </w:tc>
        <w:tc>
          <w:tcPr>
            <w:tcW w:type="dxa" w:w="3200"/>
            <w:tcMar>
              <w:top w:type="dxa" w:w="60"/>
              <w:left w:type="dxa" w:w="100"/>
              <w:bottom w:type="dxa" w:w="60"/>
              <w:right w:type="dxa" w:w="100"/>
            </w:tcMar>
          </w:tcPr>
          <w:p>
            <w:pPr>
              <w:spacing w:after="0"/>
            </w:pPr>
            <w:r>
              <w:rPr>
                <w:b w:val="false"/>
                <w:bCs w:val="false"/>
                <w:sz w:val="20"/>
                <w:szCs w:val="20"/>
              </w:rPr>
              <w:t xml:space="preserve">Encrypts fresh via this machine's DPAPI</w:t>
            </w:r>
          </w:p>
        </w:tc>
      </w:tr>
      <w:tr>
        <w:tc>
          <w:tcPr>
            <w:tcW w:type="dxa" w:w="700"/>
            <w:tcMar>
              <w:top w:type="dxa" w:w="60"/>
              <w:left w:type="dxa" w:w="100"/>
              <w:bottom w:type="dxa" w:w="60"/>
              <w:right w:type="dxa" w:w="100"/>
            </w:tcMar>
          </w:tcPr>
          <w:p>
            <w:pPr>
              <w:spacing w:after="0"/>
            </w:pPr>
            <w:r>
              <w:rPr>
                <w:b w:val="false"/>
                <w:bCs w:val="false"/>
                <w:sz w:val="20"/>
                <w:szCs w:val="20"/>
              </w:rPr>
              <w:t xml:space="preserve">6</w:t>
            </w:r>
          </w:p>
        </w:tc>
        <w:tc>
          <w:tcPr>
            <w:tcW w:type="dxa" w:w="5460"/>
            <w:tcMar>
              <w:top w:type="dxa" w:w="60"/>
              <w:left w:type="dxa" w:w="100"/>
              <w:bottom w:type="dxa" w:w="60"/>
              <w:right w:type="dxa" w:w="100"/>
            </w:tcMar>
          </w:tcPr>
          <w:p>
            <w:pPr>
              <w:spacing w:after="0"/>
            </w:pPr>
            <w:r>
              <w:rPr>
                <w:b w:val="false"/>
                <w:bCs w:val="false"/>
                <w:sz w:val="20"/>
                <w:szCs w:val="20"/>
              </w:rPr>
              <w:t xml:space="preserve">First TTS/STT use downloads Kokoro (~80MB) + Whisper (~150MB)</w:t>
            </w:r>
          </w:p>
        </w:tc>
        <w:tc>
          <w:tcPr>
            <w:tcW w:type="dxa" w:w="3200"/>
            <w:tcMar>
              <w:top w:type="dxa" w:w="60"/>
              <w:left w:type="dxa" w:w="100"/>
              <w:bottom w:type="dxa" w:w="60"/>
              <w:right w:type="dxa" w:w="100"/>
            </w:tcMar>
          </w:tcPr>
          <w:p>
            <w:pPr>
              <w:spacing w:after="0"/>
            </w:pPr>
            <w:r>
              <w:rPr>
                <w:b w:val="false"/>
                <w:bCs w:val="false"/>
                <w:sz w:val="20"/>
                <w:szCs w:val="20"/>
              </w:rPr>
              <w:t xml:space="preserve">Cached after first run</w:t>
            </w:r>
          </w:p>
        </w:tc>
      </w:tr>
      <w:tr>
        <w:tc>
          <w:tcPr>
            <w:tcW w:type="dxa" w:w="700"/>
            <w:tcMar>
              <w:top w:type="dxa" w:w="60"/>
              <w:left w:type="dxa" w:w="100"/>
              <w:bottom w:type="dxa" w:w="60"/>
              <w:right w:type="dxa" w:w="100"/>
            </w:tcMar>
          </w:tcPr>
          <w:p>
            <w:pPr>
              <w:spacing w:after="0"/>
            </w:pPr>
            <w:r>
              <w:rPr>
                <w:b w:val="false"/>
                <w:bCs w:val="false"/>
                <w:sz w:val="20"/>
                <w:szCs w:val="20"/>
              </w:rPr>
              <w:t xml:space="preserve">7</w:t>
            </w:r>
          </w:p>
        </w:tc>
        <w:tc>
          <w:tcPr>
            <w:tcW w:type="dxa" w:w="5460"/>
            <w:tcMar>
              <w:top w:type="dxa" w:w="60"/>
              <w:left w:type="dxa" w:w="100"/>
              <w:bottom w:type="dxa" w:w="60"/>
              <w:right w:type="dxa" w:w="100"/>
            </w:tcMar>
          </w:tcPr>
          <w:p>
            <w:pPr>
              <w:spacing w:after="0"/>
            </w:pPr>
            <w:r>
              <w:rPr>
                <w:b w:val="false"/>
                <w:bCs w:val="false"/>
                <w:sz w:val="20"/>
                <w:szCs w:val="20"/>
              </w:rPr>
              <w:t xml:space="preserve">Launch one agent of each kind as a smoke test</w:t>
            </w:r>
          </w:p>
        </w:tc>
        <w:tc>
          <w:tcPr>
            <w:tcW w:type="dxa" w:w="3200"/>
            <w:tcMar>
              <w:top w:type="dxa" w:w="60"/>
              <w:left w:type="dxa" w:w="100"/>
              <w:bottom w:type="dxa" w:w="60"/>
              <w:right w:type="dxa" w:w="100"/>
            </w:tcMar>
          </w:tcPr>
          <w:p>
            <w:pPr>
              <w:spacing w:after="0"/>
            </w:pPr>
            <w:r>
              <w:rPr>
                <w:b w:val="false"/>
                <w:bCs w:val="false"/>
                <w:sz w:val="20"/>
                <w:szCs w:val="20"/>
              </w:rPr>
              <w:t xml:space="preserve">Trust pre-write, fences, and audio all exercised</w:t>
            </w:r>
          </w:p>
        </w:tc>
      </w:tr>
    </w:tbl>
    <w:p>
      <w:pPr>
        <w:spacing w:after="160" w:line="276"/>
      </w:pPr>
      <w:r>
        <w:rPr>
          <w:b/>
          <w:bCs/>
        </w:rPr>
        <w:t xml:space="preserve">Worth building: a setup.ps1 that automates steps 3–6</w:t>
      </w:r>
      <w:r>
        <w:t xml:space="preserve"> — a one-session task for Claude Code, and it doubles as the install script for the office move and for anyone who ever clones the repo. Day-to-day sync afterward is just git: commit on one machine, pull on the other. Machine-specific state (secrets, model caches, trust entries in ~/.claude.json) intentionally stays local to each box.</w:t>
      </w:r>
    </w:p>
    <w:p>
      <w:pPr>
        <w:spacing w:after="160" w:line="276"/>
      </w:pPr>
      <w:r>
        <w:rPr>
          <w:b/>
          <w:bCs/>
        </w:rPr>
        <w:t xml:space="preserve">Audio runs on both machines.</w:t>
      </w:r>
      <w:r>
        <w:t xml:space="preserve"> Kokoro (82M params) and whisper-base are light enough that the 5080 runs them alongside agents without contention, and the 3060 Ti desktop runs them fine too. The earlier '3060 Ti as audio home' note referred only to a possible future shared inference server (Kokoro-FastAPI + faster-whisper) that both machines would call over the network — an optional centralization for later, not a constraint on today's in-app audio.</w:t>
      </w:r>
    </w:p>
    <w:p>
      <w:pPr>
        <w:pStyle w:val="Heading1"/>
        <w:spacing w:after="160" w:before="320"/>
      </w:pPr>
      <w:r>
        <w:t xml:space="preserve">2. Additions Backlog — Ideas Worth Stealing From the Ecosystem</w:t>
      </w:r>
    </w:p>
    <w:p>
      <w:pPr>
        <w:spacing w:after="160" w:line="276"/>
      </w:pPr>
      <w:r>
        <w:t xml:space="preserve">Sourced from BridgeSpace V3's changelog, the popular open-source Claude Code GUIs (opcode ~20k stars, Nimbalyst, CloudCLI), and community practice for running many parallel agents. Ranked by value-for-effort for a solo daily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160"/>
        <w:gridCol w:w="1300"/>
        <w:gridCol w:w="1200"/>
      </w:tblGrid>
      <w:tr>
        <w:tc>
          <w:tcPr>
            <w:tcW w:type="dxa" w:w="2700"/>
            <w:shd w:fill="1F3864" w:color="auto" w:val="clear"/>
            <w:tcMar>
              <w:top w:type="dxa" w:w="60"/>
              <w:left w:type="dxa" w:w="100"/>
              <w:bottom w:type="dxa" w:w="60"/>
              <w:right w:type="dxa" w:w="100"/>
            </w:tcMar>
          </w:tcPr>
          <w:p>
            <w:pPr>
              <w:spacing w:after="0"/>
            </w:pPr>
            <w:r>
              <w:rPr>
                <w:b/>
                <w:bCs/>
                <w:color w:val="FFFFFF"/>
                <w:sz w:val="20"/>
                <w:szCs w:val="20"/>
              </w:rPr>
              <w:t xml:space="preserve">Addition</w:t>
            </w:r>
          </w:p>
        </w:tc>
        <w:tc>
          <w:tcPr>
            <w:tcW w:type="dxa" w:w="4160"/>
            <w:shd w:fill="1F3864" w:color="auto" w:val="clear"/>
            <w:tcMar>
              <w:top w:type="dxa" w:w="60"/>
              <w:left w:type="dxa" w:w="100"/>
              <w:bottom w:type="dxa" w:w="60"/>
              <w:right w:type="dxa" w:w="100"/>
            </w:tcMar>
          </w:tcPr>
          <w:p>
            <w:pPr>
              <w:spacing w:after="0"/>
            </w:pPr>
            <w:r>
              <w:rPr>
                <w:b/>
                <w:bCs/>
                <w:color w:val="FFFFFF"/>
                <w:sz w:val="20"/>
                <w:szCs w:val="20"/>
              </w:rPr>
              <w:t xml:space="preserve">What it does / where the idea comes from</w:t>
            </w:r>
          </w:p>
        </w:tc>
        <w:tc>
          <w:tcPr>
            <w:tcW w:type="dxa" w:w="1300"/>
            <w:shd w:fill="1F3864" w:color="auto" w:val="clear"/>
            <w:tcMar>
              <w:top w:type="dxa" w:w="60"/>
              <w:left w:type="dxa" w:w="100"/>
              <w:bottom w:type="dxa" w:w="60"/>
              <w:right w:type="dxa" w:w="100"/>
            </w:tcMar>
          </w:tcPr>
          <w:p>
            <w:pPr>
              <w:spacing w:after="0"/>
            </w:pPr>
            <w:r>
              <w:rPr>
                <w:b/>
                <w:bCs/>
                <w:color w:val="FFFFFF"/>
                <w:sz w:val="20"/>
                <w:szCs w:val="20"/>
              </w:rPr>
              <w:t xml:space="preserve">Effort</w:t>
            </w:r>
          </w:p>
        </w:tc>
        <w:tc>
          <w:tcPr>
            <w:tcW w:type="dxa" w:w="1200"/>
            <w:shd w:fill="1F3864" w:color="auto" w:val="clear"/>
            <w:tcMar>
              <w:top w:type="dxa" w:w="60"/>
              <w:left w:type="dxa" w:w="100"/>
              <w:bottom w:type="dxa" w:w="60"/>
              <w:right w:type="dxa" w:w="100"/>
            </w:tcMar>
          </w:tcPr>
          <w:p>
            <w:pPr>
              <w:spacing w:after="0"/>
            </w:pPr>
            <w:r>
              <w:rPr>
                <w:b/>
                <w:bCs/>
                <w:color w:val="FFFFFF"/>
                <w:sz w:val="20"/>
                <w:szCs w:val="20"/>
              </w:rPr>
              <w:t xml:space="preserve">Priority</w:t>
            </w:r>
          </w:p>
        </w:tc>
      </w:tr>
      <w:tr>
        <w:tc>
          <w:tcPr>
            <w:tcW w:type="dxa" w:w="2700"/>
            <w:tcMar>
              <w:top w:type="dxa" w:w="60"/>
              <w:left w:type="dxa" w:w="100"/>
              <w:bottom w:type="dxa" w:w="60"/>
              <w:right w:type="dxa" w:w="100"/>
            </w:tcMar>
          </w:tcPr>
          <w:p>
            <w:pPr>
              <w:spacing w:after="0"/>
            </w:pPr>
            <w:r>
              <w:rPr>
                <w:b w:val="false"/>
                <w:bCs w:val="false"/>
                <w:sz w:val="20"/>
                <w:szCs w:val="20"/>
              </w:rPr>
              <w:t xml:space="preserve">Needs-input alerts</w:t>
            </w:r>
          </w:p>
        </w:tc>
        <w:tc>
          <w:tcPr>
            <w:tcW w:type="dxa" w:w="4160"/>
            <w:tcMar>
              <w:top w:type="dxa" w:w="60"/>
              <w:left w:type="dxa" w:w="100"/>
              <w:bottom w:type="dxa" w:w="60"/>
              <w:right w:type="dxa" w:w="100"/>
            </w:tcMar>
          </w:tcPr>
          <w:p>
            <w:pPr>
              <w:spacing w:after="0"/>
            </w:pPr>
            <w:r>
              <w:rPr>
                <w:b w:val="false"/>
                <w:bCs w:val="false"/>
                <w:sz w:val="20"/>
                <w:szCs w:val="20"/>
              </w:rPr>
              <w:t xml:space="preserve">Chime or TTS line when any agent is waiting on you (Claude Code hooks can trigger on input-needed). Community's #1 parallel-agent technique — stops pane-babysitting</w:t>
            </w:r>
          </w:p>
        </w:tc>
        <w:tc>
          <w:tcPr>
            <w:tcW w:type="dxa" w:w="1300"/>
            <w:tcMar>
              <w:top w:type="dxa" w:w="60"/>
              <w:left w:type="dxa" w:w="100"/>
              <w:bottom w:type="dxa" w:w="60"/>
              <w:right w:type="dxa" w:w="100"/>
            </w:tcMar>
          </w:tcPr>
          <w:p>
            <w:pPr>
              <w:spacing w:after="0"/>
            </w:pPr>
            <w:r>
              <w:rPr>
                <w:b w:val="false"/>
                <w:bCs w:val="false"/>
                <w:sz w:val="20"/>
                <w:szCs w:val="20"/>
              </w:rPr>
              <w:t xml:space="preserve">Low</w:t>
            </w:r>
          </w:p>
        </w:tc>
        <w:tc>
          <w:tcPr>
            <w:tcW w:type="dxa" w:w="1200"/>
            <w:tcMar>
              <w:top w:type="dxa" w:w="60"/>
              <w:left w:type="dxa" w:w="100"/>
              <w:bottom w:type="dxa" w:w="60"/>
              <w:right w:type="dxa" w:w="100"/>
            </w:tcMar>
          </w:tcPr>
          <w:p>
            <w:pPr>
              <w:spacing w:after="0"/>
            </w:pPr>
            <w:r>
              <w:rPr>
                <w:b w:val="false"/>
                <w:bCs w:val="false"/>
                <w:sz w:val="20"/>
                <w:szCs w:val="20"/>
              </w:rPr>
              <w:t xml:space="preserve">High</w:t>
            </w:r>
          </w:p>
        </w:tc>
      </w:tr>
      <w:tr>
        <w:tc>
          <w:tcPr>
            <w:tcW w:type="dxa" w:w="2700"/>
            <w:tcMar>
              <w:top w:type="dxa" w:w="60"/>
              <w:left w:type="dxa" w:w="100"/>
              <w:bottom w:type="dxa" w:w="60"/>
              <w:right w:type="dxa" w:w="100"/>
            </w:tcMar>
          </w:tcPr>
          <w:p>
            <w:pPr>
              <w:spacing w:after="0"/>
            </w:pPr>
            <w:r>
              <w:rPr>
                <w:b w:val="false"/>
                <w:bCs w:val="false"/>
                <w:sz w:val="20"/>
                <w:szCs w:val="20"/>
              </w:rPr>
              <w:t xml:space="preserve">Agent status strip</w:t>
            </w:r>
          </w:p>
        </w:tc>
        <w:tc>
          <w:tcPr>
            <w:tcW w:type="dxa" w:w="4160"/>
            <w:tcMar>
              <w:top w:type="dxa" w:w="60"/>
              <w:left w:type="dxa" w:w="100"/>
              <w:bottom w:type="dxa" w:w="60"/>
              <w:right w:type="dxa" w:w="100"/>
            </w:tcMar>
          </w:tcPr>
          <w:p>
            <w:pPr>
              <w:spacing w:after="0"/>
            </w:pPr>
            <w:r>
              <w:rPr>
                <w:b w:val="false"/>
                <w:bCs w:val="false"/>
                <w:sz w:val="20"/>
                <w:szCs w:val="20"/>
              </w:rPr>
              <w:t xml:space="preserve">One line per agent: role, task, running/waiting/done. The 'agent view' pattern — overview without full-screening panes</w:t>
            </w:r>
          </w:p>
        </w:tc>
        <w:tc>
          <w:tcPr>
            <w:tcW w:type="dxa" w:w="1300"/>
            <w:tcMar>
              <w:top w:type="dxa" w:w="60"/>
              <w:left w:type="dxa" w:w="100"/>
              <w:bottom w:type="dxa" w:w="60"/>
              <w:right w:type="dxa" w:w="100"/>
            </w:tcMar>
          </w:tcPr>
          <w:p>
            <w:pPr>
              <w:spacing w:after="0"/>
            </w:pPr>
            <w:r>
              <w:rPr>
                <w:b w:val="false"/>
                <w:bCs w:val="false"/>
                <w:sz w:val="20"/>
                <w:szCs w:val="20"/>
              </w:rPr>
              <w:t xml:space="preserve">Low-Med</w:t>
            </w:r>
          </w:p>
        </w:tc>
        <w:tc>
          <w:tcPr>
            <w:tcW w:type="dxa" w:w="1200"/>
            <w:tcMar>
              <w:top w:type="dxa" w:w="60"/>
              <w:left w:type="dxa" w:w="100"/>
              <w:bottom w:type="dxa" w:w="60"/>
              <w:right w:type="dxa" w:w="100"/>
            </w:tcMar>
          </w:tcPr>
          <w:p>
            <w:pPr>
              <w:spacing w:after="0"/>
            </w:pPr>
            <w:r>
              <w:rPr>
                <w:b w:val="false"/>
                <w:bCs w:val="false"/>
                <w:sz w:val="20"/>
                <w:szCs w:val="20"/>
              </w:rPr>
              <w:t xml:space="preserve">High</w:t>
            </w:r>
          </w:p>
        </w:tc>
      </w:tr>
      <w:tr>
        <w:tc>
          <w:tcPr>
            <w:tcW w:type="dxa" w:w="2700"/>
            <w:tcMar>
              <w:top w:type="dxa" w:w="60"/>
              <w:left w:type="dxa" w:w="100"/>
              <w:bottom w:type="dxa" w:w="60"/>
              <w:right w:type="dxa" w:w="100"/>
            </w:tcMar>
          </w:tcPr>
          <w:p>
            <w:pPr>
              <w:spacing w:after="0"/>
            </w:pPr>
            <w:r>
              <w:rPr>
                <w:b w:val="false"/>
                <w:bCs w:val="false"/>
                <w:sz w:val="20"/>
                <w:szCs w:val="20"/>
              </w:rPr>
              <w:t xml:space="preserve">Session resume</w:t>
            </w:r>
          </w:p>
        </w:tc>
        <w:tc>
          <w:tcPr>
            <w:tcW w:type="dxa" w:w="4160"/>
            <w:tcMar>
              <w:top w:type="dxa" w:w="60"/>
              <w:left w:type="dxa" w:w="100"/>
              <w:bottom w:type="dxa" w:w="60"/>
              <w:right w:type="dxa" w:w="100"/>
            </w:tcMar>
          </w:tcPr>
          <w:p>
            <w:pPr>
              <w:spacing w:after="0"/>
            </w:pPr>
            <w:r>
              <w:rPr>
                <w:b w:val="false"/>
                <w:bCs w:val="false"/>
                <w:sz w:val="20"/>
                <w:szCs w:val="20"/>
              </w:rPr>
              <w:t xml:space="preserve">Reopen app to your panes/roles/worktrees as left. BridgeSpace V3's biggest changelog investment; opcode has checkpoints/timeline</w:t>
            </w:r>
          </w:p>
        </w:tc>
        <w:tc>
          <w:tcPr>
            <w:tcW w:type="dxa" w:w="1300"/>
            <w:tcMar>
              <w:top w:type="dxa" w:w="60"/>
              <w:left w:type="dxa" w:w="100"/>
              <w:bottom w:type="dxa" w:w="60"/>
              <w:right w:type="dxa" w:w="100"/>
            </w:tcMar>
          </w:tcPr>
          <w:p>
            <w:pPr>
              <w:spacing w:after="0"/>
            </w:pPr>
            <w:r>
              <w:rPr>
                <w:b w:val="false"/>
                <w:bCs w:val="false"/>
                <w:sz w:val="20"/>
                <w:szCs w:val="20"/>
              </w:rPr>
              <w:t xml:space="preserve">Med</w:t>
            </w:r>
          </w:p>
        </w:tc>
        <w:tc>
          <w:tcPr>
            <w:tcW w:type="dxa" w:w="1200"/>
            <w:tcMar>
              <w:top w:type="dxa" w:w="60"/>
              <w:left w:type="dxa" w:w="100"/>
              <w:bottom w:type="dxa" w:w="60"/>
              <w:right w:type="dxa" w:w="100"/>
            </w:tcMar>
          </w:tcPr>
          <w:p>
            <w:pPr>
              <w:spacing w:after="0"/>
            </w:pPr>
            <w:r>
              <w:rPr>
                <w:b w:val="false"/>
                <w:bCs w:val="false"/>
                <w:sz w:val="20"/>
                <w:szCs w:val="20"/>
              </w:rPr>
              <w:t xml:space="preserve">High</w:t>
            </w:r>
          </w:p>
        </w:tc>
      </w:tr>
      <w:tr>
        <w:tc>
          <w:tcPr>
            <w:tcW w:type="dxa" w:w="2700"/>
            <w:tcMar>
              <w:top w:type="dxa" w:w="60"/>
              <w:left w:type="dxa" w:w="100"/>
              <w:bottom w:type="dxa" w:w="60"/>
              <w:right w:type="dxa" w:w="100"/>
            </w:tcMar>
          </w:tcPr>
          <w:p>
            <w:pPr>
              <w:spacing w:after="0"/>
            </w:pPr>
            <w:r>
              <w:rPr>
                <w:b w:val="false"/>
                <w:bCs w:val="false"/>
                <w:sz w:val="20"/>
                <w:szCs w:val="20"/>
              </w:rPr>
              <w:t xml:space="preserve">setup.ps1 bootstrap</w:t>
            </w:r>
          </w:p>
        </w:tc>
        <w:tc>
          <w:tcPr>
            <w:tcW w:type="dxa" w:w="4160"/>
            <w:tcMar>
              <w:top w:type="dxa" w:w="60"/>
              <w:left w:type="dxa" w:w="100"/>
              <w:bottom w:type="dxa" w:w="60"/>
              <w:right w:type="dxa" w:w="100"/>
            </w:tcMar>
          </w:tcPr>
          <w:p>
            <w:pPr>
              <w:spacing w:after="0"/>
            </w:pPr>
            <w:r>
              <w:rPr>
                <w:b w:val="false"/>
                <w:bCs w:val="false"/>
                <w:sz w:val="20"/>
                <w:szCs w:val="20"/>
              </w:rPr>
              <w:t xml:space="preserve">Automates the two-machine/office-move install (section 1)</w:t>
            </w:r>
          </w:p>
        </w:tc>
        <w:tc>
          <w:tcPr>
            <w:tcW w:type="dxa" w:w="1300"/>
            <w:tcMar>
              <w:top w:type="dxa" w:w="60"/>
              <w:left w:type="dxa" w:w="100"/>
              <w:bottom w:type="dxa" w:w="60"/>
              <w:right w:type="dxa" w:w="100"/>
            </w:tcMar>
          </w:tcPr>
          <w:p>
            <w:pPr>
              <w:spacing w:after="0"/>
            </w:pPr>
            <w:r>
              <w:rPr>
                <w:b w:val="false"/>
                <w:bCs w:val="false"/>
                <w:sz w:val="20"/>
                <w:szCs w:val="20"/>
              </w:rPr>
              <w:t xml:space="preserve">Low</w:t>
            </w:r>
          </w:p>
        </w:tc>
        <w:tc>
          <w:tcPr>
            <w:tcW w:type="dxa" w:w="1200"/>
            <w:tcMar>
              <w:top w:type="dxa" w:w="60"/>
              <w:left w:type="dxa" w:w="100"/>
              <w:bottom w:type="dxa" w:w="60"/>
              <w:right w:type="dxa" w:w="100"/>
            </w:tcMar>
          </w:tcPr>
          <w:p>
            <w:pPr>
              <w:spacing w:after="0"/>
            </w:pPr>
            <w:r>
              <w:rPr>
                <w:b w:val="false"/>
                <w:bCs w:val="false"/>
                <w:sz w:val="20"/>
                <w:szCs w:val="20"/>
              </w:rPr>
              <w:t xml:space="preserve">High</w:t>
            </w:r>
          </w:p>
        </w:tc>
      </w:tr>
      <w:tr>
        <w:tc>
          <w:tcPr>
            <w:tcW w:type="dxa" w:w="2700"/>
            <w:tcMar>
              <w:top w:type="dxa" w:w="60"/>
              <w:left w:type="dxa" w:w="100"/>
              <w:bottom w:type="dxa" w:w="60"/>
              <w:right w:type="dxa" w:w="100"/>
            </w:tcMar>
          </w:tcPr>
          <w:p>
            <w:pPr>
              <w:spacing w:after="0"/>
            </w:pPr>
            <w:r>
              <w:rPr>
                <w:b w:val="false"/>
                <w:bCs w:val="false"/>
                <w:sz w:val="20"/>
                <w:szCs w:val="20"/>
              </w:rPr>
              <w:t xml:space="preserve">.helm-memory/ directory</w:t>
            </w:r>
          </w:p>
        </w:tc>
        <w:tc>
          <w:tcPr>
            <w:tcW w:type="dxa" w:w="4160"/>
            <w:tcMar>
              <w:top w:type="dxa" w:w="60"/>
              <w:left w:type="dxa" w:w="100"/>
              <w:bottom w:type="dxa" w:w="60"/>
              <w:right w:type="dxa" w:w="100"/>
            </w:tcMar>
          </w:tcPr>
          <w:p>
            <w:pPr>
              <w:spacing w:after="0"/>
            </w:pPr>
            <w:r>
              <w:rPr>
                <w:b w:val="false"/>
                <w:bCs w:val="false"/>
                <w:sz w:val="20"/>
                <w:szCs w:val="20"/>
              </w:rPr>
              <w:t xml:space="preserve">Plain markdown decision log all roles can read; your notes-file pattern generalized. Cheap BridgeMemory analog</w:t>
            </w:r>
          </w:p>
        </w:tc>
        <w:tc>
          <w:tcPr>
            <w:tcW w:type="dxa" w:w="1300"/>
            <w:tcMar>
              <w:top w:type="dxa" w:w="60"/>
              <w:left w:type="dxa" w:w="100"/>
              <w:bottom w:type="dxa" w:w="60"/>
              <w:right w:type="dxa" w:w="100"/>
            </w:tcMar>
          </w:tcPr>
          <w:p>
            <w:pPr>
              <w:spacing w:after="0"/>
            </w:pPr>
            <w:r>
              <w:rPr>
                <w:b w:val="false"/>
                <w:bCs w:val="false"/>
                <w:sz w:val="20"/>
                <w:szCs w:val="20"/>
              </w:rPr>
              <w:t xml:space="preserve">Low</w:t>
            </w:r>
          </w:p>
        </w:tc>
        <w:tc>
          <w:tcPr>
            <w:tcW w:type="dxa" w:w="1200"/>
            <w:tcMar>
              <w:top w:type="dxa" w:w="60"/>
              <w:left w:type="dxa" w:w="100"/>
              <w:bottom w:type="dxa" w:w="60"/>
              <w:right w:type="dxa" w:w="100"/>
            </w:tcMar>
          </w:tcPr>
          <w:p>
            <w:pPr>
              <w:spacing w:after="0"/>
            </w:pPr>
            <w:r>
              <w:rPr>
                <w:b w:val="false"/>
                <w:bCs w:val="false"/>
                <w:sz w:val="20"/>
                <w:szCs w:val="20"/>
              </w:rPr>
              <w:t xml:space="preserve">High</w:t>
            </w:r>
          </w:p>
        </w:tc>
      </w:tr>
      <w:tr>
        <w:tc>
          <w:tcPr>
            <w:tcW w:type="dxa" w:w="2700"/>
            <w:tcMar>
              <w:top w:type="dxa" w:w="60"/>
              <w:left w:type="dxa" w:w="100"/>
              <w:bottom w:type="dxa" w:w="60"/>
              <w:right w:type="dxa" w:w="100"/>
            </w:tcMar>
          </w:tcPr>
          <w:p>
            <w:pPr>
              <w:spacing w:after="0"/>
            </w:pPr>
            <w:r>
              <w:rPr>
                <w:b w:val="false"/>
                <w:bCs w:val="false"/>
                <w:sz w:val="20"/>
                <w:szCs w:val="20"/>
              </w:rPr>
              <w:t xml:space="preserve">Usage/cost dashboard</w:t>
            </w:r>
          </w:p>
        </w:tc>
        <w:tc>
          <w:tcPr>
            <w:tcW w:type="dxa" w:w="4160"/>
            <w:tcMar>
              <w:top w:type="dxa" w:w="60"/>
              <w:left w:type="dxa" w:w="100"/>
              <w:bottom w:type="dxa" w:w="60"/>
              <w:right w:type="dxa" w:w="100"/>
            </w:tcMar>
          </w:tcPr>
          <w:p>
            <w:pPr>
              <w:spacing w:after="0"/>
            </w:pPr>
            <w:r>
              <w:rPr>
                <w:b w:val="false"/>
                <w:bCs w:val="false"/>
                <w:sz w:val="20"/>
                <w:szCs w:val="20"/>
              </w:rPr>
              <w:t xml:space="preserve">Per-pane token/credit awareness; opcode-style analytics. Keeps the multi-vendor routing honest</w:t>
            </w:r>
          </w:p>
        </w:tc>
        <w:tc>
          <w:tcPr>
            <w:tcW w:type="dxa" w:w="1300"/>
            <w:tcMar>
              <w:top w:type="dxa" w:w="60"/>
              <w:left w:type="dxa" w:w="100"/>
              <w:bottom w:type="dxa" w:w="60"/>
              <w:right w:type="dxa" w:w="100"/>
            </w:tcMar>
          </w:tcPr>
          <w:p>
            <w:pPr>
              <w:spacing w:after="0"/>
            </w:pPr>
            <w:r>
              <w:rPr>
                <w:b w:val="false"/>
                <w:bCs w:val="false"/>
                <w:sz w:val="20"/>
                <w:szCs w:val="20"/>
              </w:rPr>
              <w:t xml:space="preserve">Med</w:t>
            </w:r>
          </w:p>
        </w:tc>
        <w:tc>
          <w:tcPr>
            <w:tcW w:type="dxa" w:w="1200"/>
            <w:tcMar>
              <w:top w:type="dxa" w:w="60"/>
              <w:left w:type="dxa" w:w="100"/>
              <w:bottom w:type="dxa" w:w="60"/>
              <w:right w:type="dxa" w:w="100"/>
            </w:tcMar>
          </w:tcPr>
          <w:p>
            <w:pPr>
              <w:spacing w:after="0"/>
            </w:pPr>
            <w:r>
              <w:rPr>
                <w:b w:val="false"/>
                <w:bCs w:val="false"/>
                <w:sz w:val="20"/>
                <w:szCs w:val="20"/>
              </w:rPr>
              <w:t xml:space="preserve">Med</w:t>
            </w:r>
          </w:p>
        </w:tc>
      </w:tr>
      <w:tr>
        <w:tc>
          <w:tcPr>
            <w:tcW w:type="dxa" w:w="2700"/>
            <w:tcMar>
              <w:top w:type="dxa" w:w="60"/>
              <w:left w:type="dxa" w:w="100"/>
              <w:bottom w:type="dxa" w:w="60"/>
              <w:right w:type="dxa" w:w="100"/>
            </w:tcMar>
          </w:tcPr>
          <w:p>
            <w:pPr>
              <w:spacing w:after="0"/>
            </w:pPr>
            <w:r>
              <w:rPr>
                <w:b w:val="false"/>
                <w:bCs w:val="false"/>
                <w:sz w:val="20"/>
                <w:szCs w:val="20"/>
              </w:rPr>
              <w:t xml:space="preserve">Built-in mini board</w:t>
            </w:r>
          </w:p>
        </w:tc>
        <w:tc>
          <w:tcPr>
            <w:tcW w:type="dxa" w:w="4160"/>
            <w:tcMar>
              <w:top w:type="dxa" w:w="60"/>
              <w:left w:type="dxa" w:w="100"/>
              <w:bottom w:type="dxa" w:w="60"/>
              <w:right w:type="dxa" w:w="100"/>
            </w:tcMar>
          </w:tcPr>
          <w:p>
            <w:pPr>
              <w:spacing w:after="0"/>
            </w:pPr>
            <w:r>
              <w:rPr>
                <w:b w:val="false"/>
                <w:bCs w:val="false"/>
                <w:sz w:val="20"/>
                <w:szCs w:val="20"/>
              </w:rPr>
              <w:t xml:space="preserve">Small Board tab feeding the New Agent modal; retires Vibe Kanban so planning and launching live in one fenced app</w:t>
            </w:r>
          </w:p>
        </w:tc>
        <w:tc>
          <w:tcPr>
            <w:tcW w:type="dxa" w:w="1300"/>
            <w:tcMar>
              <w:top w:type="dxa" w:w="60"/>
              <w:left w:type="dxa" w:w="100"/>
              <w:bottom w:type="dxa" w:w="60"/>
              <w:right w:type="dxa" w:w="100"/>
            </w:tcMar>
          </w:tcPr>
          <w:p>
            <w:pPr>
              <w:spacing w:after="0"/>
            </w:pPr>
            <w:r>
              <w:rPr>
                <w:b w:val="false"/>
                <w:bCs w:val="false"/>
                <w:sz w:val="20"/>
                <w:szCs w:val="20"/>
              </w:rPr>
              <w:t xml:space="preserve">Med</w:t>
            </w:r>
          </w:p>
        </w:tc>
        <w:tc>
          <w:tcPr>
            <w:tcW w:type="dxa" w:w="1200"/>
            <w:tcMar>
              <w:top w:type="dxa" w:w="60"/>
              <w:left w:type="dxa" w:w="100"/>
              <w:bottom w:type="dxa" w:w="60"/>
              <w:right w:type="dxa" w:w="100"/>
            </w:tcMar>
          </w:tcPr>
          <w:p>
            <w:pPr>
              <w:spacing w:after="0"/>
            </w:pPr>
            <w:r>
              <w:rPr>
                <w:b w:val="false"/>
                <w:bCs w:val="false"/>
                <w:sz w:val="20"/>
                <w:szCs w:val="20"/>
              </w:rPr>
              <w:t xml:space="preserve">Med</w:t>
            </w:r>
          </w:p>
        </w:tc>
      </w:tr>
      <w:tr>
        <w:tc>
          <w:tcPr>
            <w:tcW w:type="dxa" w:w="2700"/>
            <w:tcMar>
              <w:top w:type="dxa" w:w="60"/>
              <w:left w:type="dxa" w:w="100"/>
              <w:bottom w:type="dxa" w:w="60"/>
              <w:right w:type="dxa" w:w="100"/>
            </w:tcMar>
          </w:tcPr>
          <w:p>
            <w:pPr>
              <w:spacing w:after="0"/>
            </w:pPr>
            <w:r>
              <w:rPr>
                <w:b w:val="false"/>
                <w:bCs w:val="false"/>
                <w:sz w:val="20"/>
                <w:szCs w:val="20"/>
              </w:rPr>
              <w:t xml:space="preserve">Recap on focus</w:t>
            </w:r>
          </w:p>
        </w:tc>
        <w:tc>
          <w:tcPr>
            <w:tcW w:type="dxa" w:w="4160"/>
            <w:tcMar>
              <w:top w:type="dxa" w:w="60"/>
              <w:left w:type="dxa" w:w="100"/>
              <w:bottom w:type="dxa" w:w="60"/>
              <w:right w:type="dxa" w:w="100"/>
            </w:tcMar>
          </w:tcPr>
          <w:p>
            <w:pPr>
              <w:spacing w:after="0"/>
            </w:pPr>
            <w:r>
              <w:rPr>
                <w:b w:val="false"/>
                <w:bCs w:val="false"/>
                <w:sz w:val="20"/>
                <w:szCs w:val="20"/>
              </w:rPr>
              <w:t xml:space="preserve">Auto-summary of what a pane was doing when you click into it (community 'recaps' pattern) — cheap once chat parser exists</w:t>
            </w:r>
          </w:p>
        </w:tc>
        <w:tc>
          <w:tcPr>
            <w:tcW w:type="dxa" w:w="1300"/>
            <w:tcMar>
              <w:top w:type="dxa" w:w="60"/>
              <w:left w:type="dxa" w:w="100"/>
              <w:bottom w:type="dxa" w:w="60"/>
              <w:right w:type="dxa" w:w="100"/>
            </w:tcMar>
          </w:tcPr>
          <w:p>
            <w:pPr>
              <w:spacing w:after="0"/>
            </w:pPr>
            <w:r>
              <w:rPr>
                <w:b w:val="false"/>
                <w:bCs w:val="false"/>
                <w:sz w:val="20"/>
                <w:szCs w:val="20"/>
              </w:rPr>
              <w:t xml:space="preserve">Med</w:t>
            </w:r>
          </w:p>
        </w:tc>
        <w:tc>
          <w:tcPr>
            <w:tcW w:type="dxa" w:w="1200"/>
            <w:tcMar>
              <w:top w:type="dxa" w:w="60"/>
              <w:left w:type="dxa" w:w="100"/>
              <w:bottom w:type="dxa" w:w="60"/>
              <w:right w:type="dxa" w:w="100"/>
            </w:tcMar>
          </w:tcPr>
          <w:p>
            <w:pPr>
              <w:spacing w:after="0"/>
            </w:pPr>
            <w:r>
              <w:rPr>
                <w:b w:val="false"/>
                <w:bCs w:val="false"/>
                <w:sz w:val="20"/>
                <w:szCs w:val="20"/>
              </w:rPr>
              <w:t xml:space="preserve">Med</w:t>
            </w:r>
          </w:p>
        </w:tc>
      </w:tr>
      <w:tr>
        <w:tc>
          <w:tcPr>
            <w:tcW w:type="dxa" w:w="2700"/>
            <w:tcMar>
              <w:top w:type="dxa" w:w="60"/>
              <w:left w:type="dxa" w:w="100"/>
              <w:bottom w:type="dxa" w:w="60"/>
              <w:right w:type="dxa" w:w="100"/>
            </w:tcMar>
          </w:tcPr>
          <w:p>
            <w:pPr>
              <w:spacing w:after="0"/>
            </w:pPr>
            <w:r>
              <w:rPr>
                <w:b w:val="false"/>
                <w:bCs w:val="false"/>
                <w:sz w:val="20"/>
                <w:szCs w:val="20"/>
              </w:rPr>
              <w:t xml:space="preserve">Configurable projects root</w:t>
            </w:r>
          </w:p>
        </w:tc>
        <w:tc>
          <w:tcPr>
            <w:tcW w:type="dxa" w:w="4160"/>
            <w:tcMar>
              <w:top w:type="dxa" w:w="60"/>
              <w:left w:type="dxa" w:w="100"/>
              <w:bottom w:type="dxa" w:w="60"/>
              <w:right w:type="dxa" w:w="100"/>
            </w:tcMar>
          </w:tcPr>
          <w:p>
            <w:pPr>
              <w:spacing w:after="0"/>
            </w:pPr>
            <w:r>
              <w:rPr>
                <w:b w:val="false"/>
                <w:bCs w:val="false"/>
                <w:sz w:val="20"/>
                <w:szCs w:val="20"/>
              </w:rPr>
              <w:t xml:space="preserve">Remove the hardcoded D:\Workspace assumption; prerequisite for clean multi-machine parity</w:t>
            </w:r>
          </w:p>
        </w:tc>
        <w:tc>
          <w:tcPr>
            <w:tcW w:type="dxa" w:w="1300"/>
            <w:tcMar>
              <w:top w:type="dxa" w:w="60"/>
              <w:left w:type="dxa" w:w="100"/>
              <w:bottom w:type="dxa" w:w="60"/>
              <w:right w:type="dxa" w:w="100"/>
            </w:tcMar>
          </w:tcPr>
          <w:p>
            <w:pPr>
              <w:spacing w:after="0"/>
            </w:pPr>
            <w:r>
              <w:rPr>
                <w:b w:val="false"/>
                <w:bCs w:val="false"/>
                <w:sz w:val="20"/>
                <w:szCs w:val="20"/>
              </w:rPr>
              <w:t xml:space="preserve">Low</w:t>
            </w:r>
          </w:p>
        </w:tc>
        <w:tc>
          <w:tcPr>
            <w:tcW w:type="dxa" w:w="1200"/>
            <w:tcMar>
              <w:top w:type="dxa" w:w="60"/>
              <w:left w:type="dxa" w:w="100"/>
              <w:bottom w:type="dxa" w:w="60"/>
              <w:right w:type="dxa" w:w="100"/>
            </w:tcMar>
          </w:tcPr>
          <w:p>
            <w:pPr>
              <w:spacing w:after="0"/>
            </w:pPr>
            <w:r>
              <w:rPr>
                <w:b w:val="false"/>
                <w:bCs w:val="false"/>
                <w:sz w:val="20"/>
                <w:szCs w:val="20"/>
              </w:rPr>
              <w:t xml:space="preserve">Med</w:t>
            </w:r>
          </w:p>
        </w:tc>
      </w:tr>
      <w:tr>
        <w:tc>
          <w:tcPr>
            <w:tcW w:type="dxa" w:w="2700"/>
            <w:tcMar>
              <w:top w:type="dxa" w:w="60"/>
              <w:left w:type="dxa" w:w="100"/>
              <w:bottom w:type="dxa" w:w="60"/>
              <w:right w:type="dxa" w:w="100"/>
            </w:tcMar>
          </w:tcPr>
          <w:p>
            <w:pPr>
              <w:spacing w:after="0"/>
            </w:pPr>
            <w:r>
              <w:rPr>
                <w:b w:val="false"/>
                <w:bCs w:val="false"/>
                <w:sz w:val="20"/>
                <w:szCs w:val="20"/>
              </w:rPr>
              <w:t xml:space="preserve">Remote/mobile view</w:t>
            </w:r>
          </w:p>
        </w:tc>
        <w:tc>
          <w:tcPr>
            <w:tcW w:type="dxa" w:w="4160"/>
            <w:tcMar>
              <w:top w:type="dxa" w:w="60"/>
              <w:left w:type="dxa" w:w="100"/>
              <w:bottom w:type="dxa" w:w="60"/>
              <w:right w:type="dxa" w:w="100"/>
            </w:tcMar>
          </w:tcPr>
          <w:p>
            <w:pPr>
              <w:spacing w:after="0"/>
            </w:pPr>
            <w:r>
              <w:rPr>
                <w:b w:val="false"/>
                <w:bCs w:val="false"/>
                <w:sz w:val="20"/>
                <w:szCs w:val="20"/>
              </w:rPr>
              <w:t xml:space="preserve">CloudCLI-style read-only web view of sessions for checking agents from the couch/phone. Big surface area — later</w:t>
            </w:r>
          </w:p>
        </w:tc>
        <w:tc>
          <w:tcPr>
            <w:tcW w:type="dxa" w:w="1300"/>
            <w:tcMar>
              <w:top w:type="dxa" w:w="60"/>
              <w:left w:type="dxa" w:w="100"/>
              <w:bottom w:type="dxa" w:w="60"/>
              <w:right w:type="dxa" w:w="100"/>
            </w:tcMar>
          </w:tcPr>
          <w:p>
            <w:pPr>
              <w:spacing w:after="0"/>
            </w:pPr>
            <w:r>
              <w:rPr>
                <w:b w:val="false"/>
                <w:bCs w:val="false"/>
                <w:sz w:val="20"/>
                <w:szCs w:val="20"/>
              </w:rPr>
              <w:t xml:space="preserve">High</w:t>
            </w:r>
          </w:p>
        </w:tc>
        <w:tc>
          <w:tcPr>
            <w:tcW w:type="dxa" w:w="1200"/>
            <w:tcMar>
              <w:top w:type="dxa" w:w="60"/>
              <w:left w:type="dxa" w:w="100"/>
              <w:bottom w:type="dxa" w:w="60"/>
              <w:right w:type="dxa" w:w="100"/>
            </w:tcMar>
          </w:tcPr>
          <w:p>
            <w:pPr>
              <w:spacing w:after="0"/>
            </w:pPr>
            <w:r>
              <w:rPr>
                <w:b w:val="false"/>
                <w:bCs w:val="false"/>
                <w:sz w:val="20"/>
                <w:szCs w:val="20"/>
              </w:rPr>
              <w:t xml:space="preserve">Low</w:t>
            </w:r>
          </w:p>
        </w:tc>
      </w:tr>
      <w:tr>
        <w:tc>
          <w:tcPr>
            <w:tcW w:type="dxa" w:w="2700"/>
            <w:tcMar>
              <w:top w:type="dxa" w:w="60"/>
              <w:left w:type="dxa" w:w="100"/>
              <w:bottom w:type="dxa" w:w="60"/>
              <w:right w:type="dxa" w:w="100"/>
            </w:tcMar>
          </w:tcPr>
          <w:p>
            <w:pPr>
              <w:spacing w:after="0"/>
            </w:pPr>
            <w:r>
              <w:rPr>
                <w:b w:val="false"/>
                <w:bCs w:val="false"/>
                <w:sz w:val="20"/>
                <w:szCs w:val="20"/>
              </w:rPr>
              <w:t xml:space="preserve">Checkpoint/branch timeline</w:t>
            </w:r>
          </w:p>
        </w:tc>
        <w:tc>
          <w:tcPr>
            <w:tcW w:type="dxa" w:w="4160"/>
            <w:tcMar>
              <w:top w:type="dxa" w:w="60"/>
              <w:left w:type="dxa" w:w="100"/>
              <w:bottom w:type="dxa" w:w="60"/>
              <w:right w:type="dxa" w:w="100"/>
            </w:tcMar>
          </w:tcPr>
          <w:p>
            <w:pPr>
              <w:spacing w:after="0"/>
            </w:pPr>
            <w:r>
              <w:rPr>
                <w:b w:val="false"/>
                <w:bCs w:val="false"/>
                <w:sz w:val="20"/>
                <w:szCs w:val="20"/>
              </w:rPr>
              <w:t xml:space="preserve">opcode-style session time travel. Nice, not needed while git worktrees carry versioning</w:t>
            </w:r>
          </w:p>
        </w:tc>
        <w:tc>
          <w:tcPr>
            <w:tcW w:type="dxa" w:w="1300"/>
            <w:tcMar>
              <w:top w:type="dxa" w:w="60"/>
              <w:left w:type="dxa" w:w="100"/>
              <w:bottom w:type="dxa" w:w="60"/>
              <w:right w:type="dxa" w:w="100"/>
            </w:tcMar>
          </w:tcPr>
          <w:p>
            <w:pPr>
              <w:spacing w:after="0"/>
            </w:pPr>
            <w:r>
              <w:rPr>
                <w:b w:val="false"/>
                <w:bCs w:val="false"/>
                <w:sz w:val="20"/>
                <w:szCs w:val="20"/>
              </w:rPr>
              <w:t xml:space="preserve">High</w:t>
            </w:r>
          </w:p>
        </w:tc>
        <w:tc>
          <w:tcPr>
            <w:tcW w:type="dxa" w:w="1200"/>
            <w:tcMar>
              <w:top w:type="dxa" w:w="60"/>
              <w:left w:type="dxa" w:w="100"/>
              <w:bottom w:type="dxa" w:w="60"/>
              <w:right w:type="dxa" w:w="100"/>
            </w:tcMar>
          </w:tcPr>
          <w:p>
            <w:pPr>
              <w:spacing w:after="0"/>
            </w:pPr>
            <w:r>
              <w:rPr>
                <w:b w:val="false"/>
                <w:bCs w:val="false"/>
                <w:sz w:val="20"/>
                <w:szCs w:val="20"/>
              </w:rPr>
              <w:t xml:space="preserve">Low</w:t>
            </w:r>
          </w:p>
        </w:tc>
      </w:tr>
    </w:tbl>
    <w:p>
      <w:pPr>
        <w:spacing w:after="160" w:line="276"/>
      </w:pPr>
      <w:r>
        <w:t xml:space="preserve">Deliberately absent: swarm/auto-prompted multi-agent (that's the Coordinator, gated behind human-as-bus mastery), a standalone assistant panel (deferred until Feature B has been the daily driver long enough to feel the gap), and multi-account limit-stacking (see section 4).</w:t>
      </w:r>
    </w:p>
    <w:p>
      <w:pPr>
        <w:pStyle w:val="Heading1"/>
        <w:spacing w:after="160" w:before="320"/>
      </w:pPr>
      <w:r>
        <w:t xml:space="preserve">3. The Open-Source Path</w:t>
      </w:r>
    </w:p>
    <w:p>
      <w:pPr>
        <w:spacing w:after="160" w:line="276"/>
      </w:pPr>
      <w:r>
        <w:rPr>
          <w:b/>
          <w:bCs/>
        </w:rPr>
        <w:t xml:space="preserve">Verdict: not a sellable product; a genuinely worthwhile open-source release.</w:t>
      </w:r>
      <w:r>
        <w:t xml:space="preserve"> The category is crowded with free, funded, or 20k-star incumbents, and selling means support, packaging, and security liability for software that spawns shells and stores keys. But no popular alternative combines Blue Helm's four pillars: multi-CLI orchestration (Claude + Codex + Gemini in one PTY grid), tool-enforced role permissions with read/write fences, fully local in-app voice, and Windows-native focus (most of the category is macOS-first; opcode is single-session with a lagging Windows build). 'The security-hardened, Windows-first multi-agent command center' is a real, unoccupied niche. The payoff is credibility for ABlueAI/Starboard, community testing, and the code quality that public eyes enforce — not revenue.</w:t>
      </w:r>
    </w:p>
    <w:p>
      <w:pPr>
        <w:pStyle w:val="Heading2"/>
        <w:spacing w:after="120" w:before="240"/>
      </w:pPr>
      <w:r>
        <w:t xml:space="preserve">Pre-flight checklist before flipping the repo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3864" w:color="auto" w:val="clear"/>
            <w:tcMar>
              <w:top w:type="dxa" w:w="60"/>
              <w:left w:type="dxa" w:w="100"/>
              <w:bottom w:type="dxa" w:w="60"/>
              <w:right w:type="dxa" w:w="100"/>
            </w:tcMar>
          </w:tcPr>
          <w:p>
            <w:pPr>
              <w:spacing w:after="0"/>
            </w:pPr>
            <w:r>
              <w:rPr>
                <w:b/>
                <w:bCs/>
                <w:color w:val="FFFFFF"/>
                <w:sz w:val="20"/>
                <w:szCs w:val="20"/>
              </w:rPr>
              <w:t xml:space="preserve">#</w:t>
            </w:r>
          </w:p>
        </w:tc>
        <w:tc>
          <w:tcPr>
            <w:tcW w:type="dxa" w:w="8660"/>
            <w:shd w:fill="1F3864" w:color="auto" w:val="clear"/>
            <w:tcMar>
              <w:top w:type="dxa" w:w="60"/>
              <w:left w:type="dxa" w:w="100"/>
              <w:bottom w:type="dxa" w:w="60"/>
              <w:right w:type="dxa" w:w="100"/>
            </w:tcMar>
          </w:tcPr>
          <w:p>
            <w:pPr>
              <w:spacing w:after="0"/>
            </w:pPr>
            <w:r>
              <w:rPr>
                <w:b/>
                <w:bCs/>
                <w:color w:val="FFFFFF"/>
                <w:sz w:val="20"/>
                <w:szCs w:val="20"/>
              </w:rPr>
              <w:t xml:space="preserve">Item</w:t>
            </w:r>
          </w:p>
        </w:tc>
      </w:tr>
      <w:tr>
        <w:tc>
          <w:tcPr>
            <w:tcW w:type="dxa" w:w="700"/>
            <w:tcMar>
              <w:top w:type="dxa" w:w="60"/>
              <w:left w:type="dxa" w:w="100"/>
              <w:bottom w:type="dxa" w:w="60"/>
              <w:right w:type="dxa" w:w="100"/>
            </w:tcMar>
          </w:tcPr>
          <w:p>
            <w:pPr>
              <w:spacing w:after="0"/>
            </w:pPr>
            <w:r>
              <w:rPr>
                <w:b w:val="false"/>
                <w:bCs w:val="false"/>
                <w:sz w:val="20"/>
                <w:szCs w:val="20"/>
              </w:rPr>
              <w:t xml:space="preserve">1</w:t>
            </w:r>
          </w:p>
        </w:tc>
        <w:tc>
          <w:tcPr>
            <w:tcW w:type="dxa" w:w="8660"/>
            <w:tcMar>
              <w:top w:type="dxa" w:w="60"/>
              <w:left w:type="dxa" w:w="100"/>
              <w:bottom w:type="dxa" w:w="60"/>
              <w:right w:type="dxa" w:w="100"/>
            </w:tcMar>
          </w:tcPr>
          <w:p>
            <w:pPr>
              <w:spacing w:after="0"/>
            </w:pPr>
            <w:r>
              <w:rPr>
                <w:b w:val="false"/>
                <w:bCs w:val="false"/>
                <w:sz w:val="20"/>
                <w:szCs w:val="20"/>
              </w:rPr>
              <w:t xml:space="preserve">Scrub git history for secrets (the .env was gitignored and never committed — verify with a scanner pass, e.g. gitleaks, anyway)</w:t>
            </w:r>
          </w:p>
        </w:tc>
      </w:tr>
      <w:tr>
        <w:tc>
          <w:tcPr>
            <w:tcW w:type="dxa" w:w="700"/>
            <w:tcMar>
              <w:top w:type="dxa" w:w="60"/>
              <w:left w:type="dxa" w:w="100"/>
              <w:bottom w:type="dxa" w:w="60"/>
              <w:right w:type="dxa" w:w="100"/>
            </w:tcMar>
          </w:tcPr>
          <w:p>
            <w:pPr>
              <w:spacing w:after="0"/>
            </w:pPr>
            <w:r>
              <w:rPr>
                <w:b w:val="false"/>
                <w:bCs w:val="false"/>
                <w:sz w:val="20"/>
                <w:szCs w:val="20"/>
              </w:rPr>
              <w:t xml:space="preserve">2</w:t>
            </w:r>
          </w:p>
        </w:tc>
        <w:tc>
          <w:tcPr>
            <w:tcW w:type="dxa" w:w="8660"/>
            <w:tcMar>
              <w:top w:type="dxa" w:w="60"/>
              <w:left w:type="dxa" w:w="100"/>
              <w:bottom w:type="dxa" w:w="60"/>
              <w:right w:type="dxa" w:w="100"/>
            </w:tcMar>
          </w:tcPr>
          <w:p>
            <w:pPr>
              <w:spacing w:after="0"/>
            </w:pPr>
            <w:r>
              <w:rPr>
                <w:b w:val="false"/>
                <w:bCs w:val="false"/>
                <w:sz w:val="20"/>
                <w:szCs w:val="20"/>
              </w:rPr>
              <w:t xml:space="preserve">Add LICENSE: Apache-2.0 (patent grant; matches Wave). Add NOTICE crediting wavetermdev/waveterm for studied patterns</w:t>
            </w:r>
          </w:p>
        </w:tc>
      </w:tr>
      <w:tr>
        <w:tc>
          <w:tcPr>
            <w:tcW w:type="dxa" w:w="700"/>
            <w:tcMar>
              <w:top w:type="dxa" w:w="60"/>
              <w:left w:type="dxa" w:w="100"/>
              <w:bottom w:type="dxa" w:w="60"/>
              <w:right w:type="dxa" w:w="100"/>
            </w:tcMar>
          </w:tcPr>
          <w:p>
            <w:pPr>
              <w:spacing w:after="0"/>
            </w:pPr>
            <w:r>
              <w:rPr>
                <w:b w:val="false"/>
                <w:bCs w:val="false"/>
                <w:sz w:val="20"/>
                <w:szCs w:val="20"/>
              </w:rPr>
              <w:t xml:space="preserve">3</w:t>
            </w:r>
          </w:p>
        </w:tc>
        <w:tc>
          <w:tcPr>
            <w:tcW w:type="dxa" w:w="8660"/>
            <w:tcMar>
              <w:top w:type="dxa" w:w="60"/>
              <w:left w:type="dxa" w:w="100"/>
              <w:bottom w:type="dxa" w:w="60"/>
              <w:right w:type="dxa" w:w="100"/>
            </w:tcMar>
          </w:tcPr>
          <w:p>
            <w:pPr>
              <w:spacing w:after="0"/>
            </w:pPr>
            <w:r>
              <w:rPr>
                <w:b w:val="false"/>
                <w:bCs w:val="false"/>
                <w:sz w:val="20"/>
                <w:szCs w:val="20"/>
              </w:rPr>
              <w:t xml:space="preserve">README: what it is, the four pillars, screenshots, the setup.ps1 install, honest status (beta, solo-maintained)</w:t>
            </w:r>
          </w:p>
        </w:tc>
      </w:tr>
      <w:tr>
        <w:tc>
          <w:tcPr>
            <w:tcW w:type="dxa" w:w="700"/>
            <w:tcMar>
              <w:top w:type="dxa" w:w="60"/>
              <w:left w:type="dxa" w:w="100"/>
              <w:bottom w:type="dxa" w:w="60"/>
              <w:right w:type="dxa" w:w="100"/>
            </w:tcMar>
          </w:tcPr>
          <w:p>
            <w:pPr>
              <w:spacing w:after="0"/>
            </w:pPr>
            <w:r>
              <w:rPr>
                <w:b w:val="false"/>
                <w:bCs w:val="false"/>
                <w:sz w:val="20"/>
                <w:szCs w:val="20"/>
              </w:rPr>
              <w:t xml:space="preserve">4</w:t>
            </w:r>
          </w:p>
        </w:tc>
        <w:tc>
          <w:tcPr>
            <w:tcW w:type="dxa" w:w="8660"/>
            <w:tcMar>
              <w:top w:type="dxa" w:w="60"/>
              <w:left w:type="dxa" w:w="100"/>
              <w:bottom w:type="dxa" w:w="60"/>
              <w:right w:type="dxa" w:w="100"/>
            </w:tcMar>
          </w:tcPr>
          <w:p>
            <w:pPr>
              <w:spacing w:after="0"/>
            </w:pPr>
            <w:r>
              <w:rPr>
                <w:b w:val="false"/>
                <w:bCs w:val="false"/>
                <w:sz w:val="20"/>
                <w:szCs w:val="20"/>
              </w:rPr>
              <w:t xml:space="preserve">SECURITY.md: threat model summary (fences, safeStorage, sandboxed renderer) and how to report issues</w:t>
            </w:r>
          </w:p>
        </w:tc>
      </w:tr>
      <w:tr>
        <w:tc>
          <w:tcPr>
            <w:tcW w:type="dxa" w:w="700"/>
            <w:tcMar>
              <w:top w:type="dxa" w:w="60"/>
              <w:left w:type="dxa" w:w="100"/>
              <w:bottom w:type="dxa" w:w="60"/>
              <w:right w:type="dxa" w:w="100"/>
            </w:tcMar>
          </w:tcPr>
          <w:p>
            <w:pPr>
              <w:spacing w:after="0"/>
            </w:pPr>
            <w:r>
              <w:rPr>
                <w:b w:val="false"/>
                <w:bCs w:val="false"/>
                <w:sz w:val="20"/>
                <w:szCs w:val="20"/>
              </w:rPr>
              <w:t xml:space="preserve">5</w:t>
            </w:r>
          </w:p>
        </w:tc>
        <w:tc>
          <w:tcPr>
            <w:tcW w:type="dxa" w:w="8660"/>
            <w:tcMar>
              <w:top w:type="dxa" w:w="60"/>
              <w:left w:type="dxa" w:w="100"/>
              <w:bottom w:type="dxa" w:w="60"/>
              <w:right w:type="dxa" w:w="100"/>
            </w:tcMar>
          </w:tcPr>
          <w:p>
            <w:pPr>
              <w:spacing w:after="0"/>
            </w:pPr>
            <w:r>
              <w:rPr>
                <w:b w:val="false"/>
                <w:bCs w:val="false"/>
                <w:sz w:val="20"/>
                <w:szCs w:val="20"/>
              </w:rPr>
              <w:t xml:space="preserve">Strip anything Starboard-specific into a private overlay (briefs, business docs) — the app ships clean</w:t>
            </w:r>
          </w:p>
        </w:tc>
      </w:tr>
      <w:tr>
        <w:tc>
          <w:tcPr>
            <w:tcW w:type="dxa" w:w="700"/>
            <w:tcMar>
              <w:top w:type="dxa" w:w="60"/>
              <w:left w:type="dxa" w:w="100"/>
              <w:bottom w:type="dxa" w:w="60"/>
              <w:right w:type="dxa" w:w="100"/>
            </w:tcMar>
          </w:tcPr>
          <w:p>
            <w:pPr>
              <w:spacing w:after="0"/>
            </w:pPr>
            <w:r>
              <w:rPr>
                <w:b w:val="false"/>
                <w:bCs w:val="false"/>
                <w:sz w:val="20"/>
                <w:szCs w:val="20"/>
              </w:rPr>
              <w:t xml:space="preserve">6</w:t>
            </w:r>
          </w:p>
        </w:tc>
        <w:tc>
          <w:tcPr>
            <w:tcW w:type="dxa" w:w="8660"/>
            <w:tcMar>
              <w:top w:type="dxa" w:w="60"/>
              <w:left w:type="dxa" w:w="100"/>
              <w:bottom w:type="dxa" w:w="60"/>
              <w:right w:type="dxa" w:w="100"/>
            </w:tcMar>
          </w:tcPr>
          <w:p>
            <w:pPr>
              <w:spacing w:after="0"/>
            </w:pPr>
            <w:r>
              <w:rPr>
                <w:b w:val="false"/>
                <w:bCs w:val="false"/>
                <w:sz w:val="20"/>
                <w:szCs w:val="20"/>
              </w:rPr>
              <w:t xml:space="preserve">Decide the name collision: 'Blue Helm' vs repo 'AgentCommandCenter' — pick one public identity</w:t>
            </w:r>
          </w:p>
        </w:tc>
      </w:tr>
      <w:tr>
        <w:tc>
          <w:tcPr>
            <w:tcW w:type="dxa" w:w="700"/>
            <w:tcMar>
              <w:top w:type="dxa" w:w="60"/>
              <w:left w:type="dxa" w:w="100"/>
              <w:bottom w:type="dxa" w:w="60"/>
              <w:right w:type="dxa" w:w="100"/>
            </w:tcMar>
          </w:tcPr>
          <w:p>
            <w:pPr>
              <w:spacing w:after="0"/>
            </w:pPr>
            <w:r>
              <w:rPr>
                <w:b w:val="false"/>
                <w:bCs w:val="false"/>
                <w:sz w:val="20"/>
                <w:szCs w:val="20"/>
              </w:rPr>
              <w:t xml:space="preserve">7</w:t>
            </w:r>
          </w:p>
        </w:tc>
        <w:tc>
          <w:tcPr>
            <w:tcW w:type="dxa" w:w="8660"/>
            <w:tcMar>
              <w:top w:type="dxa" w:w="60"/>
              <w:left w:type="dxa" w:w="100"/>
              <w:bottom w:type="dxa" w:w="60"/>
              <w:right w:type="dxa" w:w="100"/>
            </w:tcMar>
          </w:tcPr>
          <w:p>
            <w:pPr>
              <w:spacing w:after="0"/>
            </w:pPr>
            <w:r>
              <w:rPr>
                <w:b w:val="false"/>
                <w:bCs w:val="false"/>
                <w:sz w:val="20"/>
                <w:szCs w:val="20"/>
              </w:rPr>
              <w:t xml:space="preserve">Issues template + 'no support promised' expectations note — protect your time from day one</w:t>
            </w:r>
          </w:p>
        </w:tc>
      </w:tr>
    </w:tbl>
    <w:p>
      <w:pPr>
        <w:pStyle w:val="Heading1"/>
        <w:spacing w:after="160" w:before="320"/>
      </w:pPr>
      <w:r>
        <w:t xml:space="preserve">4. Accounts &amp; Capacity — The Honest Version</w:t>
      </w:r>
    </w:p>
    <w:p>
      <w:pPr>
        <w:spacing w:after="160" w:line="276"/>
      </w:pPr>
      <w:r>
        <w:rPr>
          <w:b/>
          <w:bCs/>
        </w:rPr>
        <w:t xml:space="preserve">Running two Pro accounts to stack usage limits is mechanically buildable and against Anthropic's consumer terms — don't build around it.</w:t>
      </w:r>
      <w:r>
        <w:t xml:space="preserve"> One person multi-accounting to evade limits risks both accounts. The legitimate levers, in order: route across vendors (Claude for build/review, Gemini for scouts/video, Codex as second opinion — three separate pools you already use); keep the difficulty dial honest so Opus is deliberate; and if Pro still caps you with real work waiting, Max 5x is the clean upgrade. A per-pane usage dashboard (section 2) tells you which lever you actually need instead of guessing.</w:t>
      </w:r>
    </w:p>
    <w:p>
      <w:pPr>
        <w:pStyle w:val="Heading1"/>
        <w:spacing w:after="160" w:before="320"/>
      </w:pPr>
      <w:r>
        <w:t xml:space="preserve">5. The Next-Time Playbook — Finding the Fork First</w:t>
      </w:r>
    </w:p>
    <w:p>
      <w:pPr>
        <w:spacing w:after="160" w:line="276"/>
      </w:pPr>
      <w:r>
        <w:t xml:space="preserve">The lesson from this build, generalized: before writing anything, spend one hour on GitHub. Search the topic (claude-code, agent orchestration), open the 'awesome-claude-code' style lists, take the top three candidates by stars and recent commits, and clone and read them the way Wave was eventually read here. Then choose consciously: fork the closest, or build fresh with their source as reference. For this project the closest were opcode (~20k stars, Tauri/Rust, single-session), Nimbalyst (MIT; parallel sessions, worktree isolation, kanban), CloudCLI (multi-CLI web UI), and Crystal. A fork would have saved perhaps 30–40%% of the hours — not 90%% — because none had the role fences, local voice, or Windows-native multi-CLI grid, and it would have meant learning someone else's architecture instead of owning yours. The from-scratch route was partly tuition, and the tuition paid: you can now extend every layer of this app because you built every layer. Next project, run the hour of search first — then the tuition is optional.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F3864"/>
    </w:rPr>
  </w:style>
  <w:style w:type="paragraph" w:styleId="Heading2">
    <w:name w:val="Heading 2"/>
    <w:basedOn w:val="Normal"/>
    <w:next w:val="Normal"/>
    <w:qFormat/>
    <w:rPr>
      <w:b/>
      <w:bCs/>
      <w:color w:val="2E539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2026-07-02T07:02:59.630Z</dcterms:created>
  <dcterms:modified xsi:type="dcterms:W3CDTF">2026-07-02T07:02:59.651Z</dcterms:modified>
</cp:coreProperties>
</file>

<file path=docProps/custom.xml><?xml version="1.0" encoding="utf-8"?>
<Properties xmlns="http://schemas.openxmlformats.org/officeDocument/2006/custom-properties" xmlns:vt="http://schemas.openxmlformats.org/officeDocument/2006/docPropsVTypes"/>
</file>