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E54AA" w14:textId="232A5947" w:rsidR="00722C7B" w:rsidRPr="00722C7B" w:rsidRDefault="00722C7B" w:rsidP="00722C7B">
      <w:pPr>
        <w:pStyle w:val="Corpo"/>
        <w:tabs>
          <w:tab w:val="left" w:pos="5529"/>
        </w:tabs>
        <w:jc w:val="center"/>
        <w:outlineLvl w:val="0"/>
        <w:rPr>
          <w:rFonts w:hAnsi="Times New Roman" w:cs="Times New Roman"/>
          <w:b/>
          <w:bCs/>
          <w:iCs/>
          <w:sz w:val="32"/>
          <w:szCs w:val="32"/>
        </w:rPr>
      </w:pPr>
      <w:bookmarkStart w:id="0" w:name="_Hlk512265707"/>
      <w:r w:rsidRPr="00722C7B">
        <w:rPr>
          <w:rFonts w:hAnsi="Times New Roman" w:cs="Times New Roman"/>
          <w:b/>
          <w:bCs/>
          <w:iCs/>
          <w:sz w:val="32"/>
          <w:szCs w:val="32"/>
        </w:rPr>
        <w:t>SUPPLEMENTA</w:t>
      </w:r>
      <w:r w:rsidR="00D822D1">
        <w:rPr>
          <w:rFonts w:hAnsi="Times New Roman" w:cs="Times New Roman"/>
          <w:b/>
          <w:bCs/>
          <w:iCs/>
          <w:sz w:val="32"/>
          <w:szCs w:val="32"/>
        </w:rPr>
        <w:t>L</w:t>
      </w:r>
      <w:r w:rsidRPr="00722C7B">
        <w:rPr>
          <w:rFonts w:hAnsi="Times New Roman" w:cs="Times New Roman"/>
          <w:b/>
          <w:bCs/>
          <w:iCs/>
          <w:sz w:val="32"/>
          <w:szCs w:val="32"/>
        </w:rPr>
        <w:t xml:space="preserve"> </w:t>
      </w:r>
      <w:r w:rsidR="00D822D1">
        <w:rPr>
          <w:rFonts w:hAnsi="Times New Roman" w:cs="Times New Roman"/>
          <w:b/>
          <w:bCs/>
          <w:iCs/>
          <w:sz w:val="32"/>
          <w:szCs w:val="32"/>
        </w:rPr>
        <w:t>DATA</w:t>
      </w:r>
    </w:p>
    <w:p w14:paraId="1A3E5374" w14:textId="77777777" w:rsidR="00722C7B" w:rsidRPr="00722C7B" w:rsidRDefault="00722C7B" w:rsidP="00722C7B">
      <w:pPr>
        <w:pStyle w:val="Corpo"/>
        <w:tabs>
          <w:tab w:val="left" w:pos="5529"/>
        </w:tabs>
        <w:jc w:val="center"/>
        <w:outlineLvl w:val="0"/>
        <w:rPr>
          <w:rFonts w:hAnsi="Times New Roman" w:cs="Times New Roman"/>
          <w:b/>
          <w:bCs/>
          <w:iCs/>
        </w:rPr>
      </w:pPr>
    </w:p>
    <w:p w14:paraId="29E16525" w14:textId="774A30F3" w:rsidR="007E53EE" w:rsidRDefault="007E53EE" w:rsidP="00722C7B">
      <w:pPr>
        <w:pStyle w:val="Corpo"/>
        <w:jc w:val="center"/>
        <w:rPr>
          <w:rFonts w:hAnsi="Times New Roman" w:cs="Times New Roman"/>
          <w:b/>
          <w:bCs/>
          <w:sz w:val="28"/>
          <w:szCs w:val="28"/>
        </w:rPr>
      </w:pPr>
      <w:r>
        <w:rPr>
          <w:rFonts w:hAnsi="Times New Roman" w:cs="Times New Roman"/>
          <w:b/>
          <w:bCs/>
          <w:sz w:val="28"/>
          <w:szCs w:val="28"/>
        </w:rPr>
        <w:t xml:space="preserve">Development and validation of prediction models for the subtype diagnosis </w:t>
      </w:r>
      <w:r w:rsidR="00270BB0">
        <w:rPr>
          <w:rFonts w:hAnsi="Times New Roman" w:cs="Times New Roman"/>
          <w:b/>
          <w:bCs/>
          <w:sz w:val="28"/>
          <w:szCs w:val="28"/>
        </w:rPr>
        <w:t xml:space="preserve">of </w:t>
      </w:r>
      <w:r>
        <w:rPr>
          <w:rFonts w:hAnsi="Times New Roman" w:cs="Times New Roman"/>
          <w:b/>
          <w:bCs/>
          <w:sz w:val="28"/>
          <w:szCs w:val="28"/>
        </w:rPr>
        <w:t>patients with primary aldosteronism</w:t>
      </w:r>
      <w:r w:rsidRPr="00330009">
        <w:rPr>
          <w:rFonts w:hAnsi="Times New Roman" w:cs="Times New Roman"/>
          <w:b/>
          <w:bCs/>
          <w:sz w:val="28"/>
          <w:szCs w:val="28"/>
        </w:rPr>
        <w:t>.</w:t>
      </w:r>
    </w:p>
    <w:p w14:paraId="79EFEDD7" w14:textId="77777777" w:rsidR="00722C7B" w:rsidRPr="00330009" w:rsidRDefault="00722C7B" w:rsidP="00722C7B">
      <w:pPr>
        <w:pStyle w:val="Corpo"/>
        <w:jc w:val="center"/>
        <w:rPr>
          <w:rFonts w:hAnsi="Times New Roman" w:cs="Times New Roman"/>
          <w:b/>
          <w:bCs/>
          <w:sz w:val="28"/>
          <w:szCs w:val="28"/>
        </w:rPr>
      </w:pPr>
    </w:p>
    <w:p w14:paraId="1B60E598" w14:textId="0ACFE50B" w:rsidR="000747E5" w:rsidRPr="000747E5" w:rsidRDefault="000747E5" w:rsidP="000747E5">
      <w:pPr>
        <w:pStyle w:val="Corpo"/>
        <w:rPr>
          <w:lang w:val="it-IT"/>
        </w:rPr>
      </w:pPr>
      <w:r w:rsidRPr="000747E5">
        <w:rPr>
          <w:lang w:val="it-IT"/>
        </w:rPr>
        <w:t>Jacopo Burrello MD</w:t>
      </w:r>
      <w:r w:rsidRPr="000747E5">
        <w:rPr>
          <w:vertAlign w:val="superscript"/>
          <w:lang w:val="it-IT"/>
        </w:rPr>
        <w:t>1*</w:t>
      </w:r>
      <w:r w:rsidRPr="000747E5">
        <w:rPr>
          <w:lang w:val="it-IT"/>
        </w:rPr>
        <w:t>, Alessio Burrello MS</w:t>
      </w:r>
      <w:r w:rsidRPr="000747E5">
        <w:rPr>
          <w:vertAlign w:val="superscript"/>
          <w:lang w:val="it-IT"/>
        </w:rPr>
        <w:t>2*</w:t>
      </w:r>
      <w:r w:rsidRPr="000747E5">
        <w:rPr>
          <w:lang w:val="it-IT"/>
        </w:rPr>
        <w:t>, Jacopo Pieroni MD</w:t>
      </w:r>
      <w:r w:rsidRPr="000747E5">
        <w:rPr>
          <w:vertAlign w:val="superscript"/>
          <w:lang w:val="it-IT"/>
        </w:rPr>
        <w:t>1</w:t>
      </w:r>
      <w:r w:rsidRPr="000747E5">
        <w:rPr>
          <w:lang w:val="it-IT"/>
        </w:rPr>
        <w:t>, Elisa Sconfienza MD</w:t>
      </w:r>
      <w:r w:rsidRPr="000747E5">
        <w:rPr>
          <w:vertAlign w:val="superscript"/>
          <w:lang w:val="it-IT"/>
        </w:rPr>
        <w:t>1</w:t>
      </w:r>
      <w:r w:rsidRPr="000747E5">
        <w:rPr>
          <w:lang w:val="it-IT"/>
        </w:rPr>
        <w:t>, Vittorio Forestiero MD</w:t>
      </w:r>
      <w:r w:rsidRPr="000747E5">
        <w:rPr>
          <w:vertAlign w:val="superscript"/>
          <w:lang w:val="it-IT"/>
        </w:rPr>
        <w:t>1</w:t>
      </w:r>
      <w:r w:rsidRPr="000747E5">
        <w:rPr>
          <w:lang w:val="it-IT"/>
        </w:rPr>
        <w:t>, Paola Rabbia MD</w:t>
      </w:r>
      <w:r w:rsidRPr="000747E5">
        <w:rPr>
          <w:vertAlign w:val="superscript"/>
          <w:lang w:val="it-IT"/>
        </w:rPr>
        <w:t>3</w:t>
      </w:r>
      <w:r w:rsidRPr="000747E5">
        <w:rPr>
          <w:lang w:val="it-IT"/>
        </w:rPr>
        <w:t>, Franco Veglio MD</w:t>
      </w:r>
      <w:r w:rsidRPr="000747E5">
        <w:rPr>
          <w:vertAlign w:val="superscript"/>
          <w:lang w:val="it-IT"/>
        </w:rPr>
        <w:t>1</w:t>
      </w:r>
      <w:r w:rsidRPr="000747E5">
        <w:rPr>
          <w:lang w:val="it-IT"/>
        </w:rPr>
        <w:t>, Tracy Ann Williams PhD</w:t>
      </w:r>
      <w:r w:rsidRPr="000747E5">
        <w:rPr>
          <w:vertAlign w:val="superscript"/>
          <w:lang w:val="it-IT"/>
        </w:rPr>
        <w:t>1,4</w:t>
      </w:r>
      <w:r w:rsidRPr="000747E5">
        <w:rPr>
          <w:lang w:val="it-IT"/>
        </w:rPr>
        <w:t>, Silvia Monticone PhD</w:t>
      </w:r>
      <w:r w:rsidRPr="000747E5">
        <w:rPr>
          <w:vertAlign w:val="superscript"/>
          <w:lang w:val="it-IT"/>
        </w:rPr>
        <w:t>1#</w:t>
      </w:r>
      <w:r w:rsidRPr="000747E5">
        <w:rPr>
          <w:lang w:val="it-IT"/>
        </w:rPr>
        <w:t>, Paolo Mulatero MD</w:t>
      </w:r>
      <w:r w:rsidRPr="000747E5">
        <w:rPr>
          <w:vertAlign w:val="superscript"/>
          <w:lang w:val="it-IT"/>
        </w:rPr>
        <w:t>1#</w:t>
      </w:r>
      <w:r w:rsidRPr="000747E5">
        <w:rPr>
          <w:lang w:val="it-IT"/>
        </w:rPr>
        <w:t>.</w:t>
      </w:r>
    </w:p>
    <w:p w14:paraId="6F54C6BE" w14:textId="77777777" w:rsidR="000747E5" w:rsidRPr="000747E5" w:rsidRDefault="000747E5" w:rsidP="000747E5">
      <w:pPr>
        <w:pStyle w:val="Corpo"/>
        <w:rPr>
          <w:lang w:val="it-IT"/>
        </w:rPr>
      </w:pPr>
    </w:p>
    <w:p w14:paraId="22595A27" w14:textId="77777777" w:rsidR="000747E5" w:rsidRPr="000747E5" w:rsidRDefault="000747E5" w:rsidP="000747E5">
      <w:pPr>
        <w:pStyle w:val="Corpo"/>
      </w:pPr>
      <w:r w:rsidRPr="000747E5">
        <w:t xml:space="preserve">(1)  Division of Internal Medicine and Hypertension, Department of Medical Sciences, University of Torino, Italy. </w:t>
      </w:r>
      <w:r w:rsidRPr="000747E5">
        <w:rPr>
          <w:rFonts w:hAnsi="Times New Roman" w:cs="Times New Roman"/>
        </w:rPr>
        <w:t>(2) Department of Electrical, Electronic and Information Engineering "Guglielmo Marconi" (DEI), University of Bologna, Italy. (3) Division of Radiology, University of Torino, Italy. (4) Medizinische Klinik und Poliklinik IV, Klinikum der Universität, Ludwig-Maximilians-Universität München, Munich, Germany.</w:t>
      </w:r>
    </w:p>
    <w:p w14:paraId="6299212E" w14:textId="77777777" w:rsidR="007E53EE" w:rsidRDefault="007E53EE" w:rsidP="00722C7B">
      <w:pPr>
        <w:pStyle w:val="Corpo"/>
        <w:jc w:val="both"/>
        <w:rPr>
          <w:rFonts w:hAnsi="Times New Roman" w:cs="Times New Roman"/>
        </w:rPr>
      </w:pPr>
    </w:p>
    <w:p w14:paraId="279AC717" w14:textId="3CF0A07C" w:rsidR="007E53EE" w:rsidRDefault="007E53EE" w:rsidP="00722C7B">
      <w:pPr>
        <w:pStyle w:val="Corpo"/>
        <w:jc w:val="both"/>
        <w:rPr>
          <w:rFonts w:hAnsi="Times New Roman" w:cs="Times New Roman"/>
        </w:rPr>
      </w:pPr>
      <w:r>
        <w:rPr>
          <w:rFonts w:hAnsi="Times New Roman" w:cs="Times New Roman"/>
        </w:rPr>
        <w:t>* Contributed equally and should be considered as join first authors.</w:t>
      </w:r>
    </w:p>
    <w:p w14:paraId="76497D46" w14:textId="7C57EA86" w:rsidR="0084484D" w:rsidRDefault="0084484D" w:rsidP="00722C7B">
      <w:pPr>
        <w:pStyle w:val="Corpo"/>
        <w:jc w:val="both"/>
        <w:rPr>
          <w:rFonts w:hAnsi="Times New Roman" w:cs="Times New Roman"/>
        </w:rPr>
      </w:pPr>
      <w:r w:rsidRPr="00D21A21">
        <w:rPr>
          <w:rFonts w:hAnsi="Times New Roman" w:cs="Times New Roman"/>
          <w:vertAlign w:val="superscript"/>
        </w:rPr>
        <w:t>#</w:t>
      </w:r>
      <w:r>
        <w:rPr>
          <w:rFonts w:hAnsi="Times New Roman" w:cs="Times New Roman"/>
        </w:rPr>
        <w:t xml:space="preserve"> Contributed equally and should be considered as joint last authors.</w:t>
      </w:r>
    </w:p>
    <w:p w14:paraId="304F0CCF" w14:textId="47F4768F" w:rsidR="00B86482" w:rsidRDefault="00B86482" w:rsidP="00722C7B">
      <w:pPr>
        <w:pStyle w:val="Corpo"/>
        <w:jc w:val="both"/>
        <w:rPr>
          <w:rFonts w:hAnsi="Times New Roman" w:cs="Times New Roman"/>
          <w:vertAlign w:val="superscript"/>
        </w:rPr>
      </w:pPr>
      <w:bookmarkStart w:id="1" w:name="_GoBack"/>
      <w:bookmarkEnd w:id="1"/>
    </w:p>
    <w:p w14:paraId="08752079" w14:textId="77777777" w:rsidR="00E33B15" w:rsidRDefault="00E33B15" w:rsidP="00722C7B">
      <w:pPr>
        <w:pStyle w:val="Corpo"/>
        <w:jc w:val="both"/>
        <w:rPr>
          <w:rFonts w:hAnsi="Times New Roman" w:cs="Times New Roman"/>
        </w:rPr>
      </w:pPr>
    </w:p>
    <w:p w14:paraId="77D48DFA" w14:textId="77777777" w:rsidR="007E53EE" w:rsidRPr="00B20357" w:rsidRDefault="007E53EE" w:rsidP="007E53EE">
      <w:pPr>
        <w:pStyle w:val="Corpo"/>
        <w:spacing w:line="480" w:lineRule="auto"/>
        <w:jc w:val="both"/>
        <w:rPr>
          <w:rFonts w:hAnsi="Times New Roman" w:cs="Times New Roman"/>
        </w:rPr>
      </w:pPr>
    </w:p>
    <w:bookmarkEnd w:id="0"/>
    <w:p w14:paraId="57EA2F68" w14:textId="77777777" w:rsidR="004D5FFA" w:rsidRDefault="004D5FFA" w:rsidP="00D17FC6">
      <w:pPr>
        <w:pStyle w:val="Corpo"/>
        <w:tabs>
          <w:tab w:val="left" w:pos="5529"/>
        </w:tabs>
        <w:spacing w:line="480" w:lineRule="auto"/>
        <w:jc w:val="both"/>
        <w:outlineLvl w:val="0"/>
        <w:rPr>
          <w:rFonts w:hAnsi="Times New Roman" w:cs="Times New Roman"/>
          <w:b/>
          <w:bCs/>
          <w:iCs/>
        </w:rPr>
      </w:pPr>
    </w:p>
    <w:p w14:paraId="71415514" w14:textId="77777777" w:rsidR="00722C7B" w:rsidRDefault="00722C7B" w:rsidP="00D17FC6">
      <w:pPr>
        <w:pStyle w:val="Corpo"/>
        <w:tabs>
          <w:tab w:val="left" w:pos="5529"/>
        </w:tabs>
        <w:spacing w:line="480" w:lineRule="auto"/>
        <w:jc w:val="both"/>
        <w:outlineLvl w:val="0"/>
        <w:rPr>
          <w:rFonts w:hAnsi="Times New Roman" w:cs="Times New Roman"/>
          <w:b/>
          <w:bCs/>
          <w:iCs/>
        </w:rPr>
      </w:pPr>
    </w:p>
    <w:p w14:paraId="62F4CBFE" w14:textId="58B876B4" w:rsidR="00722C7B" w:rsidRDefault="00722C7B" w:rsidP="00D17FC6">
      <w:pPr>
        <w:pStyle w:val="Corpo"/>
        <w:tabs>
          <w:tab w:val="left" w:pos="5529"/>
        </w:tabs>
        <w:spacing w:line="480" w:lineRule="auto"/>
        <w:jc w:val="both"/>
        <w:outlineLvl w:val="0"/>
        <w:rPr>
          <w:rFonts w:hAnsi="Times New Roman" w:cs="Times New Roman"/>
          <w:b/>
          <w:bCs/>
          <w:iCs/>
        </w:rPr>
      </w:pPr>
    </w:p>
    <w:p w14:paraId="6D5B83D3" w14:textId="77777777" w:rsidR="00722C7B" w:rsidRDefault="00722C7B" w:rsidP="00D17FC6">
      <w:pPr>
        <w:pStyle w:val="Corpo"/>
        <w:tabs>
          <w:tab w:val="left" w:pos="5529"/>
        </w:tabs>
        <w:spacing w:line="480" w:lineRule="auto"/>
        <w:jc w:val="both"/>
        <w:outlineLvl w:val="0"/>
        <w:rPr>
          <w:rFonts w:hAnsi="Times New Roman" w:cs="Times New Roman"/>
          <w:b/>
          <w:bCs/>
          <w:iCs/>
        </w:rPr>
      </w:pPr>
    </w:p>
    <w:p w14:paraId="40BBC316" w14:textId="77777777" w:rsidR="00722C7B" w:rsidRDefault="00722C7B" w:rsidP="00D17FC6">
      <w:pPr>
        <w:pStyle w:val="Corpo"/>
        <w:tabs>
          <w:tab w:val="left" w:pos="5529"/>
        </w:tabs>
        <w:spacing w:line="480" w:lineRule="auto"/>
        <w:jc w:val="both"/>
        <w:outlineLvl w:val="0"/>
        <w:rPr>
          <w:rFonts w:hAnsi="Times New Roman" w:cs="Times New Roman"/>
          <w:b/>
          <w:bCs/>
          <w:iCs/>
        </w:rPr>
      </w:pPr>
    </w:p>
    <w:p w14:paraId="436A1A61" w14:textId="77777777" w:rsidR="00722C7B" w:rsidRDefault="00722C7B" w:rsidP="00D17FC6">
      <w:pPr>
        <w:pStyle w:val="Corpo"/>
        <w:tabs>
          <w:tab w:val="left" w:pos="5529"/>
        </w:tabs>
        <w:spacing w:line="480" w:lineRule="auto"/>
        <w:jc w:val="both"/>
        <w:outlineLvl w:val="0"/>
        <w:rPr>
          <w:rFonts w:hAnsi="Times New Roman" w:cs="Times New Roman"/>
          <w:b/>
          <w:bCs/>
          <w:iCs/>
        </w:rPr>
      </w:pPr>
    </w:p>
    <w:p w14:paraId="742DD295" w14:textId="5882E3C3" w:rsidR="001F024D" w:rsidRDefault="001F024D" w:rsidP="00D17FC6">
      <w:pPr>
        <w:pStyle w:val="Corpo"/>
        <w:tabs>
          <w:tab w:val="left" w:pos="5529"/>
        </w:tabs>
        <w:spacing w:line="480" w:lineRule="auto"/>
        <w:jc w:val="both"/>
        <w:outlineLvl w:val="0"/>
        <w:rPr>
          <w:rFonts w:hAnsi="Times New Roman" w:cs="Times New Roman"/>
          <w:b/>
          <w:bCs/>
          <w:iCs/>
        </w:rPr>
      </w:pPr>
      <w:r>
        <w:rPr>
          <w:rFonts w:hAnsi="Times New Roman" w:cs="Times New Roman"/>
          <w:b/>
          <w:bCs/>
          <w:iCs/>
        </w:rPr>
        <w:t>Summary</w:t>
      </w:r>
    </w:p>
    <w:p w14:paraId="3F70A031" w14:textId="7E93F37A" w:rsidR="003151CB" w:rsidRPr="003722BE" w:rsidRDefault="00BF3AE6" w:rsidP="003151CB">
      <w:pPr>
        <w:pStyle w:val="Corpo"/>
        <w:tabs>
          <w:tab w:val="left" w:pos="5529"/>
        </w:tabs>
        <w:spacing w:line="480" w:lineRule="auto"/>
        <w:jc w:val="both"/>
        <w:outlineLvl w:val="0"/>
        <w:rPr>
          <w:rFonts w:hAnsi="Times New Roman" w:cs="Times New Roman"/>
          <w:bCs/>
          <w:iCs/>
        </w:rPr>
      </w:pPr>
      <w:r>
        <w:rPr>
          <w:rFonts w:hAnsi="Times New Roman" w:cs="Times New Roman"/>
          <w:bCs/>
          <w:iCs/>
        </w:rPr>
        <w:t>Extended</w:t>
      </w:r>
      <w:r w:rsidR="003151CB" w:rsidRPr="003722BE">
        <w:rPr>
          <w:rFonts w:hAnsi="Times New Roman" w:cs="Times New Roman"/>
          <w:bCs/>
          <w:iCs/>
        </w:rPr>
        <w:t xml:space="preserve"> Methods</w:t>
      </w:r>
    </w:p>
    <w:p w14:paraId="2AA014BB" w14:textId="7E4D27A7" w:rsidR="00FF2F03" w:rsidRDefault="00FF2F03" w:rsidP="00BB0578">
      <w:pPr>
        <w:pStyle w:val="Corpo"/>
        <w:tabs>
          <w:tab w:val="left" w:pos="5529"/>
        </w:tabs>
        <w:spacing w:line="480" w:lineRule="auto"/>
        <w:jc w:val="both"/>
        <w:outlineLvl w:val="0"/>
        <w:rPr>
          <w:rFonts w:hAnsi="Times New Roman" w:cs="Times New Roman"/>
          <w:bCs/>
          <w:iCs/>
        </w:rPr>
      </w:pPr>
      <w:r w:rsidRPr="00FF2F03">
        <w:rPr>
          <w:rFonts w:hAnsi="Times New Roman" w:cs="Times New Roman"/>
          <w:bCs/>
          <w:iCs/>
        </w:rPr>
        <w:t xml:space="preserve">Table </w:t>
      </w:r>
      <w:r>
        <w:rPr>
          <w:rFonts w:hAnsi="Times New Roman" w:cs="Times New Roman"/>
          <w:bCs/>
          <w:iCs/>
        </w:rPr>
        <w:t>S</w:t>
      </w:r>
      <w:r w:rsidRPr="00FF2F03">
        <w:rPr>
          <w:rFonts w:hAnsi="Times New Roman" w:cs="Times New Roman"/>
          <w:bCs/>
          <w:iCs/>
        </w:rPr>
        <w:t>1</w:t>
      </w:r>
      <w:r w:rsidR="00143E58">
        <w:rPr>
          <w:rFonts w:hAnsi="Times New Roman" w:cs="Times New Roman"/>
          <w:bCs/>
          <w:iCs/>
        </w:rPr>
        <w:t>.</w:t>
      </w:r>
      <w:r w:rsidRPr="00FF2F03">
        <w:rPr>
          <w:rFonts w:hAnsi="Times New Roman" w:cs="Times New Roman"/>
          <w:bCs/>
          <w:iCs/>
        </w:rPr>
        <w:t xml:space="preserve"> Patient Characteristics of Study Cohort</w:t>
      </w:r>
      <w:r>
        <w:rPr>
          <w:rFonts w:hAnsi="Times New Roman" w:cs="Times New Roman"/>
          <w:bCs/>
          <w:iCs/>
        </w:rPr>
        <w:t xml:space="preserve">: </w:t>
      </w:r>
      <w:r w:rsidR="002436BA">
        <w:rPr>
          <w:rFonts w:hAnsi="Times New Roman" w:cs="Times New Roman"/>
          <w:bCs/>
          <w:iCs/>
        </w:rPr>
        <w:t>U</w:t>
      </w:r>
      <w:r>
        <w:rPr>
          <w:rFonts w:hAnsi="Times New Roman" w:cs="Times New Roman"/>
          <w:bCs/>
          <w:iCs/>
        </w:rPr>
        <w:t xml:space="preserve">nivariate </w:t>
      </w:r>
      <w:r w:rsidR="002436BA">
        <w:rPr>
          <w:rFonts w:hAnsi="Times New Roman" w:cs="Times New Roman"/>
          <w:bCs/>
          <w:iCs/>
        </w:rPr>
        <w:t>A</w:t>
      </w:r>
      <w:r>
        <w:rPr>
          <w:rFonts w:hAnsi="Times New Roman" w:cs="Times New Roman"/>
          <w:bCs/>
          <w:iCs/>
        </w:rPr>
        <w:t>nalysis</w:t>
      </w:r>
    </w:p>
    <w:p w14:paraId="5C91A460" w14:textId="25927156" w:rsidR="002436BA" w:rsidRDefault="002436BA" w:rsidP="00BB0578">
      <w:pPr>
        <w:pStyle w:val="Corpo"/>
        <w:tabs>
          <w:tab w:val="left" w:pos="5529"/>
        </w:tabs>
        <w:spacing w:line="480" w:lineRule="auto"/>
        <w:jc w:val="both"/>
        <w:outlineLvl w:val="0"/>
        <w:rPr>
          <w:rFonts w:hAnsi="Times New Roman" w:cs="Times New Roman"/>
          <w:bCs/>
          <w:iCs/>
        </w:rPr>
      </w:pPr>
      <w:r w:rsidRPr="002436BA">
        <w:rPr>
          <w:rFonts w:hAnsi="Times New Roman" w:cs="Times New Roman"/>
          <w:bCs/>
          <w:iCs/>
        </w:rPr>
        <w:t>Table S2</w:t>
      </w:r>
      <w:r w:rsidR="00143E58">
        <w:rPr>
          <w:rFonts w:hAnsi="Times New Roman" w:cs="Times New Roman"/>
          <w:bCs/>
          <w:iCs/>
        </w:rPr>
        <w:t>.</w:t>
      </w:r>
      <w:r w:rsidRPr="002436BA">
        <w:rPr>
          <w:rFonts w:hAnsi="Times New Roman" w:cs="Times New Roman"/>
          <w:bCs/>
          <w:iCs/>
        </w:rPr>
        <w:t xml:space="preserve"> </w:t>
      </w:r>
      <w:r w:rsidR="0048638A">
        <w:rPr>
          <w:rFonts w:hAnsi="Times New Roman" w:cs="Times New Roman"/>
          <w:bCs/>
          <w:iCs/>
        </w:rPr>
        <w:t>LDA coefficients for the prediction of subtype diagnosis</w:t>
      </w:r>
    </w:p>
    <w:p w14:paraId="7B0555FE" w14:textId="72A7C2F9" w:rsidR="00516CD9" w:rsidRDefault="00516CD9" w:rsidP="00BB0578">
      <w:pPr>
        <w:pStyle w:val="Corpo"/>
        <w:tabs>
          <w:tab w:val="left" w:pos="5529"/>
        </w:tabs>
        <w:spacing w:line="480" w:lineRule="auto"/>
        <w:jc w:val="both"/>
        <w:outlineLvl w:val="0"/>
        <w:rPr>
          <w:rFonts w:hAnsi="Times New Roman" w:cs="Times New Roman"/>
          <w:bCs/>
          <w:iCs/>
        </w:rPr>
      </w:pPr>
      <w:r w:rsidRPr="00516CD9">
        <w:rPr>
          <w:rFonts w:hAnsi="Times New Roman" w:cs="Times New Roman"/>
          <w:bCs/>
          <w:iCs/>
        </w:rPr>
        <w:t>Table S</w:t>
      </w:r>
      <w:r w:rsidR="00F60803">
        <w:rPr>
          <w:rFonts w:hAnsi="Times New Roman" w:cs="Times New Roman"/>
          <w:bCs/>
          <w:iCs/>
        </w:rPr>
        <w:t>3</w:t>
      </w:r>
      <w:r w:rsidR="00143E58">
        <w:rPr>
          <w:rFonts w:hAnsi="Times New Roman" w:cs="Times New Roman"/>
          <w:bCs/>
          <w:iCs/>
        </w:rPr>
        <w:t>.</w:t>
      </w:r>
      <w:r w:rsidRPr="00516CD9">
        <w:rPr>
          <w:rFonts w:hAnsi="Times New Roman" w:cs="Times New Roman"/>
          <w:bCs/>
          <w:iCs/>
        </w:rPr>
        <w:t xml:space="preserve"> </w:t>
      </w:r>
      <w:r w:rsidR="009B11C2" w:rsidRPr="002436BA">
        <w:rPr>
          <w:rFonts w:hAnsi="Times New Roman" w:cs="Times New Roman"/>
          <w:bCs/>
          <w:iCs/>
        </w:rPr>
        <w:t>Patient Characteristics of Study Cohort</w:t>
      </w:r>
      <w:r w:rsidR="009B11C2">
        <w:rPr>
          <w:rFonts w:hAnsi="Times New Roman" w:cs="Times New Roman"/>
          <w:bCs/>
          <w:iCs/>
        </w:rPr>
        <w:t>: Combined vs. Training vs. Validation cohort</w:t>
      </w:r>
    </w:p>
    <w:p w14:paraId="14AAD18F" w14:textId="43789011" w:rsidR="0043115A" w:rsidRDefault="0043115A" w:rsidP="0043115A">
      <w:pPr>
        <w:pStyle w:val="Corpo"/>
        <w:tabs>
          <w:tab w:val="left" w:pos="5529"/>
        </w:tabs>
        <w:spacing w:line="480" w:lineRule="auto"/>
        <w:jc w:val="both"/>
        <w:outlineLvl w:val="0"/>
        <w:rPr>
          <w:rFonts w:hAnsi="Times New Roman" w:cs="Times New Roman"/>
          <w:bCs/>
          <w:iCs/>
        </w:rPr>
      </w:pPr>
      <w:r w:rsidRPr="00516CD9">
        <w:rPr>
          <w:rFonts w:hAnsi="Times New Roman" w:cs="Times New Roman"/>
          <w:bCs/>
          <w:iCs/>
        </w:rPr>
        <w:t>Table S</w:t>
      </w:r>
      <w:r w:rsidR="00F60803">
        <w:rPr>
          <w:rFonts w:hAnsi="Times New Roman" w:cs="Times New Roman"/>
          <w:bCs/>
          <w:iCs/>
        </w:rPr>
        <w:t>4</w:t>
      </w:r>
      <w:r w:rsidR="00143E58">
        <w:rPr>
          <w:rFonts w:hAnsi="Times New Roman" w:cs="Times New Roman"/>
          <w:bCs/>
          <w:iCs/>
        </w:rPr>
        <w:t>.</w:t>
      </w:r>
      <w:r w:rsidRPr="00516CD9">
        <w:rPr>
          <w:rFonts w:hAnsi="Times New Roman" w:cs="Times New Roman"/>
          <w:bCs/>
          <w:iCs/>
        </w:rPr>
        <w:t xml:space="preserve"> Score development and validation</w:t>
      </w:r>
      <w:r>
        <w:rPr>
          <w:rFonts w:hAnsi="Times New Roman" w:cs="Times New Roman"/>
          <w:bCs/>
          <w:iCs/>
        </w:rPr>
        <w:t>: optimization of sensitivity and specificity</w:t>
      </w:r>
    </w:p>
    <w:p w14:paraId="1D1F7CBE" w14:textId="49796853" w:rsidR="009B11C2" w:rsidRDefault="009B11C2" w:rsidP="0043115A">
      <w:pPr>
        <w:pStyle w:val="Corpo"/>
        <w:tabs>
          <w:tab w:val="left" w:pos="5529"/>
        </w:tabs>
        <w:spacing w:line="480" w:lineRule="auto"/>
        <w:jc w:val="both"/>
        <w:outlineLvl w:val="0"/>
        <w:rPr>
          <w:rFonts w:hAnsi="Times New Roman" w:cs="Times New Roman"/>
          <w:bCs/>
          <w:iCs/>
        </w:rPr>
      </w:pPr>
      <w:r w:rsidRPr="009B11C2">
        <w:rPr>
          <w:rFonts w:hAnsi="Times New Roman" w:cs="Times New Roman"/>
          <w:bCs/>
          <w:iCs/>
        </w:rPr>
        <w:t>Table S</w:t>
      </w:r>
      <w:r w:rsidR="00F60803">
        <w:rPr>
          <w:rFonts w:hAnsi="Times New Roman" w:cs="Times New Roman"/>
          <w:bCs/>
          <w:iCs/>
        </w:rPr>
        <w:t>5</w:t>
      </w:r>
      <w:r w:rsidR="00143E58">
        <w:rPr>
          <w:rFonts w:hAnsi="Times New Roman" w:cs="Times New Roman"/>
          <w:bCs/>
          <w:iCs/>
        </w:rPr>
        <w:t>.</w:t>
      </w:r>
      <w:r w:rsidRPr="009B11C2">
        <w:rPr>
          <w:rFonts w:hAnsi="Times New Roman" w:cs="Times New Roman"/>
          <w:bCs/>
          <w:iCs/>
        </w:rPr>
        <w:t xml:space="preserve"> </w:t>
      </w:r>
      <w:r w:rsidR="00B17529" w:rsidRPr="00B17529">
        <w:rPr>
          <w:rFonts w:hAnsi="Times New Roman" w:cs="Times New Roman"/>
          <w:bCs/>
          <w:iCs/>
        </w:rPr>
        <w:t xml:space="preserve">Distribution of PA patients according to </w:t>
      </w:r>
      <w:r w:rsidR="00BA01BD">
        <w:rPr>
          <w:rFonts w:hAnsi="Times New Roman" w:cs="Times New Roman"/>
          <w:bCs/>
          <w:iCs/>
        </w:rPr>
        <w:t>the</w:t>
      </w:r>
      <w:r w:rsidR="00B17529" w:rsidRPr="00B17529">
        <w:rPr>
          <w:rFonts w:hAnsi="Times New Roman" w:cs="Times New Roman"/>
          <w:bCs/>
          <w:iCs/>
        </w:rPr>
        <w:t xml:space="preserve"> score</w:t>
      </w:r>
    </w:p>
    <w:p w14:paraId="188B1B14" w14:textId="63ED1A29" w:rsidR="007B7712" w:rsidRPr="009E57C5" w:rsidRDefault="009E57C5" w:rsidP="00D17FC6">
      <w:pPr>
        <w:pStyle w:val="Corpo"/>
        <w:tabs>
          <w:tab w:val="left" w:pos="5529"/>
        </w:tabs>
        <w:spacing w:line="480" w:lineRule="auto"/>
        <w:jc w:val="both"/>
        <w:outlineLvl w:val="0"/>
        <w:rPr>
          <w:rFonts w:hAnsi="Times New Roman" w:cs="Times New Roman"/>
        </w:rPr>
      </w:pPr>
      <w:r w:rsidRPr="009E57C5">
        <w:rPr>
          <w:rFonts w:hAnsi="Times New Roman" w:cs="Times New Roman"/>
        </w:rPr>
        <w:t>Table S6. Previously proposed score-systems</w:t>
      </w:r>
    </w:p>
    <w:p w14:paraId="63B087C2" w14:textId="77777777" w:rsidR="008E2F97" w:rsidRDefault="008E2F97">
      <w:pPr>
        <w:rPr>
          <w:rFonts w:eastAsia="Arial Unicode MS"/>
          <w:b/>
          <w:bCs/>
          <w:i/>
          <w:iCs/>
          <w:color w:val="000000"/>
          <w:u w:color="000000"/>
          <w:bdr w:val="nil"/>
          <w:lang w:val="en-US" w:eastAsia="en-US"/>
        </w:rPr>
      </w:pPr>
      <w:r w:rsidRPr="00CE7877">
        <w:rPr>
          <w:b/>
          <w:bCs/>
          <w:i/>
          <w:iCs/>
          <w:lang w:val="en-US"/>
        </w:rPr>
        <w:br w:type="page"/>
      </w:r>
    </w:p>
    <w:p w14:paraId="16CA35CC" w14:textId="2196611C" w:rsidR="0089621A" w:rsidRDefault="00BF3AE6" w:rsidP="00F4550C">
      <w:pPr>
        <w:pStyle w:val="Corpo"/>
        <w:jc w:val="both"/>
        <w:rPr>
          <w:rFonts w:hAnsi="Times New Roman" w:cs="Times New Roman"/>
          <w:b/>
          <w:bCs/>
          <w:i/>
          <w:iCs/>
        </w:rPr>
      </w:pPr>
      <w:r>
        <w:rPr>
          <w:rFonts w:hAnsi="Times New Roman" w:cs="Times New Roman"/>
          <w:b/>
          <w:bCs/>
          <w:i/>
          <w:iCs/>
        </w:rPr>
        <w:lastRenderedPageBreak/>
        <w:t>Extended</w:t>
      </w:r>
      <w:r w:rsidR="0089621A">
        <w:rPr>
          <w:rFonts w:hAnsi="Times New Roman" w:cs="Times New Roman"/>
          <w:b/>
          <w:bCs/>
          <w:i/>
          <w:iCs/>
        </w:rPr>
        <w:t xml:space="preserve"> Methods</w:t>
      </w:r>
    </w:p>
    <w:p w14:paraId="21182293" w14:textId="77777777" w:rsidR="00F4550C" w:rsidRPr="00F4550C" w:rsidRDefault="00F4550C" w:rsidP="00F4550C">
      <w:pPr>
        <w:pStyle w:val="Corpo"/>
        <w:jc w:val="both"/>
        <w:rPr>
          <w:rFonts w:hAnsi="Times New Roman" w:cs="Times New Roman"/>
          <w:b/>
          <w:bCs/>
          <w:i/>
          <w:iCs/>
        </w:rPr>
      </w:pPr>
    </w:p>
    <w:p w14:paraId="6BC58258" w14:textId="377D618E" w:rsidR="004D5FFA" w:rsidRPr="00F4550C" w:rsidRDefault="009A12A9" w:rsidP="00F4550C">
      <w:pPr>
        <w:pStyle w:val="Corpo"/>
        <w:tabs>
          <w:tab w:val="left" w:pos="5529"/>
        </w:tabs>
        <w:jc w:val="both"/>
        <w:rPr>
          <w:rFonts w:hAnsi="Times New Roman" w:cs="Times New Roman"/>
          <w:i/>
          <w:u w:val="single"/>
        </w:rPr>
      </w:pPr>
      <w:r w:rsidRPr="00F4550C">
        <w:rPr>
          <w:rFonts w:hAnsi="Times New Roman" w:cs="Times New Roman"/>
          <w:i/>
          <w:u w:val="single"/>
        </w:rPr>
        <w:t>Diagnosis of Primary Aldosteronism</w:t>
      </w:r>
    </w:p>
    <w:p w14:paraId="0EA52DC9" w14:textId="664F338B" w:rsidR="00D3758B" w:rsidRPr="00F4550C" w:rsidRDefault="00D3758B" w:rsidP="00F4550C">
      <w:pPr>
        <w:pStyle w:val="Corpo"/>
        <w:tabs>
          <w:tab w:val="left" w:pos="5529"/>
        </w:tabs>
        <w:jc w:val="both"/>
        <w:rPr>
          <w:rFonts w:hAnsi="Times New Roman" w:cs="Times New Roman"/>
        </w:rPr>
      </w:pPr>
      <w:r w:rsidRPr="00F4550C">
        <w:rPr>
          <w:rFonts w:hAnsi="Times New Roman" w:cs="Times New Roman"/>
        </w:rPr>
        <w:t>P</w:t>
      </w:r>
      <w:r w:rsidR="009D24BD">
        <w:rPr>
          <w:rFonts w:hAnsi="Times New Roman" w:cs="Times New Roman"/>
        </w:rPr>
        <w:t>rimary aldosteronism (PA)</w:t>
      </w:r>
      <w:r w:rsidRPr="00F4550C">
        <w:rPr>
          <w:rFonts w:hAnsi="Times New Roman" w:cs="Times New Roman"/>
        </w:rPr>
        <w:t xml:space="preserve"> was diagnosed in agreement with the Endocrine Society guideline [</w:t>
      </w:r>
      <w:r w:rsidR="006E4E9D">
        <w:rPr>
          <w:rFonts w:hAnsi="Times New Roman" w:cs="Times New Roman"/>
        </w:rPr>
        <w:t>1</w:t>
      </w:r>
      <w:r w:rsidRPr="00F4550C">
        <w:rPr>
          <w:rFonts w:hAnsi="Times New Roman" w:cs="Times New Roman"/>
        </w:rPr>
        <w:t xml:space="preserve">]. </w:t>
      </w:r>
      <w:r w:rsidR="008F5BE8" w:rsidRPr="00F4550C">
        <w:rPr>
          <w:rFonts w:hAnsi="Times New Roman" w:cs="Times New Roman"/>
        </w:rPr>
        <w:t xml:space="preserve">Patients were screened using the aldosterone concentration (AC) to plasma renin activity (PRA) ratio (ARR). If possible, all interfering drugs were </w:t>
      </w:r>
      <w:r w:rsidR="008F5BE8" w:rsidRPr="004974DD">
        <w:rPr>
          <w:rFonts w:hAnsi="Times New Roman" w:cs="Times New Roman"/>
        </w:rPr>
        <w:t xml:space="preserve">withdrawn for at least 4 weeks (6 weeks for diuretics and mineralocorticoid receptor antagonists). Calcium-channel blockers and/or doxazosin were used to control blood pressure when the withdrawal of </w:t>
      </w:r>
      <w:r w:rsidR="003173A4" w:rsidRPr="004974DD">
        <w:rPr>
          <w:rFonts w:hAnsi="Times New Roman" w:cs="Times New Roman"/>
        </w:rPr>
        <w:t xml:space="preserve">all antihypertensive drugs was not possible. </w:t>
      </w:r>
      <w:r w:rsidRPr="004974DD">
        <w:rPr>
          <w:rFonts w:hAnsi="Times New Roman" w:cs="Times New Roman"/>
        </w:rPr>
        <w:t>An ARR greater than 3</w:t>
      </w:r>
      <w:r w:rsidR="003173A4" w:rsidRPr="004974DD">
        <w:rPr>
          <w:rFonts w:hAnsi="Times New Roman" w:cs="Times New Roman"/>
        </w:rPr>
        <w:t>0</w:t>
      </w:r>
      <w:r w:rsidRPr="004974DD">
        <w:rPr>
          <w:rFonts w:hAnsi="Times New Roman" w:cs="Times New Roman"/>
        </w:rPr>
        <w:t xml:space="preserve"> </w:t>
      </w:r>
      <w:r w:rsidR="00B348B3" w:rsidRPr="004974DD">
        <w:rPr>
          <w:rFonts w:hAnsi="Times New Roman" w:cs="Times New Roman"/>
        </w:rPr>
        <w:t>n</w:t>
      </w:r>
      <w:r w:rsidRPr="004974DD">
        <w:rPr>
          <w:rFonts w:hAnsi="Times New Roman" w:cs="Times New Roman"/>
        </w:rPr>
        <w:t>g/</w:t>
      </w:r>
      <w:r w:rsidR="00B348B3" w:rsidRPr="004974DD">
        <w:rPr>
          <w:rFonts w:hAnsi="Times New Roman" w:cs="Times New Roman"/>
        </w:rPr>
        <w:t>d</w:t>
      </w:r>
      <w:r w:rsidRPr="004974DD">
        <w:rPr>
          <w:rFonts w:hAnsi="Times New Roman" w:cs="Times New Roman"/>
        </w:rPr>
        <w:t>L/ng*mL</w:t>
      </w:r>
      <w:r w:rsidRPr="004974DD">
        <w:rPr>
          <w:rFonts w:hAnsi="Times New Roman" w:cs="Times New Roman"/>
          <w:vertAlign w:val="superscript"/>
        </w:rPr>
        <w:t>-1</w:t>
      </w:r>
      <w:r w:rsidRPr="004974DD">
        <w:rPr>
          <w:rFonts w:hAnsi="Times New Roman" w:cs="Times New Roman"/>
        </w:rPr>
        <w:t>*h</w:t>
      </w:r>
      <w:r w:rsidRPr="004974DD">
        <w:rPr>
          <w:rFonts w:hAnsi="Times New Roman" w:cs="Times New Roman"/>
          <w:vertAlign w:val="superscript"/>
        </w:rPr>
        <w:t>-1</w:t>
      </w:r>
      <w:r w:rsidRPr="004974DD">
        <w:rPr>
          <w:rFonts w:hAnsi="Times New Roman" w:cs="Times New Roman"/>
        </w:rPr>
        <w:t xml:space="preserve"> together with an </w:t>
      </w:r>
      <w:r w:rsidR="003173A4" w:rsidRPr="004974DD">
        <w:rPr>
          <w:rFonts w:hAnsi="Times New Roman" w:cs="Times New Roman"/>
        </w:rPr>
        <w:t>AC</w:t>
      </w:r>
      <w:r w:rsidRPr="004974DD">
        <w:rPr>
          <w:rFonts w:hAnsi="Times New Roman" w:cs="Times New Roman"/>
        </w:rPr>
        <w:t xml:space="preserve"> greater than 10 </w:t>
      </w:r>
      <w:r w:rsidR="00B348B3" w:rsidRPr="004974DD">
        <w:rPr>
          <w:rFonts w:hAnsi="Times New Roman" w:cs="Times New Roman"/>
        </w:rPr>
        <w:t>n</w:t>
      </w:r>
      <w:r w:rsidRPr="004974DD">
        <w:rPr>
          <w:rFonts w:hAnsi="Times New Roman" w:cs="Times New Roman"/>
        </w:rPr>
        <w:t>g/</w:t>
      </w:r>
      <w:r w:rsidR="00B348B3" w:rsidRPr="004974DD">
        <w:rPr>
          <w:rFonts w:hAnsi="Times New Roman" w:cs="Times New Roman"/>
        </w:rPr>
        <w:t>d</w:t>
      </w:r>
      <w:r w:rsidRPr="004974DD">
        <w:rPr>
          <w:rFonts w:hAnsi="Times New Roman" w:cs="Times New Roman"/>
        </w:rPr>
        <w:t xml:space="preserve">L were considered </w:t>
      </w:r>
      <w:r w:rsidR="003173A4" w:rsidRPr="004974DD">
        <w:rPr>
          <w:rFonts w:hAnsi="Times New Roman" w:cs="Times New Roman"/>
        </w:rPr>
        <w:t xml:space="preserve">as cut-off </w:t>
      </w:r>
      <w:r w:rsidRPr="004974DD">
        <w:rPr>
          <w:rFonts w:hAnsi="Times New Roman" w:cs="Times New Roman"/>
        </w:rPr>
        <w:t>for a positive screening test</w:t>
      </w:r>
      <w:r w:rsidR="003173A4" w:rsidRPr="004974DD">
        <w:rPr>
          <w:rFonts w:hAnsi="Times New Roman" w:cs="Times New Roman"/>
        </w:rPr>
        <w:t>.</w:t>
      </w:r>
      <w:r w:rsidRPr="004974DD">
        <w:rPr>
          <w:rFonts w:hAnsi="Times New Roman" w:cs="Times New Roman"/>
        </w:rPr>
        <w:t xml:space="preserve"> </w:t>
      </w:r>
      <w:r w:rsidR="003173A4" w:rsidRPr="004974DD">
        <w:rPr>
          <w:rFonts w:hAnsi="Times New Roman" w:cs="Times New Roman"/>
        </w:rPr>
        <w:t xml:space="preserve">The diagnosis of PA was confirmed by either </w:t>
      </w:r>
      <w:r w:rsidRPr="004974DD">
        <w:rPr>
          <w:rFonts w:hAnsi="Times New Roman" w:cs="Times New Roman"/>
        </w:rPr>
        <w:t>intravenous saline loading test or a captopril challenge test, as previously described [</w:t>
      </w:r>
      <w:r w:rsidR="006F3ED3" w:rsidRPr="004974DD">
        <w:rPr>
          <w:rFonts w:hAnsi="Times New Roman" w:cs="Times New Roman"/>
        </w:rPr>
        <w:t>2</w:t>
      </w:r>
      <w:r w:rsidRPr="004974DD">
        <w:rPr>
          <w:rFonts w:hAnsi="Times New Roman" w:cs="Times New Roman"/>
        </w:rPr>
        <w:t>]. Intravenous saline loading test was performed in recumbent position until April 2014, and in seated position from that moment forward</w:t>
      </w:r>
      <w:r w:rsidR="008D5B8E" w:rsidRPr="004974DD">
        <w:rPr>
          <w:rFonts w:hAnsi="Times New Roman" w:cs="Times New Roman"/>
        </w:rPr>
        <w:t xml:space="preserve"> [</w:t>
      </w:r>
      <w:r w:rsidR="006F3ED3" w:rsidRPr="004974DD">
        <w:rPr>
          <w:rFonts w:hAnsi="Times New Roman" w:cs="Times New Roman"/>
        </w:rPr>
        <w:t>3</w:t>
      </w:r>
      <w:r w:rsidR="008D5B8E" w:rsidRPr="004974DD">
        <w:rPr>
          <w:rFonts w:hAnsi="Times New Roman" w:cs="Times New Roman"/>
        </w:rPr>
        <w:t>]</w:t>
      </w:r>
      <w:r w:rsidR="003173A4" w:rsidRPr="004974DD">
        <w:rPr>
          <w:rFonts w:hAnsi="Times New Roman" w:cs="Times New Roman"/>
        </w:rPr>
        <w:t xml:space="preserve">; the cut-off chosen for PA confirmation was a post-test AC greater than 5 </w:t>
      </w:r>
      <w:r w:rsidR="00B348B3" w:rsidRPr="004974DD">
        <w:rPr>
          <w:rFonts w:hAnsi="Times New Roman" w:cs="Times New Roman"/>
        </w:rPr>
        <w:t>n</w:t>
      </w:r>
      <w:r w:rsidR="003173A4" w:rsidRPr="004974DD">
        <w:rPr>
          <w:rFonts w:hAnsi="Times New Roman" w:cs="Times New Roman"/>
        </w:rPr>
        <w:t>g/</w:t>
      </w:r>
      <w:r w:rsidR="00B348B3" w:rsidRPr="004974DD">
        <w:rPr>
          <w:rFonts w:hAnsi="Times New Roman" w:cs="Times New Roman"/>
        </w:rPr>
        <w:t>d</w:t>
      </w:r>
      <w:r w:rsidR="003173A4" w:rsidRPr="004974DD">
        <w:rPr>
          <w:rFonts w:hAnsi="Times New Roman" w:cs="Times New Roman"/>
        </w:rPr>
        <w:t>L</w:t>
      </w:r>
      <w:r w:rsidRPr="004974DD">
        <w:rPr>
          <w:rFonts w:hAnsi="Times New Roman" w:cs="Times New Roman"/>
        </w:rPr>
        <w:t>.</w:t>
      </w:r>
      <w:r w:rsidR="003173A4" w:rsidRPr="004974DD">
        <w:rPr>
          <w:rFonts w:hAnsi="Times New Roman" w:cs="Times New Roman"/>
        </w:rPr>
        <w:t xml:space="preserve"> The cut-off for a positive captopril challenge test was a post-test ARR greater than 30 </w:t>
      </w:r>
      <w:r w:rsidR="00B348B3" w:rsidRPr="004974DD">
        <w:rPr>
          <w:rFonts w:hAnsi="Times New Roman" w:cs="Times New Roman"/>
        </w:rPr>
        <w:t>n</w:t>
      </w:r>
      <w:r w:rsidR="003173A4" w:rsidRPr="004974DD">
        <w:rPr>
          <w:rFonts w:hAnsi="Times New Roman" w:cs="Times New Roman"/>
        </w:rPr>
        <w:t>g/</w:t>
      </w:r>
      <w:r w:rsidR="00B348B3" w:rsidRPr="004974DD">
        <w:rPr>
          <w:rFonts w:hAnsi="Times New Roman" w:cs="Times New Roman"/>
        </w:rPr>
        <w:t>d</w:t>
      </w:r>
      <w:r w:rsidR="003173A4" w:rsidRPr="004974DD">
        <w:rPr>
          <w:rFonts w:hAnsi="Times New Roman" w:cs="Times New Roman"/>
        </w:rPr>
        <w:t>L/ng*mL</w:t>
      </w:r>
      <w:r w:rsidR="003173A4" w:rsidRPr="004974DD">
        <w:rPr>
          <w:rFonts w:hAnsi="Times New Roman" w:cs="Times New Roman"/>
          <w:vertAlign w:val="superscript"/>
        </w:rPr>
        <w:t>-1</w:t>
      </w:r>
      <w:r w:rsidR="003173A4" w:rsidRPr="004974DD">
        <w:rPr>
          <w:rFonts w:hAnsi="Times New Roman" w:cs="Times New Roman"/>
        </w:rPr>
        <w:t>*h</w:t>
      </w:r>
      <w:r w:rsidR="003173A4" w:rsidRPr="004974DD">
        <w:rPr>
          <w:rFonts w:hAnsi="Times New Roman" w:cs="Times New Roman"/>
          <w:vertAlign w:val="superscript"/>
        </w:rPr>
        <w:t>-1</w:t>
      </w:r>
      <w:r w:rsidR="003173A4" w:rsidRPr="004974DD">
        <w:rPr>
          <w:rFonts w:hAnsi="Times New Roman" w:cs="Times New Roman"/>
        </w:rPr>
        <w:t xml:space="preserve">. </w:t>
      </w:r>
      <w:r w:rsidRPr="004974DD">
        <w:rPr>
          <w:rFonts w:hAnsi="Times New Roman" w:cs="Times New Roman"/>
        </w:rPr>
        <w:t xml:space="preserve">Patients with a confirmed diagnosis of PA underwent subtype differentiation through </w:t>
      </w:r>
      <w:r w:rsidR="002E4D2F" w:rsidRPr="004974DD">
        <w:rPr>
          <w:rFonts w:hAnsi="Times New Roman" w:cs="Times New Roman"/>
        </w:rPr>
        <w:t>computed tomography (CT)</w:t>
      </w:r>
      <w:r w:rsidRPr="004974DD">
        <w:rPr>
          <w:rFonts w:hAnsi="Times New Roman" w:cs="Times New Roman"/>
        </w:rPr>
        <w:t xml:space="preserve"> scanning and </w:t>
      </w:r>
      <w:r w:rsidR="002E4D2F" w:rsidRPr="004974DD">
        <w:rPr>
          <w:rFonts w:hAnsi="Times New Roman" w:cs="Times New Roman"/>
        </w:rPr>
        <w:t>A</w:t>
      </w:r>
      <w:r w:rsidR="00B865A8" w:rsidRPr="004974DD">
        <w:rPr>
          <w:rFonts w:hAnsi="Times New Roman" w:cs="Times New Roman"/>
        </w:rPr>
        <w:t>V</w:t>
      </w:r>
      <w:r w:rsidR="002E4D2F" w:rsidRPr="004974DD">
        <w:rPr>
          <w:rFonts w:hAnsi="Times New Roman" w:cs="Times New Roman"/>
        </w:rPr>
        <w:t>S</w:t>
      </w:r>
      <w:r w:rsidRPr="004974DD">
        <w:rPr>
          <w:rFonts w:hAnsi="Times New Roman" w:cs="Times New Roman"/>
        </w:rPr>
        <w:t xml:space="preserve">. </w:t>
      </w:r>
      <w:r w:rsidR="00447208" w:rsidRPr="004974DD">
        <w:rPr>
          <w:rFonts w:hAnsi="Times New Roman" w:cs="Times New Roman"/>
        </w:rPr>
        <w:t xml:space="preserve">All patients were screened for </w:t>
      </w:r>
      <w:r w:rsidR="00E24AB3" w:rsidRPr="004974DD">
        <w:rPr>
          <w:rFonts w:hAnsi="Times New Roman" w:cs="Times New Roman"/>
        </w:rPr>
        <w:t xml:space="preserve">glucocorticoid-remediable aldosteronism using long PCR technique.  </w:t>
      </w:r>
      <w:r w:rsidR="003173A4" w:rsidRPr="004974DD">
        <w:rPr>
          <w:rFonts w:hAnsi="Times New Roman" w:cs="Times New Roman"/>
        </w:rPr>
        <w:t>CT scanning with fine cuts was considered pathological in presence of nodules or thickening greater than 4 mm and then</w:t>
      </w:r>
      <w:r w:rsidR="003173A4" w:rsidRPr="00F4550C">
        <w:rPr>
          <w:rFonts w:hAnsi="Times New Roman" w:cs="Times New Roman"/>
        </w:rPr>
        <w:t xml:space="preserve"> classified as bilaterally normal, bilaterally abnormal, or </w:t>
      </w:r>
      <w:r w:rsidR="001B666F">
        <w:rPr>
          <w:rFonts w:hAnsi="Times New Roman" w:cs="Times New Roman"/>
        </w:rPr>
        <w:t>uni</w:t>
      </w:r>
      <w:r w:rsidR="003173A4" w:rsidRPr="00F4550C">
        <w:rPr>
          <w:rFonts w:hAnsi="Times New Roman" w:cs="Times New Roman"/>
        </w:rPr>
        <w:t xml:space="preserve">lateral abnormality. </w:t>
      </w:r>
      <w:r w:rsidR="002E4D2F" w:rsidRPr="00F4550C">
        <w:rPr>
          <w:rFonts w:hAnsi="Times New Roman" w:cs="Times New Roman"/>
        </w:rPr>
        <w:t xml:space="preserve">A nodule was reported in presence of an adrenal mass equal or greater than 8 mm. AVS was performed either with </w:t>
      </w:r>
      <w:r w:rsidR="00C86148" w:rsidRPr="00F4550C">
        <w:rPr>
          <w:rFonts w:hAnsi="Times New Roman" w:cs="Times New Roman"/>
        </w:rPr>
        <w:t>an/</w:t>
      </w:r>
      <w:r w:rsidR="002E4D2F" w:rsidRPr="00F4550C">
        <w:rPr>
          <w:rFonts w:hAnsi="Times New Roman" w:cs="Times New Roman"/>
        </w:rPr>
        <w:t>or without ACTH infusion by the same expert radiologist and was considered successful if the adrenal vein</w:t>
      </w:r>
      <w:r w:rsidR="00E6082B">
        <w:rPr>
          <w:rFonts w:hAnsi="Times New Roman" w:cs="Times New Roman"/>
        </w:rPr>
        <w:t>s</w:t>
      </w:r>
      <w:r w:rsidR="002E4D2F" w:rsidRPr="00F4550C">
        <w:rPr>
          <w:rFonts w:hAnsi="Times New Roman" w:cs="Times New Roman"/>
        </w:rPr>
        <w:t>/inferior vena cava cortisol gradient</w:t>
      </w:r>
      <w:r w:rsidR="00E6082B">
        <w:rPr>
          <w:rFonts w:hAnsi="Times New Roman" w:cs="Times New Roman"/>
        </w:rPr>
        <w:t>s</w:t>
      </w:r>
      <w:r w:rsidR="002E4D2F" w:rsidRPr="00F4550C">
        <w:rPr>
          <w:rFonts w:hAnsi="Times New Roman" w:cs="Times New Roman"/>
        </w:rPr>
        <w:t xml:space="preserve"> w</w:t>
      </w:r>
      <w:r w:rsidR="00E6082B">
        <w:rPr>
          <w:rFonts w:hAnsi="Times New Roman" w:cs="Times New Roman"/>
        </w:rPr>
        <w:t>ere</w:t>
      </w:r>
      <w:r w:rsidR="002E4D2F" w:rsidRPr="00F4550C">
        <w:rPr>
          <w:rFonts w:hAnsi="Times New Roman" w:cs="Times New Roman"/>
        </w:rPr>
        <w:t xml:space="preserve"> at least 3 (selectivity index without ACTH) or 5 (selectivity index with ACTH)</w:t>
      </w:r>
      <w:r w:rsidR="00C86148" w:rsidRPr="00F4550C">
        <w:rPr>
          <w:rFonts w:hAnsi="Times New Roman" w:cs="Times New Roman"/>
        </w:rPr>
        <w:t xml:space="preserve">; lateralization was defined when the aldosterone to cortisol ratio from one adrenal was at least 4 times </w:t>
      </w:r>
      <w:r w:rsidR="00E6082B">
        <w:rPr>
          <w:rFonts w:hAnsi="Times New Roman" w:cs="Times New Roman"/>
        </w:rPr>
        <w:t xml:space="preserve">than </w:t>
      </w:r>
      <w:r w:rsidR="00C86148" w:rsidRPr="00F4550C">
        <w:rPr>
          <w:rFonts w:hAnsi="Times New Roman" w:cs="Times New Roman"/>
        </w:rPr>
        <w:t>the ratio from the other adrenal gland (lateralization index)</w:t>
      </w:r>
      <w:r w:rsidR="00447208" w:rsidRPr="00F4550C">
        <w:rPr>
          <w:rFonts w:hAnsi="Times New Roman" w:cs="Times New Roman"/>
        </w:rPr>
        <w:t xml:space="preserve"> [</w:t>
      </w:r>
      <w:r w:rsidR="00ED69C1">
        <w:rPr>
          <w:rFonts w:hAnsi="Times New Roman" w:cs="Times New Roman"/>
        </w:rPr>
        <w:t>4</w:t>
      </w:r>
      <w:r w:rsidR="00447208" w:rsidRPr="00F4550C">
        <w:rPr>
          <w:rFonts w:hAnsi="Times New Roman" w:cs="Times New Roman"/>
        </w:rPr>
        <w:t>]</w:t>
      </w:r>
      <w:r w:rsidR="00C86148" w:rsidRPr="00F4550C">
        <w:rPr>
          <w:rFonts w:hAnsi="Times New Roman" w:cs="Times New Roman"/>
        </w:rPr>
        <w:t>.</w:t>
      </w:r>
      <w:r w:rsidR="00B865A8">
        <w:rPr>
          <w:rFonts w:hAnsi="Times New Roman" w:cs="Times New Roman"/>
        </w:rPr>
        <w:t xml:space="preserve"> The diagnosis of unilateral PA was confirmed after pathology evaluation and ICH staining for CYP11B2</w:t>
      </w:r>
      <w:r w:rsidR="005334F0">
        <w:rPr>
          <w:rFonts w:hAnsi="Times New Roman" w:cs="Times New Roman"/>
        </w:rPr>
        <w:t xml:space="preserve">; none of the </w:t>
      </w:r>
      <w:r w:rsidR="00D625D5">
        <w:rPr>
          <w:rFonts w:hAnsi="Times New Roman" w:cs="Times New Roman"/>
        </w:rPr>
        <w:t>adrenalectomized</w:t>
      </w:r>
      <w:r w:rsidR="005334F0">
        <w:rPr>
          <w:rFonts w:hAnsi="Times New Roman" w:cs="Times New Roman"/>
        </w:rPr>
        <w:t xml:space="preserve"> patients displayed absent biochemical success after surgery with the PASO criteria</w:t>
      </w:r>
      <w:r w:rsidR="00813DA5">
        <w:rPr>
          <w:rFonts w:hAnsi="Times New Roman" w:cs="Times New Roman"/>
        </w:rPr>
        <w:t xml:space="preserve"> [</w:t>
      </w:r>
      <w:r w:rsidR="00050CED">
        <w:t>5</w:t>
      </w:r>
      <w:r w:rsidR="00813DA5">
        <w:rPr>
          <w:rFonts w:hAnsi="Times New Roman" w:cs="Times New Roman"/>
        </w:rPr>
        <w:t>]</w:t>
      </w:r>
      <w:r w:rsidR="00B865A8">
        <w:rPr>
          <w:rFonts w:hAnsi="Times New Roman" w:cs="Times New Roman"/>
        </w:rPr>
        <w:t>.</w:t>
      </w:r>
    </w:p>
    <w:p w14:paraId="19DED87F" w14:textId="77777777" w:rsidR="00E2520B" w:rsidRPr="00F4550C" w:rsidRDefault="00E2520B" w:rsidP="00F4550C">
      <w:pPr>
        <w:pStyle w:val="Corpo"/>
        <w:tabs>
          <w:tab w:val="left" w:pos="5529"/>
        </w:tabs>
        <w:jc w:val="both"/>
        <w:rPr>
          <w:rFonts w:hAnsi="Times New Roman" w:cs="Times New Roman"/>
          <w:i/>
          <w:u w:val="single"/>
        </w:rPr>
      </w:pPr>
    </w:p>
    <w:p w14:paraId="4123E78D" w14:textId="0DAEC2E2" w:rsidR="00FF59E2" w:rsidRPr="00F4550C" w:rsidRDefault="00FF59E2" w:rsidP="00F4550C">
      <w:pPr>
        <w:pStyle w:val="Corpo"/>
        <w:jc w:val="both"/>
        <w:outlineLvl w:val="0"/>
        <w:rPr>
          <w:rFonts w:hAnsi="Times New Roman" w:cs="Times New Roman"/>
        </w:rPr>
      </w:pPr>
      <w:r w:rsidRPr="00F4550C">
        <w:rPr>
          <w:rFonts w:hAnsi="Times New Roman" w:cs="Times New Roman"/>
          <w:i/>
          <w:u w:val="single"/>
        </w:rPr>
        <w:t>Diagnostic modelling</w:t>
      </w:r>
    </w:p>
    <w:p w14:paraId="44844D20" w14:textId="5045CC6C" w:rsidR="00B376AB" w:rsidRDefault="002F7770" w:rsidP="00F4550C">
      <w:pPr>
        <w:pStyle w:val="Corpo"/>
        <w:tabs>
          <w:tab w:val="left" w:pos="5529"/>
        </w:tabs>
        <w:jc w:val="both"/>
        <w:rPr>
          <w:rFonts w:hAnsi="Times New Roman" w:cs="Times New Roman"/>
        </w:rPr>
      </w:pPr>
      <w:r w:rsidRPr="002F7770">
        <w:rPr>
          <w:rFonts w:hAnsi="Times New Roman" w:cs="Times New Roman"/>
          <w:color w:val="000000" w:themeColor="text1"/>
        </w:rPr>
        <w:t xml:space="preserve">Supervised machine learning algorithms were </w:t>
      </w:r>
      <w:r w:rsidR="00B376AB">
        <w:rPr>
          <w:rFonts w:hAnsi="Times New Roman" w:cs="Times New Roman"/>
          <w:color w:val="000000" w:themeColor="text1"/>
        </w:rPr>
        <w:t>used</w:t>
      </w:r>
      <w:r w:rsidRPr="002F7770">
        <w:rPr>
          <w:rFonts w:hAnsi="Times New Roman" w:cs="Times New Roman"/>
          <w:color w:val="000000" w:themeColor="text1"/>
        </w:rPr>
        <w:t xml:space="preserve"> to </w:t>
      </w:r>
      <w:r w:rsidR="00B376AB">
        <w:rPr>
          <w:rFonts w:hAnsi="Times New Roman" w:cs="Times New Roman"/>
          <w:color w:val="000000" w:themeColor="text1"/>
        </w:rPr>
        <w:t>evaluate</w:t>
      </w:r>
      <w:r w:rsidRPr="002F7770">
        <w:rPr>
          <w:rFonts w:hAnsi="Times New Roman" w:cs="Times New Roman"/>
          <w:color w:val="000000" w:themeColor="text1"/>
        </w:rPr>
        <w:t xml:space="preserve"> the diagnostic performance</w:t>
      </w:r>
      <w:r w:rsidR="00B376AB">
        <w:rPr>
          <w:rFonts w:hAnsi="Times New Roman" w:cs="Times New Roman"/>
          <w:color w:val="000000" w:themeColor="text1"/>
        </w:rPr>
        <w:t xml:space="preserve"> of 6 selected variables (</w:t>
      </w:r>
      <w:r w:rsidR="005B6EC2">
        <w:rPr>
          <w:rFonts w:hAnsi="Times New Roman" w:cs="Times New Roman"/>
        </w:rPr>
        <w:t>AC</w:t>
      </w:r>
      <w:r w:rsidR="00B376AB">
        <w:rPr>
          <w:rFonts w:hAnsi="Times New Roman" w:cs="Times New Roman"/>
        </w:rPr>
        <w:t xml:space="preserve"> at screening and after confirmatory testing, lowest potassium, presence/absence of a nodule at CT </w:t>
      </w:r>
      <w:r w:rsidR="00126855">
        <w:rPr>
          <w:rFonts w:hAnsi="Times New Roman" w:cs="Times New Roman"/>
        </w:rPr>
        <w:t xml:space="preserve">scanning </w:t>
      </w:r>
      <w:r w:rsidR="00B376AB">
        <w:rPr>
          <w:rFonts w:hAnsi="Times New Roman" w:cs="Times New Roman"/>
        </w:rPr>
        <w:t xml:space="preserve">imaging, nodule diameter, and descriptive CT </w:t>
      </w:r>
      <w:r w:rsidR="00126855">
        <w:rPr>
          <w:rFonts w:hAnsi="Times New Roman" w:cs="Times New Roman"/>
        </w:rPr>
        <w:t xml:space="preserve">scanning </w:t>
      </w:r>
      <w:r w:rsidR="00B376AB">
        <w:rPr>
          <w:rFonts w:hAnsi="Times New Roman" w:cs="Times New Roman"/>
        </w:rPr>
        <w:t>finding</w:t>
      </w:r>
      <w:r w:rsidR="00B376AB">
        <w:rPr>
          <w:rFonts w:hAnsi="Times New Roman" w:cs="Times New Roman"/>
          <w:color w:val="000000" w:themeColor="text1"/>
        </w:rPr>
        <w:t xml:space="preserve">) in predicting the diagnosis of unilateral PA. Machine learning, and in particular linear discriminant analysis (LDA) and random forest (RF) classification algorithms are commonly used in clinical research to formulate </w:t>
      </w:r>
      <w:r w:rsidR="00B376AB" w:rsidRPr="00811B69">
        <w:rPr>
          <w:rFonts w:hAnsi="Times New Roman" w:cs="Times New Roman"/>
        </w:rPr>
        <w:t xml:space="preserve">predictions about </w:t>
      </w:r>
      <w:r w:rsidR="00B376AB">
        <w:rPr>
          <w:rFonts w:hAnsi="Times New Roman" w:cs="Times New Roman"/>
        </w:rPr>
        <w:t>possible outcomes</w:t>
      </w:r>
      <w:r w:rsidR="00B376AB" w:rsidRPr="00811B69">
        <w:rPr>
          <w:rFonts w:hAnsi="Times New Roman" w:cs="Times New Roman"/>
        </w:rPr>
        <w:t xml:space="preserve"> based on a </w:t>
      </w:r>
      <w:r w:rsidR="00B376AB">
        <w:rPr>
          <w:rFonts w:hAnsi="Times New Roman" w:cs="Times New Roman"/>
        </w:rPr>
        <w:t>pre-defined</w:t>
      </w:r>
      <w:r w:rsidR="00B376AB" w:rsidRPr="00811B69">
        <w:rPr>
          <w:rFonts w:hAnsi="Times New Roman" w:cs="Times New Roman"/>
        </w:rPr>
        <w:t xml:space="preserve"> set of labeled paired input-output training sample data</w:t>
      </w:r>
      <w:r w:rsidR="00B376AB">
        <w:rPr>
          <w:rFonts w:hAnsi="Times New Roman" w:cs="Times New Roman"/>
        </w:rPr>
        <w:t xml:space="preserve"> [</w:t>
      </w:r>
      <w:r w:rsidR="00B12091">
        <w:rPr>
          <w:rFonts w:hAnsi="Times New Roman" w:cs="Times New Roman"/>
        </w:rPr>
        <w:t>6;7</w:t>
      </w:r>
      <w:r w:rsidR="00B376AB">
        <w:rPr>
          <w:rFonts w:hAnsi="Times New Roman" w:cs="Times New Roman"/>
        </w:rPr>
        <w:t>]</w:t>
      </w:r>
      <w:r w:rsidR="00B376AB" w:rsidRPr="00811B69">
        <w:rPr>
          <w:rFonts w:hAnsi="Times New Roman" w:cs="Times New Roman"/>
        </w:rPr>
        <w:t>.</w:t>
      </w:r>
    </w:p>
    <w:p w14:paraId="40EB8854" w14:textId="0865D3C2" w:rsidR="009236B8" w:rsidRPr="006A194D" w:rsidRDefault="002F7770" w:rsidP="00302651">
      <w:pPr>
        <w:pStyle w:val="Corpo"/>
        <w:tabs>
          <w:tab w:val="left" w:pos="5529"/>
        </w:tabs>
        <w:jc w:val="both"/>
        <w:rPr>
          <w:rFonts w:hAnsi="Times New Roman" w:cs="Times New Roman"/>
          <w:color w:val="000000" w:themeColor="text1"/>
        </w:rPr>
      </w:pPr>
      <w:r w:rsidRPr="002F7770">
        <w:rPr>
          <w:rFonts w:hAnsi="Times New Roman" w:cs="Times New Roman"/>
          <w:color w:val="000000" w:themeColor="text1"/>
        </w:rPr>
        <w:t>LDA</w:t>
      </w:r>
      <w:r w:rsidR="00302651">
        <w:rPr>
          <w:rFonts w:hAnsi="Times New Roman" w:cs="Times New Roman"/>
          <w:color w:val="000000" w:themeColor="text1"/>
        </w:rPr>
        <w:t xml:space="preserve"> employ</w:t>
      </w:r>
      <w:r w:rsidR="005B6EC2">
        <w:rPr>
          <w:rFonts w:hAnsi="Times New Roman" w:cs="Times New Roman"/>
          <w:color w:val="000000" w:themeColor="text1"/>
        </w:rPr>
        <w:t>s</w:t>
      </w:r>
      <w:r w:rsidR="00302651">
        <w:rPr>
          <w:rFonts w:hAnsi="Times New Roman" w:cs="Times New Roman"/>
          <w:color w:val="000000" w:themeColor="text1"/>
        </w:rPr>
        <w:t xml:space="preserve"> linear combinations of variable</w:t>
      </w:r>
      <w:r w:rsidR="005B6EC2">
        <w:rPr>
          <w:rFonts w:hAnsi="Times New Roman" w:cs="Times New Roman"/>
          <w:color w:val="000000" w:themeColor="text1"/>
        </w:rPr>
        <w:t>s</w:t>
      </w:r>
      <w:r w:rsidR="00302651">
        <w:rPr>
          <w:rFonts w:hAnsi="Times New Roman" w:cs="Times New Roman"/>
          <w:color w:val="000000" w:themeColor="text1"/>
        </w:rPr>
        <w:t xml:space="preserve"> to maximize the separation between groups by increasing precision estimates by variance reduction. In the model used</w:t>
      </w:r>
      <w:r w:rsidR="005B6EC2">
        <w:rPr>
          <w:rFonts w:hAnsi="Times New Roman" w:cs="Times New Roman"/>
          <w:color w:val="000000" w:themeColor="text1"/>
        </w:rPr>
        <w:t xml:space="preserve"> herein</w:t>
      </w:r>
      <w:r w:rsidR="00302651">
        <w:rPr>
          <w:rFonts w:hAnsi="Times New Roman" w:cs="Times New Roman"/>
          <w:color w:val="000000" w:themeColor="text1"/>
        </w:rPr>
        <w:t>, the algorithm computes</w:t>
      </w:r>
      <w:r w:rsidRPr="002F7770">
        <w:rPr>
          <w:rFonts w:hAnsi="Times New Roman" w:cs="Times New Roman"/>
          <w:color w:val="000000" w:themeColor="text1"/>
        </w:rPr>
        <w:t xml:space="preserve"> a set of coefficients</w:t>
      </w:r>
      <w:r w:rsidR="007B045E">
        <w:rPr>
          <w:rFonts w:hAnsi="Times New Roman" w:cs="Times New Roman"/>
          <w:color w:val="000000" w:themeColor="text1"/>
        </w:rPr>
        <w:t xml:space="preserve"> </w:t>
      </w:r>
      <w:r w:rsidR="007B045E" w:rsidRPr="006A194D">
        <w:rPr>
          <w:rFonts w:hAnsi="Times New Roman" w:cs="Times New Roman"/>
          <w:color w:val="000000" w:themeColor="text1"/>
        </w:rPr>
        <w:t>(Supplemental Digital Content Table S2)</w:t>
      </w:r>
      <w:r w:rsidRPr="006A194D">
        <w:rPr>
          <w:rFonts w:hAnsi="Times New Roman" w:cs="Times New Roman"/>
          <w:color w:val="000000" w:themeColor="text1"/>
        </w:rPr>
        <w:t xml:space="preserve"> for linear combination of each variable to </w:t>
      </w:r>
      <w:r w:rsidR="00302651" w:rsidRPr="006A194D">
        <w:rPr>
          <w:rFonts w:hAnsi="Times New Roman" w:cs="Times New Roman"/>
          <w:color w:val="000000" w:themeColor="text1"/>
        </w:rPr>
        <w:t>determine</w:t>
      </w:r>
      <w:r w:rsidRPr="006A194D">
        <w:rPr>
          <w:rFonts w:hAnsi="Times New Roman" w:cs="Times New Roman"/>
          <w:color w:val="000000" w:themeColor="text1"/>
        </w:rPr>
        <w:t xml:space="preserve"> the</w:t>
      </w:r>
      <w:r w:rsidR="005B6EC2" w:rsidRPr="006A194D">
        <w:rPr>
          <w:rFonts w:hAnsi="Times New Roman" w:cs="Times New Roman"/>
          <w:color w:val="000000" w:themeColor="text1"/>
        </w:rPr>
        <w:t xml:space="preserve"> single</w:t>
      </w:r>
      <w:r w:rsidR="00302651" w:rsidRPr="006A194D">
        <w:rPr>
          <w:rFonts w:hAnsi="Times New Roman" w:cs="Times New Roman"/>
          <w:color w:val="000000" w:themeColor="text1"/>
        </w:rPr>
        <w:t xml:space="preserve"> patient</w:t>
      </w:r>
      <w:r w:rsidRPr="006A194D">
        <w:rPr>
          <w:rFonts w:hAnsi="Times New Roman" w:cs="Times New Roman"/>
          <w:color w:val="000000" w:themeColor="text1"/>
        </w:rPr>
        <w:t xml:space="preserve"> diagnosis. The </w:t>
      </w:r>
      <w:r w:rsidR="00302651" w:rsidRPr="006A194D">
        <w:rPr>
          <w:rFonts w:hAnsi="Times New Roman" w:cs="Times New Roman"/>
          <w:color w:val="000000" w:themeColor="text1"/>
        </w:rPr>
        <w:t>predicted diagnosis is derived from the following equation: Unilateral PA diagnosis =</w:t>
      </w:r>
      <w:r w:rsidRPr="006A194D">
        <w:rPr>
          <w:rFonts w:hAnsi="Times New Roman" w:cs="Times New Roman"/>
          <w:color w:val="000000" w:themeColor="text1"/>
        </w:rPr>
        <w:t xml:space="preserve"> LDAcoeff</w:t>
      </w:r>
      <w:r w:rsidRPr="006A194D">
        <w:rPr>
          <w:rFonts w:hAnsi="Times New Roman" w:cs="Times New Roman"/>
          <w:color w:val="000000" w:themeColor="text1"/>
          <w:vertAlign w:val="subscript"/>
        </w:rPr>
        <w:t>1</w:t>
      </w:r>
      <w:r w:rsidRPr="006A194D">
        <w:rPr>
          <w:rFonts w:hAnsi="Times New Roman" w:cs="Times New Roman"/>
          <w:color w:val="000000" w:themeColor="text1"/>
        </w:rPr>
        <w:t>*Variable</w:t>
      </w:r>
      <w:r w:rsidR="00FD0583" w:rsidRPr="006A194D">
        <w:rPr>
          <w:rFonts w:hAnsi="Times New Roman" w:cs="Times New Roman"/>
          <w:color w:val="000000" w:themeColor="text1"/>
          <w:vertAlign w:val="subscript"/>
        </w:rPr>
        <w:t>1</w:t>
      </w:r>
      <w:r w:rsidRPr="006A194D">
        <w:rPr>
          <w:rFonts w:hAnsi="Times New Roman" w:cs="Times New Roman"/>
          <w:color w:val="000000" w:themeColor="text1"/>
        </w:rPr>
        <w:t xml:space="preserve"> + LDAcoeff</w:t>
      </w:r>
      <w:r w:rsidRPr="006A194D">
        <w:rPr>
          <w:rFonts w:hAnsi="Times New Roman" w:cs="Times New Roman"/>
          <w:color w:val="000000" w:themeColor="text1"/>
          <w:vertAlign w:val="subscript"/>
        </w:rPr>
        <w:t>2</w:t>
      </w:r>
      <w:r w:rsidRPr="006A194D">
        <w:rPr>
          <w:rFonts w:hAnsi="Times New Roman" w:cs="Times New Roman"/>
          <w:color w:val="000000" w:themeColor="text1"/>
        </w:rPr>
        <w:t>*Variable</w:t>
      </w:r>
      <w:r w:rsidR="00FD0583" w:rsidRPr="006A194D">
        <w:rPr>
          <w:rFonts w:hAnsi="Times New Roman" w:cs="Times New Roman"/>
          <w:color w:val="000000" w:themeColor="text1"/>
          <w:vertAlign w:val="subscript"/>
        </w:rPr>
        <w:t>2</w:t>
      </w:r>
      <w:r w:rsidRPr="006A194D">
        <w:rPr>
          <w:rFonts w:hAnsi="Times New Roman" w:cs="Times New Roman"/>
          <w:color w:val="000000" w:themeColor="text1"/>
        </w:rPr>
        <w:t xml:space="preserve"> + … + LDAcoeff</w:t>
      </w:r>
      <w:r w:rsidRPr="006A194D">
        <w:rPr>
          <w:rFonts w:hAnsi="Times New Roman" w:cs="Times New Roman"/>
          <w:color w:val="000000" w:themeColor="text1"/>
          <w:vertAlign w:val="subscript"/>
        </w:rPr>
        <w:t>n</w:t>
      </w:r>
      <w:r w:rsidRPr="006A194D">
        <w:rPr>
          <w:rFonts w:hAnsi="Times New Roman" w:cs="Times New Roman"/>
          <w:color w:val="000000" w:themeColor="text1"/>
        </w:rPr>
        <w:t>*Variable</w:t>
      </w:r>
      <w:r w:rsidR="00FD0583" w:rsidRPr="006A194D">
        <w:rPr>
          <w:rFonts w:hAnsi="Times New Roman" w:cs="Times New Roman"/>
          <w:color w:val="000000" w:themeColor="text1"/>
          <w:vertAlign w:val="subscript"/>
        </w:rPr>
        <w:t>n</w:t>
      </w:r>
      <w:r w:rsidRPr="006A194D">
        <w:rPr>
          <w:rFonts w:hAnsi="Times New Roman" w:cs="Times New Roman"/>
          <w:color w:val="000000" w:themeColor="text1"/>
        </w:rPr>
        <w:t xml:space="preserve"> &gt; </w:t>
      </w:r>
      <w:r w:rsidR="0018075B" w:rsidRPr="006A194D">
        <w:rPr>
          <w:rFonts w:hAnsi="Times New Roman" w:cs="Times New Roman"/>
          <w:color w:val="000000" w:themeColor="text1"/>
        </w:rPr>
        <w:t>0.8299</w:t>
      </w:r>
      <w:r w:rsidRPr="006A194D">
        <w:rPr>
          <w:rFonts w:hAnsi="Times New Roman" w:cs="Times New Roman"/>
          <w:color w:val="000000" w:themeColor="text1"/>
        </w:rPr>
        <w:t>.</w:t>
      </w:r>
      <w:r w:rsidR="009236B8" w:rsidRPr="006A194D">
        <w:rPr>
          <w:rFonts w:hAnsi="Times New Roman" w:cs="Times New Roman"/>
          <w:color w:val="000000" w:themeColor="text1"/>
        </w:rPr>
        <w:t xml:space="preserve"> </w:t>
      </w:r>
    </w:p>
    <w:p w14:paraId="4D5FFBF5" w14:textId="17F3BAF7" w:rsidR="002F7770" w:rsidRPr="002F7770" w:rsidRDefault="002F7770" w:rsidP="00F4550C">
      <w:pPr>
        <w:pStyle w:val="Corpo"/>
        <w:tabs>
          <w:tab w:val="left" w:pos="5529"/>
        </w:tabs>
        <w:jc w:val="both"/>
        <w:rPr>
          <w:rFonts w:hAnsi="Times New Roman" w:cs="Times New Roman"/>
          <w:color w:val="000000" w:themeColor="text1"/>
        </w:rPr>
      </w:pPr>
      <w:r w:rsidRPr="006A194D">
        <w:rPr>
          <w:rFonts w:hAnsi="Times New Roman" w:cs="Times New Roman"/>
          <w:color w:val="000000" w:themeColor="text1"/>
        </w:rPr>
        <w:t xml:space="preserve">The canonical plot represents patient distribution after </w:t>
      </w:r>
      <w:r w:rsidR="000A4489" w:rsidRPr="006A194D">
        <w:rPr>
          <w:rFonts w:hAnsi="Times New Roman" w:cs="Times New Roman"/>
          <w:color w:val="000000" w:themeColor="text1"/>
        </w:rPr>
        <w:t>stratification</w:t>
      </w:r>
      <w:r w:rsidRPr="006A194D">
        <w:rPr>
          <w:rFonts w:hAnsi="Times New Roman" w:cs="Times New Roman"/>
          <w:color w:val="000000" w:themeColor="text1"/>
        </w:rPr>
        <w:t xml:space="preserve"> for the linear combination of </w:t>
      </w:r>
      <w:r w:rsidR="00302651" w:rsidRPr="006A194D">
        <w:rPr>
          <w:rFonts w:hAnsi="Times New Roman" w:cs="Times New Roman"/>
          <w:color w:val="000000" w:themeColor="text1"/>
        </w:rPr>
        <w:t>the 6 selected variables</w:t>
      </w:r>
      <w:r w:rsidR="007B045E" w:rsidRPr="006A194D">
        <w:rPr>
          <w:rFonts w:hAnsi="Times New Roman" w:cs="Times New Roman"/>
          <w:color w:val="000000" w:themeColor="text1"/>
        </w:rPr>
        <w:t xml:space="preserve"> (Figure 1A)</w:t>
      </w:r>
      <w:r w:rsidRPr="006A194D">
        <w:rPr>
          <w:rFonts w:hAnsi="Times New Roman" w:cs="Times New Roman"/>
          <w:color w:val="000000" w:themeColor="text1"/>
        </w:rPr>
        <w:t>. The</w:t>
      </w:r>
      <w:r w:rsidRPr="002F7770">
        <w:rPr>
          <w:rFonts w:hAnsi="Times New Roman" w:cs="Times New Roman"/>
          <w:color w:val="000000" w:themeColor="text1"/>
        </w:rPr>
        <w:t xml:space="preserve"> canonical axes of the plot are calculated by the LDA from weighted linear combination of variables included in the model; each patient is indicated by a point. The </w:t>
      </w:r>
      <w:r w:rsidR="00617806">
        <w:rPr>
          <w:rFonts w:hAnsi="Times New Roman" w:cs="Times New Roman"/>
          <w:color w:val="000000" w:themeColor="text1"/>
        </w:rPr>
        <w:t>crosses</w:t>
      </w:r>
      <w:r w:rsidRPr="002F7770">
        <w:rPr>
          <w:rFonts w:hAnsi="Times New Roman" w:cs="Times New Roman"/>
          <w:color w:val="000000" w:themeColor="text1"/>
        </w:rPr>
        <w:t xml:space="preserve"> indicate the means of </w:t>
      </w:r>
      <w:r w:rsidR="00617806">
        <w:rPr>
          <w:rFonts w:hAnsi="Times New Roman" w:cs="Times New Roman"/>
          <w:color w:val="000000" w:themeColor="text1"/>
        </w:rPr>
        <w:t>(</w:t>
      </w:r>
      <w:r w:rsidRPr="002F7770">
        <w:rPr>
          <w:rFonts w:hAnsi="Times New Roman" w:cs="Times New Roman"/>
          <w:color w:val="000000" w:themeColor="text1"/>
        </w:rPr>
        <w:t>canonical 1; canonical 2) for each group</w:t>
      </w:r>
      <w:r w:rsidR="00617806">
        <w:rPr>
          <w:rFonts w:hAnsi="Times New Roman" w:cs="Times New Roman"/>
          <w:color w:val="000000" w:themeColor="text1"/>
        </w:rPr>
        <w:t xml:space="preserve"> (unilateral </w:t>
      </w:r>
      <w:r w:rsidR="00617806" w:rsidRPr="00617806">
        <w:rPr>
          <w:rFonts w:hAnsi="Times New Roman" w:cs="Times New Roman"/>
          <w:i/>
          <w:iCs/>
          <w:color w:val="000000" w:themeColor="text1"/>
        </w:rPr>
        <w:t>versus</w:t>
      </w:r>
      <w:r w:rsidR="00617806">
        <w:rPr>
          <w:rFonts w:hAnsi="Times New Roman" w:cs="Times New Roman"/>
          <w:color w:val="000000" w:themeColor="text1"/>
        </w:rPr>
        <w:t xml:space="preserve"> bilateral PA)</w:t>
      </w:r>
      <w:r w:rsidRPr="002F7770">
        <w:rPr>
          <w:rFonts w:hAnsi="Times New Roman" w:cs="Times New Roman"/>
          <w:color w:val="000000" w:themeColor="text1"/>
        </w:rPr>
        <w:t xml:space="preserve">, whereas the </w:t>
      </w:r>
      <w:r w:rsidR="00B730C7">
        <w:rPr>
          <w:rFonts w:hAnsi="Times New Roman" w:cs="Times New Roman"/>
          <w:color w:val="000000" w:themeColor="text1"/>
        </w:rPr>
        <w:t>ellipses</w:t>
      </w:r>
      <w:r w:rsidRPr="002F7770">
        <w:rPr>
          <w:rFonts w:hAnsi="Times New Roman" w:cs="Times New Roman"/>
          <w:color w:val="000000" w:themeColor="text1"/>
        </w:rPr>
        <w:t xml:space="preserve"> include patients with a linear combination coefficient that falls within the mean +/- SD (canonical 1 +/- SD; canonical 2 +/- SD). </w:t>
      </w:r>
    </w:p>
    <w:p w14:paraId="7651CBD4" w14:textId="3B6D6EDF" w:rsidR="002F7770" w:rsidRPr="00BD354D" w:rsidRDefault="00617806" w:rsidP="00F4550C">
      <w:pPr>
        <w:pStyle w:val="Corpo"/>
        <w:tabs>
          <w:tab w:val="left" w:pos="5529"/>
        </w:tabs>
        <w:jc w:val="both"/>
        <w:rPr>
          <w:rFonts w:hAnsi="Times New Roman" w:cs="Times New Roman"/>
          <w:color w:val="000000" w:themeColor="text1"/>
        </w:rPr>
      </w:pPr>
      <w:r>
        <w:rPr>
          <w:rFonts w:hAnsi="Times New Roman" w:cs="Times New Roman"/>
          <w:color w:val="000000" w:themeColor="text1"/>
        </w:rPr>
        <w:t xml:space="preserve">The </w:t>
      </w:r>
      <w:r w:rsidR="002F7770" w:rsidRPr="002F7770">
        <w:rPr>
          <w:rFonts w:hAnsi="Times New Roman" w:cs="Times New Roman"/>
          <w:color w:val="000000" w:themeColor="text1"/>
        </w:rPr>
        <w:t xml:space="preserve">RF algorithm uses 20 different classification trees with a maximum number of </w:t>
      </w:r>
      <w:r>
        <w:rPr>
          <w:rFonts w:hAnsi="Times New Roman" w:cs="Times New Roman"/>
          <w:color w:val="000000" w:themeColor="text1"/>
        </w:rPr>
        <w:t>8</w:t>
      </w:r>
      <w:r w:rsidR="002F7770" w:rsidRPr="002F7770">
        <w:rPr>
          <w:rFonts w:hAnsi="Times New Roman" w:cs="Times New Roman"/>
          <w:color w:val="000000" w:themeColor="text1"/>
        </w:rPr>
        <w:t xml:space="preserve"> splits for each tree. The predicted diagnosis resulted from the outcome of each classification tree of the forest; if </w:t>
      </w:r>
      <w:r w:rsidR="002F7770" w:rsidRPr="002F7770">
        <w:rPr>
          <w:rFonts w:hAnsi="Times New Roman" w:cs="Times New Roman"/>
          <w:color w:val="000000" w:themeColor="text1"/>
        </w:rPr>
        <w:lastRenderedPageBreak/>
        <w:t xml:space="preserve">at least 11 of 20 trees of the RF predict </w:t>
      </w:r>
      <w:r>
        <w:rPr>
          <w:rFonts w:hAnsi="Times New Roman" w:cs="Times New Roman"/>
          <w:color w:val="000000" w:themeColor="text1"/>
        </w:rPr>
        <w:t>unilateral PA</w:t>
      </w:r>
      <w:r w:rsidR="002F7770" w:rsidRPr="002F7770">
        <w:rPr>
          <w:rFonts w:hAnsi="Times New Roman" w:cs="Times New Roman"/>
          <w:color w:val="000000" w:themeColor="text1"/>
        </w:rPr>
        <w:t xml:space="preserve">, then the patient will be classified </w:t>
      </w:r>
      <w:r>
        <w:rPr>
          <w:rFonts w:hAnsi="Times New Roman" w:cs="Times New Roman"/>
          <w:color w:val="000000" w:themeColor="text1"/>
        </w:rPr>
        <w:t>as unilateral disease</w:t>
      </w:r>
      <w:r w:rsidR="002F7770" w:rsidRPr="002F7770">
        <w:rPr>
          <w:rFonts w:hAnsi="Times New Roman" w:cs="Times New Roman"/>
          <w:color w:val="000000" w:themeColor="text1"/>
        </w:rPr>
        <w:t xml:space="preserve">. A representative classification tree is </w:t>
      </w:r>
      <w:r w:rsidR="002F7770" w:rsidRPr="00BD354D">
        <w:rPr>
          <w:rFonts w:hAnsi="Times New Roman" w:cs="Times New Roman"/>
          <w:color w:val="000000" w:themeColor="text1"/>
        </w:rPr>
        <w:t>reported in Fig</w:t>
      </w:r>
      <w:r w:rsidR="007B045E" w:rsidRPr="00BD354D">
        <w:rPr>
          <w:rFonts w:hAnsi="Times New Roman" w:cs="Times New Roman"/>
          <w:color w:val="000000" w:themeColor="text1"/>
        </w:rPr>
        <w:t>ure</w:t>
      </w:r>
      <w:r w:rsidR="002F7770" w:rsidRPr="00BD354D">
        <w:rPr>
          <w:rFonts w:hAnsi="Times New Roman" w:cs="Times New Roman"/>
          <w:color w:val="000000" w:themeColor="text1"/>
        </w:rPr>
        <w:t xml:space="preserve"> </w:t>
      </w:r>
      <w:r w:rsidRPr="00BD354D">
        <w:rPr>
          <w:rFonts w:hAnsi="Times New Roman" w:cs="Times New Roman"/>
          <w:color w:val="000000" w:themeColor="text1"/>
        </w:rPr>
        <w:t>2</w:t>
      </w:r>
      <w:r w:rsidR="007B045E" w:rsidRPr="00BD354D">
        <w:rPr>
          <w:rFonts w:hAnsi="Times New Roman" w:cs="Times New Roman"/>
          <w:color w:val="000000" w:themeColor="text1"/>
        </w:rPr>
        <w:t>A</w:t>
      </w:r>
      <w:r w:rsidR="002F7770" w:rsidRPr="00BD354D">
        <w:rPr>
          <w:rFonts w:hAnsi="Times New Roman" w:cs="Times New Roman"/>
          <w:color w:val="000000" w:themeColor="text1"/>
        </w:rPr>
        <w:t xml:space="preserve">. </w:t>
      </w:r>
    </w:p>
    <w:p w14:paraId="3B057E73" w14:textId="7A31113D" w:rsidR="002F7770" w:rsidRPr="00B7603A" w:rsidRDefault="00F06191" w:rsidP="008B6946">
      <w:pPr>
        <w:pStyle w:val="Corpo"/>
        <w:tabs>
          <w:tab w:val="left" w:pos="5529"/>
        </w:tabs>
        <w:jc w:val="both"/>
        <w:rPr>
          <w:rFonts w:hAnsi="Times New Roman" w:cs="Times New Roman"/>
          <w:color w:val="000000" w:themeColor="text1"/>
        </w:rPr>
      </w:pPr>
      <w:r w:rsidRPr="00BD354D">
        <w:rPr>
          <w:rFonts w:hAnsi="Times New Roman" w:cs="Times New Roman"/>
          <w:color w:val="000000" w:themeColor="text1"/>
        </w:rPr>
        <w:t>Confusion matrix and histogram of 0-1 normalized predictive coefficients are reported for each model (Figure 1B, 1C; Figure 2B, 2C)</w:t>
      </w:r>
      <w:r w:rsidR="00B7603A" w:rsidRPr="00BD354D">
        <w:rPr>
          <w:rFonts w:hAnsi="Times New Roman" w:cs="Times New Roman"/>
          <w:color w:val="000000" w:themeColor="text1"/>
        </w:rPr>
        <w:t xml:space="preserve">. The machine learning models were internally </w:t>
      </w:r>
      <w:r w:rsidR="008F60CE" w:rsidRPr="00BD354D">
        <w:rPr>
          <w:rFonts w:hAnsi="Times New Roman" w:cs="Times New Roman"/>
          <w:color w:val="000000" w:themeColor="text1"/>
        </w:rPr>
        <w:t>tested</w:t>
      </w:r>
      <w:r w:rsidR="00B7603A" w:rsidRPr="00BD354D">
        <w:rPr>
          <w:rFonts w:hAnsi="Times New Roman" w:cs="Times New Roman"/>
          <w:color w:val="000000" w:themeColor="text1"/>
        </w:rPr>
        <w:t xml:space="preserve"> by</w:t>
      </w:r>
      <w:r w:rsidR="008F60CE" w:rsidRPr="00BD354D">
        <w:rPr>
          <w:rFonts w:hAnsi="Times New Roman" w:cs="Times New Roman"/>
          <w:color w:val="000000" w:themeColor="text1"/>
        </w:rPr>
        <w:t xml:space="preserve"> a</w:t>
      </w:r>
      <w:r w:rsidR="00B7603A" w:rsidRPr="00BD354D">
        <w:rPr>
          <w:rFonts w:hAnsi="Times New Roman" w:cs="Times New Roman"/>
          <w:color w:val="000000" w:themeColor="text1"/>
        </w:rPr>
        <w:t xml:space="preserve"> 10K-cross validation</w:t>
      </w:r>
      <w:r w:rsidR="008F60CE" w:rsidRPr="00BD354D">
        <w:rPr>
          <w:rFonts w:hAnsi="Times New Roman" w:cs="Times New Roman"/>
          <w:color w:val="000000" w:themeColor="text1"/>
        </w:rPr>
        <w:t xml:space="preserve"> algorithm</w:t>
      </w:r>
      <w:r w:rsidR="00B7603A" w:rsidRPr="00BD354D">
        <w:rPr>
          <w:rFonts w:hAnsi="Times New Roman" w:cs="Times New Roman"/>
          <w:color w:val="000000" w:themeColor="text1"/>
        </w:rPr>
        <w:t xml:space="preserve">. </w:t>
      </w:r>
      <w:r w:rsidR="002F7770" w:rsidRPr="00BD354D">
        <w:rPr>
          <w:rFonts w:hAnsi="Times New Roman" w:cs="Times New Roman"/>
          <w:color w:val="000000" w:themeColor="text1"/>
        </w:rPr>
        <w:t>The algorithm</w:t>
      </w:r>
      <w:r w:rsidR="002F7770" w:rsidRPr="002F7770">
        <w:rPr>
          <w:rFonts w:hAnsi="Times New Roman" w:cs="Times New Roman"/>
          <w:color w:val="000000" w:themeColor="text1"/>
        </w:rPr>
        <w:t xml:space="preserve"> </w:t>
      </w:r>
      <w:r w:rsidR="00B7603A">
        <w:rPr>
          <w:rFonts w:hAnsi="Times New Roman" w:cs="Times New Roman"/>
          <w:color w:val="000000" w:themeColor="text1"/>
        </w:rPr>
        <w:t xml:space="preserve">randomly </w:t>
      </w:r>
      <w:r w:rsidR="008B6946">
        <w:rPr>
          <w:rFonts w:hAnsi="Times New Roman" w:cs="Times New Roman"/>
          <w:color w:val="000000" w:themeColor="text1"/>
        </w:rPr>
        <w:t xml:space="preserve">divides the cohort into 10 groups; the model is then trained </w:t>
      </w:r>
      <w:r w:rsidR="000A4489">
        <w:rPr>
          <w:rFonts w:hAnsi="Times New Roman" w:cs="Times New Roman"/>
          <w:color w:val="000000" w:themeColor="text1"/>
        </w:rPr>
        <w:t>within</w:t>
      </w:r>
      <w:r w:rsidR="008B6946">
        <w:rPr>
          <w:rFonts w:hAnsi="Times New Roman" w:cs="Times New Roman"/>
          <w:color w:val="000000" w:themeColor="text1"/>
        </w:rPr>
        <w:t xml:space="preserve"> the first 9 groups, and the remaining group is used for validation. The process is repeated 10 times, with the validation group rotating at each round. The accuracy of internal validation </w:t>
      </w:r>
      <w:r w:rsidR="00367CDF">
        <w:rPr>
          <w:rFonts w:hAnsi="Times New Roman" w:cs="Times New Roman"/>
          <w:color w:val="000000" w:themeColor="text1"/>
        </w:rPr>
        <w:t>resulted</w:t>
      </w:r>
      <w:r w:rsidR="008B6946">
        <w:rPr>
          <w:rFonts w:hAnsi="Times New Roman" w:cs="Times New Roman"/>
          <w:color w:val="000000" w:themeColor="text1"/>
        </w:rPr>
        <w:t xml:space="preserve"> </w:t>
      </w:r>
      <w:r w:rsidR="008F60CE">
        <w:rPr>
          <w:rFonts w:hAnsi="Times New Roman" w:cs="Times New Roman"/>
          <w:color w:val="000000" w:themeColor="text1"/>
        </w:rPr>
        <w:t>from</w:t>
      </w:r>
      <w:r w:rsidR="008B6946">
        <w:rPr>
          <w:rFonts w:hAnsi="Times New Roman" w:cs="Times New Roman"/>
          <w:color w:val="000000" w:themeColor="text1"/>
        </w:rPr>
        <w:t xml:space="preserve"> the mean of the accuracies </w:t>
      </w:r>
      <w:r w:rsidR="008F60CE">
        <w:rPr>
          <w:rFonts w:hAnsi="Times New Roman" w:cs="Times New Roman"/>
          <w:color w:val="000000" w:themeColor="text1"/>
        </w:rPr>
        <w:t xml:space="preserve">obtained </w:t>
      </w:r>
      <w:r w:rsidR="008B6946">
        <w:rPr>
          <w:rFonts w:hAnsi="Times New Roman" w:cs="Times New Roman"/>
          <w:color w:val="000000" w:themeColor="text1"/>
        </w:rPr>
        <w:t>at each round.</w:t>
      </w:r>
    </w:p>
    <w:p w14:paraId="11B6BC6F" w14:textId="2A67B595" w:rsidR="00165AB7" w:rsidRDefault="00165AB7" w:rsidP="00F4550C">
      <w:pPr>
        <w:pStyle w:val="Corpo"/>
        <w:tabs>
          <w:tab w:val="left" w:pos="5529"/>
        </w:tabs>
        <w:jc w:val="both"/>
        <w:rPr>
          <w:color w:val="000000" w:themeColor="text1"/>
        </w:rPr>
      </w:pPr>
    </w:p>
    <w:p w14:paraId="2B352B60" w14:textId="1E2A6C96" w:rsidR="00482D7F" w:rsidRDefault="00482D7F" w:rsidP="00165AB7">
      <w:pPr>
        <w:pStyle w:val="Corpo"/>
        <w:tabs>
          <w:tab w:val="left" w:pos="5529"/>
        </w:tabs>
        <w:jc w:val="both"/>
        <w:rPr>
          <w:rFonts w:hAnsi="Times New Roman" w:cs="Times New Roman"/>
          <w:b/>
          <w:bCs/>
        </w:rPr>
      </w:pPr>
      <w:r w:rsidRPr="00B20357">
        <w:rPr>
          <w:rFonts w:hAnsi="Times New Roman" w:cs="Times New Roman"/>
          <w:b/>
          <w:bCs/>
        </w:rPr>
        <w:t>REFERENCES</w:t>
      </w:r>
    </w:p>
    <w:p w14:paraId="4BDF8BE9" w14:textId="77777777" w:rsidR="003F4344" w:rsidRDefault="003F4344" w:rsidP="003F4344">
      <w:pPr>
        <w:pStyle w:val="Corpo"/>
        <w:numPr>
          <w:ilvl w:val="0"/>
          <w:numId w:val="22"/>
        </w:numPr>
        <w:tabs>
          <w:tab w:val="left" w:pos="5529"/>
        </w:tabs>
        <w:ind w:left="426"/>
        <w:jc w:val="both"/>
        <w:rPr>
          <w:rFonts w:hAnsi="Times New Roman" w:cs="Times New Roman"/>
        </w:rPr>
      </w:pPr>
      <w:r w:rsidRPr="00D3758B">
        <w:rPr>
          <w:rFonts w:hAnsi="Times New Roman" w:cs="Times New Roman"/>
          <w:lang w:val="en-GB"/>
        </w:rPr>
        <w:t xml:space="preserve">Funder JW, Carey RM, Mantero F, </w:t>
      </w:r>
      <w:r>
        <w:rPr>
          <w:rFonts w:hAnsi="Times New Roman" w:cs="Times New Roman"/>
        </w:rPr>
        <w:t>et al</w:t>
      </w:r>
      <w:r w:rsidRPr="007211C8">
        <w:rPr>
          <w:rFonts w:hAnsi="Times New Roman" w:cs="Times New Roman"/>
        </w:rPr>
        <w:t>.</w:t>
      </w:r>
      <w:r w:rsidRPr="00D3758B">
        <w:rPr>
          <w:rFonts w:hAnsi="Times New Roman" w:cs="Times New Roman"/>
          <w:lang w:val="en-GB"/>
        </w:rPr>
        <w:t xml:space="preserve"> The Management of Primary Aldosteronism: Case Detection, Diagnosis, and Treatment: An ES Clinical Practice Guideline. </w:t>
      </w:r>
      <w:r w:rsidRPr="00D3758B">
        <w:rPr>
          <w:rFonts w:hAnsi="Times New Roman" w:cs="Times New Roman"/>
          <w:i/>
          <w:iCs/>
          <w:lang w:val="en-GB"/>
        </w:rPr>
        <w:t>J Clin Endocrinol Metab.</w:t>
      </w:r>
      <w:r w:rsidRPr="00D3758B">
        <w:rPr>
          <w:rFonts w:hAnsi="Times New Roman" w:cs="Times New Roman"/>
          <w:lang w:val="en-GB"/>
        </w:rPr>
        <w:t xml:space="preserve"> 2016;101:1889-916.</w:t>
      </w:r>
    </w:p>
    <w:p w14:paraId="7A5C24A4" w14:textId="77777777" w:rsidR="00280A2C" w:rsidRDefault="00280A2C" w:rsidP="00280A2C">
      <w:pPr>
        <w:pStyle w:val="Corpo"/>
        <w:numPr>
          <w:ilvl w:val="0"/>
          <w:numId w:val="22"/>
        </w:numPr>
        <w:tabs>
          <w:tab w:val="left" w:pos="5529"/>
        </w:tabs>
        <w:ind w:left="426"/>
        <w:jc w:val="both"/>
        <w:rPr>
          <w:rFonts w:hAnsi="Times New Roman" w:cs="Times New Roman"/>
        </w:rPr>
      </w:pPr>
      <w:r w:rsidRPr="00245D0F">
        <w:rPr>
          <w:rFonts w:hAnsi="Times New Roman" w:cs="Times New Roman"/>
          <w:lang w:val="it-IT"/>
        </w:rPr>
        <w:t xml:space="preserve">Monticone S, Burrello J, Tizzani D, et al. </w:t>
      </w:r>
      <w:r w:rsidRPr="00D3758B">
        <w:rPr>
          <w:rFonts w:hAnsi="Times New Roman" w:cs="Times New Roman"/>
        </w:rPr>
        <w:t xml:space="preserve">Prevalence and Clinical Manifestations of Primary Aldosteronism Encountered in Primary Care Practice. </w:t>
      </w:r>
      <w:r w:rsidRPr="00D3758B">
        <w:rPr>
          <w:rFonts w:hAnsi="Times New Roman" w:cs="Times New Roman"/>
          <w:i/>
        </w:rPr>
        <w:t>J Am Coll Cardiol.</w:t>
      </w:r>
      <w:r w:rsidRPr="00D3758B">
        <w:rPr>
          <w:rFonts w:hAnsi="Times New Roman" w:cs="Times New Roman"/>
        </w:rPr>
        <w:t xml:space="preserve"> 2017;69:1811-20.</w:t>
      </w:r>
    </w:p>
    <w:p w14:paraId="157C8BB5" w14:textId="77777777" w:rsidR="006F3ED3" w:rsidRPr="007211C8" w:rsidRDefault="006F3ED3" w:rsidP="006F3ED3">
      <w:pPr>
        <w:pStyle w:val="Corpo"/>
        <w:numPr>
          <w:ilvl w:val="0"/>
          <w:numId w:val="22"/>
        </w:numPr>
        <w:tabs>
          <w:tab w:val="left" w:pos="5529"/>
        </w:tabs>
        <w:ind w:left="426"/>
        <w:jc w:val="both"/>
        <w:rPr>
          <w:rFonts w:hAnsi="Times New Roman" w:cs="Times New Roman"/>
        </w:rPr>
      </w:pPr>
      <w:r w:rsidRPr="007211C8">
        <w:rPr>
          <w:rFonts w:hAnsi="Times New Roman" w:cs="Times New Roman"/>
        </w:rPr>
        <w:t xml:space="preserve">Ahmed AH, Cowley D, Wolley M, </w:t>
      </w:r>
      <w:r>
        <w:rPr>
          <w:rFonts w:hAnsi="Times New Roman" w:cs="Times New Roman"/>
        </w:rPr>
        <w:t>et al</w:t>
      </w:r>
      <w:r w:rsidRPr="007211C8">
        <w:rPr>
          <w:rFonts w:hAnsi="Times New Roman" w:cs="Times New Roman"/>
        </w:rPr>
        <w:t xml:space="preserve">. Seated saline suppression testing for the diagnosis of primary aldosteronism: a preliminary study. </w:t>
      </w:r>
      <w:r w:rsidRPr="007211C8">
        <w:rPr>
          <w:rFonts w:hAnsi="Times New Roman" w:cs="Times New Roman"/>
          <w:i/>
          <w:iCs/>
        </w:rPr>
        <w:t>J Clin Endocrinol Metab.</w:t>
      </w:r>
      <w:r w:rsidRPr="007211C8">
        <w:rPr>
          <w:rFonts w:hAnsi="Times New Roman" w:cs="Times New Roman"/>
        </w:rPr>
        <w:t xml:space="preserve"> 2014;99:2745-53.</w:t>
      </w:r>
      <w:r>
        <w:rPr>
          <w:rFonts w:hAnsi="Times New Roman" w:cs="Times New Roman"/>
        </w:rPr>
        <w:t xml:space="preserve"> </w:t>
      </w:r>
    </w:p>
    <w:p w14:paraId="5525C57B" w14:textId="77777777" w:rsidR="006F3ED3" w:rsidRPr="00575B03" w:rsidRDefault="006F3ED3" w:rsidP="006F3ED3">
      <w:pPr>
        <w:pStyle w:val="Corpo"/>
        <w:numPr>
          <w:ilvl w:val="0"/>
          <w:numId w:val="22"/>
        </w:numPr>
        <w:tabs>
          <w:tab w:val="left" w:pos="5529"/>
        </w:tabs>
        <w:ind w:left="426"/>
        <w:jc w:val="both"/>
        <w:rPr>
          <w:rFonts w:hAnsi="Times New Roman" w:cs="Times New Roman"/>
        </w:rPr>
      </w:pPr>
      <w:r w:rsidRPr="00245D0F">
        <w:rPr>
          <w:rFonts w:hAnsi="Times New Roman" w:cs="Times New Roman"/>
          <w:lang w:val="it-IT"/>
        </w:rPr>
        <w:t xml:space="preserve">Monticone S, Viola A, Rossato D, et al. </w:t>
      </w:r>
      <w:r w:rsidRPr="00575B03">
        <w:rPr>
          <w:rFonts w:hAnsi="Times New Roman" w:cs="Times New Roman"/>
          <w:lang w:val="en-GB"/>
        </w:rPr>
        <w:t xml:space="preserve">Adrenal vein sampling in primary aldosteronism: towards a standardised protocol. </w:t>
      </w:r>
      <w:r w:rsidRPr="00E651FF">
        <w:rPr>
          <w:rFonts w:hAnsi="Times New Roman" w:cs="Times New Roman"/>
          <w:i/>
          <w:iCs/>
          <w:lang w:val="en-GB"/>
        </w:rPr>
        <w:t>Lancet Diabetes Endocrinol.</w:t>
      </w:r>
      <w:r w:rsidRPr="00575B03">
        <w:rPr>
          <w:rFonts w:hAnsi="Times New Roman" w:cs="Times New Roman"/>
          <w:lang w:val="en-GB"/>
        </w:rPr>
        <w:t xml:space="preserve"> 2015;3:296-303.</w:t>
      </w:r>
    </w:p>
    <w:p w14:paraId="488BF075" w14:textId="77777777" w:rsidR="008C79FF" w:rsidRPr="00876F56" w:rsidRDefault="008C79FF" w:rsidP="008C79FF">
      <w:pPr>
        <w:pStyle w:val="Corpo"/>
        <w:numPr>
          <w:ilvl w:val="0"/>
          <w:numId w:val="22"/>
        </w:numPr>
        <w:tabs>
          <w:tab w:val="left" w:pos="5529"/>
        </w:tabs>
        <w:ind w:left="426"/>
        <w:jc w:val="both"/>
        <w:rPr>
          <w:rFonts w:hAnsi="Times New Roman" w:cs="Times New Roman"/>
        </w:rPr>
      </w:pPr>
      <w:r w:rsidRPr="00876F56">
        <w:t xml:space="preserve">Williams TA, Lenders JWM, Mulatero P, et al; Primary Aldosteronism Surgery Outcome (PASO) investigators. Outcomes after adrenalectomy for unilateral primary aldosteronism: an international consensus on outcome measures and analysis of remission rates in an international cohort. </w:t>
      </w:r>
      <w:r w:rsidRPr="00876F56">
        <w:rPr>
          <w:i/>
        </w:rPr>
        <w:t>Lancet Diabetes Endocrinol.</w:t>
      </w:r>
      <w:r w:rsidRPr="00876F56">
        <w:t xml:space="preserve"> 2017;5:689-699.</w:t>
      </w:r>
    </w:p>
    <w:p w14:paraId="04BABF90" w14:textId="2C00DD90" w:rsidR="00AD17E0" w:rsidRPr="00D36610" w:rsidRDefault="00AD17E0" w:rsidP="00D36610">
      <w:pPr>
        <w:pStyle w:val="Corpo"/>
        <w:numPr>
          <w:ilvl w:val="0"/>
          <w:numId w:val="22"/>
        </w:numPr>
        <w:tabs>
          <w:tab w:val="left" w:pos="5529"/>
        </w:tabs>
        <w:ind w:left="426"/>
        <w:jc w:val="both"/>
        <w:rPr>
          <w:rFonts w:hAnsi="Times New Roman" w:cs="Times New Roman"/>
        </w:rPr>
      </w:pPr>
      <w:r w:rsidRPr="00D36610">
        <w:rPr>
          <w:rFonts w:hAnsi="Times New Roman" w:cs="Times New Roman"/>
          <w:lang w:val="it-IT"/>
        </w:rPr>
        <w:t xml:space="preserve">Burrello J, Burrello A, Stowasser M, </w:t>
      </w:r>
      <w:r w:rsidR="00245D0F" w:rsidRPr="00D36610">
        <w:rPr>
          <w:rFonts w:hAnsi="Times New Roman" w:cs="Times New Roman"/>
          <w:lang w:val="it-IT"/>
        </w:rPr>
        <w:t>et al</w:t>
      </w:r>
      <w:r w:rsidRPr="00D36610">
        <w:rPr>
          <w:rFonts w:hAnsi="Times New Roman" w:cs="Times New Roman"/>
          <w:lang w:val="it-IT"/>
        </w:rPr>
        <w:t xml:space="preserve">. </w:t>
      </w:r>
      <w:r w:rsidRPr="00D36610">
        <w:rPr>
          <w:rFonts w:hAnsi="Times New Roman" w:cs="Times New Roman"/>
        </w:rPr>
        <w:t xml:space="preserve">The Primary Aldosteronism Surgical Outcome Score for the Prediction of Clinical Outcomes After Adrenalectomy for Unilateral Primary Aldosteronism. </w:t>
      </w:r>
      <w:r w:rsidRPr="00D36610">
        <w:rPr>
          <w:rFonts w:hAnsi="Times New Roman" w:cs="Times New Roman"/>
          <w:i/>
          <w:iCs/>
        </w:rPr>
        <w:t>Ann Surg.</w:t>
      </w:r>
      <w:r w:rsidRPr="00D36610">
        <w:rPr>
          <w:rFonts w:hAnsi="Times New Roman" w:cs="Times New Roman"/>
        </w:rPr>
        <w:t xml:space="preserve"> 2019. [Epub ahead of print]</w:t>
      </w:r>
    </w:p>
    <w:p w14:paraId="4BA345FD" w14:textId="77777777" w:rsidR="00245D0F" w:rsidRDefault="00AD17E0" w:rsidP="00245D0F">
      <w:pPr>
        <w:pStyle w:val="Corpo"/>
        <w:numPr>
          <w:ilvl w:val="0"/>
          <w:numId w:val="22"/>
        </w:numPr>
        <w:tabs>
          <w:tab w:val="left" w:pos="5529"/>
        </w:tabs>
        <w:ind w:left="426"/>
        <w:jc w:val="both"/>
        <w:rPr>
          <w:rFonts w:hAnsi="Times New Roman" w:cs="Times New Roman"/>
        </w:rPr>
      </w:pPr>
      <w:r w:rsidRPr="00245D0F">
        <w:rPr>
          <w:rFonts w:hAnsi="Times New Roman" w:cs="Times New Roman"/>
          <w:lang w:val="it-IT"/>
        </w:rPr>
        <w:t xml:space="preserve">Yang Y, Burrello J, Burrello A, </w:t>
      </w:r>
      <w:r w:rsidR="00245D0F" w:rsidRPr="00245D0F">
        <w:rPr>
          <w:rFonts w:hAnsi="Times New Roman" w:cs="Times New Roman"/>
          <w:lang w:val="it-IT"/>
        </w:rPr>
        <w:t>et al.</w:t>
      </w:r>
      <w:r w:rsidRPr="00245D0F">
        <w:rPr>
          <w:rFonts w:hAnsi="Times New Roman" w:cs="Times New Roman"/>
          <w:lang w:val="it-IT"/>
        </w:rPr>
        <w:t xml:space="preserve"> </w:t>
      </w:r>
      <w:r w:rsidRPr="00AD17E0">
        <w:rPr>
          <w:rFonts w:hAnsi="Times New Roman" w:cs="Times New Roman"/>
        </w:rPr>
        <w:t xml:space="preserve">Classification of microadenomas in patients with primary aldosteronism by steroid profiling. </w:t>
      </w:r>
      <w:r w:rsidRPr="00CB0B97">
        <w:rPr>
          <w:rFonts w:hAnsi="Times New Roman" w:cs="Times New Roman"/>
          <w:i/>
          <w:iCs/>
        </w:rPr>
        <w:t>J Steroid Biochem Mol Biol.</w:t>
      </w:r>
      <w:r w:rsidRPr="00AD17E0">
        <w:rPr>
          <w:rFonts w:hAnsi="Times New Roman" w:cs="Times New Roman"/>
        </w:rPr>
        <w:t xml:space="preserve"> 2019;189:274-282.</w:t>
      </w:r>
    </w:p>
    <w:p w14:paraId="5465D1E7" w14:textId="77777777" w:rsidR="00245D0F" w:rsidRDefault="00245D0F" w:rsidP="00245D0F">
      <w:pPr>
        <w:pStyle w:val="Corpo"/>
        <w:numPr>
          <w:ilvl w:val="0"/>
          <w:numId w:val="22"/>
        </w:numPr>
        <w:tabs>
          <w:tab w:val="left" w:pos="5529"/>
        </w:tabs>
        <w:ind w:left="426"/>
        <w:jc w:val="both"/>
        <w:rPr>
          <w:rFonts w:hAnsi="Times New Roman" w:cs="Times New Roman"/>
        </w:rPr>
      </w:pPr>
      <w:r w:rsidRPr="00245D0F">
        <w:t>K</w:t>
      </w:r>
      <w:r w:rsidRPr="00245D0F">
        <w:rPr>
          <w:rFonts w:hAnsi="Times New Roman" w:cs="Times New Roman"/>
        </w:rPr>
        <w:t>ü</w:t>
      </w:r>
      <w:r w:rsidRPr="00245D0F">
        <w:t xml:space="preserve">pers EM, Amar L, Raynaud A, et al. A clinical prediction score to diagnose unilateral primary aldosteronism. </w:t>
      </w:r>
      <w:r w:rsidRPr="00245D0F">
        <w:rPr>
          <w:i/>
          <w:iCs/>
        </w:rPr>
        <w:t>J Clin Endocrinol Metab.</w:t>
      </w:r>
      <w:r w:rsidRPr="00245D0F">
        <w:t xml:space="preserve"> 2012;97:3530-7.</w:t>
      </w:r>
    </w:p>
    <w:p w14:paraId="141F5F20" w14:textId="77777777" w:rsidR="00245D0F" w:rsidRDefault="00245D0F" w:rsidP="00245D0F">
      <w:pPr>
        <w:pStyle w:val="Corpo"/>
        <w:numPr>
          <w:ilvl w:val="0"/>
          <w:numId w:val="22"/>
        </w:numPr>
        <w:tabs>
          <w:tab w:val="left" w:pos="5529"/>
        </w:tabs>
        <w:ind w:left="426"/>
        <w:jc w:val="both"/>
        <w:rPr>
          <w:rFonts w:hAnsi="Times New Roman" w:cs="Times New Roman"/>
        </w:rPr>
      </w:pPr>
      <w:r w:rsidRPr="00245D0F">
        <w:t xml:space="preserve">Nanba K, Tsuiki M, Nakao K, et al. A subtype prediction score for primary aldosteronism. </w:t>
      </w:r>
      <w:r w:rsidRPr="00245D0F">
        <w:rPr>
          <w:i/>
          <w:iCs/>
        </w:rPr>
        <w:t xml:space="preserve">J Hum Hypertens. </w:t>
      </w:r>
      <w:r w:rsidRPr="00245D0F">
        <w:t>2014;28:716-20.</w:t>
      </w:r>
    </w:p>
    <w:p w14:paraId="60CEBEEB" w14:textId="77777777" w:rsidR="00245D0F" w:rsidRDefault="00245D0F" w:rsidP="00245D0F">
      <w:pPr>
        <w:pStyle w:val="Corpo"/>
        <w:numPr>
          <w:ilvl w:val="0"/>
          <w:numId w:val="22"/>
        </w:numPr>
        <w:tabs>
          <w:tab w:val="left" w:pos="5529"/>
        </w:tabs>
        <w:ind w:left="426"/>
        <w:jc w:val="both"/>
        <w:rPr>
          <w:rFonts w:hAnsi="Times New Roman" w:cs="Times New Roman"/>
        </w:rPr>
      </w:pPr>
      <w:r w:rsidRPr="00245D0F">
        <w:rPr>
          <w:rFonts w:hAnsi="Times New Roman" w:cs="Times New Roman"/>
        </w:rPr>
        <w:t xml:space="preserve">Kocjan T, Janez A, Stankovic M, et al. A new clinical prediction criterion accurately determines a subset of patients with bilateral primary aldosteronism before adrenal venous sampling. </w:t>
      </w:r>
      <w:r w:rsidRPr="00245D0F">
        <w:rPr>
          <w:rFonts w:hAnsi="Times New Roman" w:cs="Times New Roman"/>
          <w:i/>
          <w:iCs/>
        </w:rPr>
        <w:t>Endocr Pract.</w:t>
      </w:r>
      <w:r w:rsidRPr="00245D0F">
        <w:rPr>
          <w:rFonts w:hAnsi="Times New Roman" w:cs="Times New Roman"/>
        </w:rPr>
        <w:t xml:space="preserve"> 2016;22:587-94.</w:t>
      </w:r>
    </w:p>
    <w:p w14:paraId="0D546C4C" w14:textId="77777777" w:rsidR="0099726F" w:rsidRDefault="0099726F" w:rsidP="0099726F">
      <w:pPr>
        <w:pStyle w:val="Corpo"/>
        <w:numPr>
          <w:ilvl w:val="0"/>
          <w:numId w:val="22"/>
        </w:numPr>
        <w:tabs>
          <w:tab w:val="left" w:pos="5529"/>
        </w:tabs>
        <w:ind w:left="426"/>
        <w:jc w:val="both"/>
        <w:rPr>
          <w:rFonts w:hAnsi="Times New Roman" w:cs="Times New Roman"/>
        </w:rPr>
      </w:pPr>
      <w:r w:rsidRPr="00245D0F">
        <w:rPr>
          <w:rFonts w:hAnsi="Times New Roman" w:cs="Times New Roman"/>
          <w:lang w:val="it-IT"/>
        </w:rPr>
        <w:t xml:space="preserve">Kamemura K, Wada N, Ichijo T, et al. </w:t>
      </w:r>
      <w:r w:rsidRPr="00245D0F">
        <w:rPr>
          <w:rFonts w:hAnsi="Times New Roman" w:cs="Times New Roman"/>
        </w:rPr>
        <w:t xml:space="preserve">Significance of adrenal computed tomography in predicting laterality and indicating adrenal vein sampling in primary aldosteronism. </w:t>
      </w:r>
      <w:r w:rsidRPr="00245D0F">
        <w:rPr>
          <w:rFonts w:hAnsi="Times New Roman" w:cs="Times New Roman"/>
          <w:i/>
          <w:iCs/>
        </w:rPr>
        <w:t>J Hum Hypertens.</w:t>
      </w:r>
      <w:r w:rsidRPr="00245D0F">
        <w:rPr>
          <w:rFonts w:hAnsi="Times New Roman" w:cs="Times New Roman"/>
        </w:rPr>
        <w:t xml:space="preserve"> 2017;31:195-199.</w:t>
      </w:r>
    </w:p>
    <w:p w14:paraId="0F365D4B" w14:textId="15283B54" w:rsidR="00245D0F" w:rsidRDefault="00245D0F" w:rsidP="00245D0F">
      <w:pPr>
        <w:pStyle w:val="Corpo"/>
        <w:numPr>
          <w:ilvl w:val="0"/>
          <w:numId w:val="22"/>
        </w:numPr>
        <w:tabs>
          <w:tab w:val="left" w:pos="5529"/>
        </w:tabs>
        <w:ind w:left="426"/>
        <w:jc w:val="both"/>
        <w:rPr>
          <w:rFonts w:hAnsi="Times New Roman" w:cs="Times New Roman"/>
        </w:rPr>
      </w:pPr>
      <w:r w:rsidRPr="00245D0F">
        <w:rPr>
          <w:rFonts w:hAnsi="Times New Roman" w:cs="Times New Roman"/>
          <w:lang w:val="it-IT"/>
        </w:rPr>
        <w:t xml:space="preserve">Kobayashi H, Haketa A, Ueno T, et al. </w:t>
      </w:r>
      <w:r w:rsidRPr="00245D0F">
        <w:rPr>
          <w:rFonts w:hAnsi="Times New Roman" w:cs="Times New Roman"/>
        </w:rPr>
        <w:t xml:space="preserve">Scoring system for the diagnosis of bilateral primary aldosteronism in the outpatient setting before adrenal venous sampling. </w:t>
      </w:r>
      <w:r w:rsidRPr="00245D0F">
        <w:rPr>
          <w:rFonts w:hAnsi="Times New Roman" w:cs="Times New Roman"/>
          <w:i/>
          <w:iCs/>
        </w:rPr>
        <w:t xml:space="preserve">Clin Endocrinol (Oxf). </w:t>
      </w:r>
      <w:r w:rsidRPr="00245D0F">
        <w:rPr>
          <w:rFonts w:hAnsi="Times New Roman" w:cs="Times New Roman"/>
        </w:rPr>
        <w:t>2017;86:467-472.</w:t>
      </w:r>
    </w:p>
    <w:p w14:paraId="27DFB086" w14:textId="77777777" w:rsidR="00245D0F" w:rsidRDefault="00245D0F" w:rsidP="00245D0F">
      <w:pPr>
        <w:pStyle w:val="Corpo"/>
        <w:numPr>
          <w:ilvl w:val="0"/>
          <w:numId w:val="22"/>
        </w:numPr>
        <w:tabs>
          <w:tab w:val="left" w:pos="5529"/>
        </w:tabs>
        <w:ind w:left="426"/>
        <w:jc w:val="both"/>
        <w:rPr>
          <w:rFonts w:hAnsi="Times New Roman" w:cs="Times New Roman"/>
        </w:rPr>
      </w:pPr>
      <w:r w:rsidRPr="00245D0F">
        <w:rPr>
          <w:rFonts w:hAnsi="Times New Roman" w:cs="Times New Roman"/>
        </w:rPr>
        <w:t xml:space="preserve">Kobayashi H, Abe M, Soma M, et al; JPAS Study Group. Development and validation of subtype prediction scores for the workup of primary aldosteronism. </w:t>
      </w:r>
      <w:r w:rsidRPr="00245D0F">
        <w:rPr>
          <w:rFonts w:hAnsi="Times New Roman" w:cs="Times New Roman"/>
          <w:i/>
          <w:iCs/>
        </w:rPr>
        <w:t>J Hypertens</w:t>
      </w:r>
      <w:r w:rsidRPr="00245D0F">
        <w:rPr>
          <w:rFonts w:hAnsi="Times New Roman" w:cs="Times New Roman"/>
        </w:rPr>
        <w:t>. 2018;36:2269-2276.</w:t>
      </w:r>
    </w:p>
    <w:p w14:paraId="04063145" w14:textId="38E798DA" w:rsidR="00245D0F" w:rsidRPr="00245D0F" w:rsidRDefault="00245D0F" w:rsidP="00245D0F">
      <w:pPr>
        <w:pStyle w:val="Corpo"/>
        <w:numPr>
          <w:ilvl w:val="0"/>
          <w:numId w:val="22"/>
        </w:numPr>
        <w:tabs>
          <w:tab w:val="left" w:pos="5529"/>
        </w:tabs>
        <w:ind w:left="426"/>
        <w:jc w:val="both"/>
        <w:rPr>
          <w:rFonts w:hAnsi="Times New Roman" w:cs="Times New Roman"/>
        </w:rPr>
      </w:pPr>
      <w:r w:rsidRPr="00245D0F">
        <w:t xml:space="preserve">Leung HT, Woo YC, Fong CHY, et al. A clinical prediction score using age at diagnosis and saline infusion test parameters can predict aldosterone-producing adenoma from idiopathic adrenal hyperplasia. </w:t>
      </w:r>
      <w:r w:rsidRPr="00245D0F">
        <w:rPr>
          <w:i/>
          <w:iCs/>
        </w:rPr>
        <w:t>J Endocrinol Invest.</w:t>
      </w:r>
      <w:r w:rsidRPr="00245D0F">
        <w:t xml:space="preserve"> 2019. [Epub ahead of print].</w:t>
      </w:r>
    </w:p>
    <w:p w14:paraId="6F677AE4" w14:textId="77777777" w:rsidR="00245D0F" w:rsidRPr="007816B1" w:rsidRDefault="00245D0F" w:rsidP="00245D0F">
      <w:pPr>
        <w:pStyle w:val="Corpo"/>
        <w:tabs>
          <w:tab w:val="left" w:pos="5529"/>
        </w:tabs>
        <w:jc w:val="both"/>
        <w:rPr>
          <w:rFonts w:hAnsi="Times New Roman" w:cs="Times New Roman"/>
        </w:rPr>
      </w:pPr>
    </w:p>
    <w:p w14:paraId="4D45C0B5" w14:textId="77777777" w:rsidR="00E80DCC" w:rsidRDefault="00E80DCC" w:rsidP="0089621A">
      <w:pPr>
        <w:pStyle w:val="Corpo"/>
        <w:spacing w:line="480" w:lineRule="auto"/>
        <w:jc w:val="both"/>
        <w:rPr>
          <w:rFonts w:hAnsi="Times New Roman" w:cs="Times New Roman"/>
          <w:b/>
          <w:bCs/>
          <w:i/>
          <w:iCs/>
        </w:rPr>
      </w:pPr>
    </w:p>
    <w:p w14:paraId="63C109B1" w14:textId="08C01DD9" w:rsidR="00245D0F" w:rsidRDefault="00245D0F" w:rsidP="0089621A">
      <w:pPr>
        <w:pStyle w:val="Corpo"/>
        <w:spacing w:line="480" w:lineRule="auto"/>
        <w:jc w:val="both"/>
        <w:rPr>
          <w:rFonts w:hAnsi="Times New Roman" w:cs="Times New Roman"/>
          <w:b/>
          <w:bCs/>
          <w:i/>
          <w:iCs/>
        </w:rPr>
        <w:sectPr w:rsidR="00245D0F" w:rsidSect="00EC654A">
          <w:footerReference w:type="even" r:id="rId8"/>
          <w:footerReference w:type="default" r:id="rId9"/>
          <w:pgSz w:w="11900" w:h="16840"/>
          <w:pgMar w:top="1416" w:right="1410" w:bottom="851" w:left="993" w:header="708" w:footer="708" w:gutter="0"/>
          <w:cols w:space="720"/>
        </w:sectPr>
      </w:pPr>
    </w:p>
    <w:p w14:paraId="57F1B091" w14:textId="32E0EE92" w:rsidR="00BD798B" w:rsidRPr="008F2D54" w:rsidRDefault="00E601D2" w:rsidP="00BD798B">
      <w:pPr>
        <w:pStyle w:val="Corpo"/>
        <w:tabs>
          <w:tab w:val="left" w:pos="5529"/>
        </w:tabs>
        <w:spacing w:line="480" w:lineRule="auto"/>
        <w:jc w:val="both"/>
        <w:outlineLvl w:val="0"/>
        <w:rPr>
          <w:rFonts w:hAnsi="Times New Roman" w:cs="Times New Roman"/>
          <w:b/>
          <w:bCs/>
          <w:shd w:val="clear" w:color="auto" w:fill="FFFF00"/>
        </w:rPr>
      </w:pPr>
      <w:r w:rsidRPr="008F2D54">
        <w:rPr>
          <w:rFonts w:hAnsi="Times New Roman" w:cs="Times New Roman"/>
          <w:b/>
          <w:bCs/>
        </w:rPr>
        <w:lastRenderedPageBreak/>
        <w:t>Supplementa</w:t>
      </w:r>
      <w:r w:rsidR="00D27028">
        <w:rPr>
          <w:rFonts w:hAnsi="Times New Roman" w:cs="Times New Roman"/>
          <w:b/>
          <w:bCs/>
        </w:rPr>
        <w:t xml:space="preserve">ry </w:t>
      </w:r>
      <w:r w:rsidRPr="008F2D54">
        <w:rPr>
          <w:rFonts w:hAnsi="Times New Roman" w:cs="Times New Roman"/>
          <w:b/>
          <w:bCs/>
        </w:rPr>
        <w:t>Table 1</w:t>
      </w:r>
      <w:r w:rsidR="008F2D54" w:rsidRPr="008F2D54">
        <w:rPr>
          <w:rFonts w:hAnsi="Times New Roman" w:cs="Times New Roman"/>
          <w:b/>
          <w:bCs/>
        </w:rPr>
        <w:t>.</w:t>
      </w:r>
      <w:r w:rsidR="00BD798B" w:rsidRPr="008F2D54">
        <w:rPr>
          <w:rFonts w:hAnsi="Times New Roman" w:cs="Times New Roman"/>
          <w:b/>
          <w:bCs/>
        </w:rPr>
        <w:t xml:space="preserve"> </w:t>
      </w:r>
      <w:r w:rsidR="00F857D8" w:rsidRPr="008F2D54">
        <w:rPr>
          <w:rFonts w:hAnsi="Times New Roman" w:cs="Times New Roman"/>
          <w:b/>
          <w:bCs/>
        </w:rPr>
        <w:t>Patient Characteristics of Study Cohort</w:t>
      </w:r>
    </w:p>
    <w:tbl>
      <w:tblPr>
        <w:tblStyle w:val="Grigliatabellachiara"/>
        <w:tblW w:w="8271" w:type="dxa"/>
        <w:tblInd w:w="209" w:type="dxa"/>
        <w:tblLook w:val="04A0" w:firstRow="1" w:lastRow="0" w:firstColumn="1" w:lastColumn="0" w:noHBand="0" w:noVBand="1"/>
      </w:tblPr>
      <w:tblGrid>
        <w:gridCol w:w="4464"/>
        <w:gridCol w:w="2248"/>
        <w:gridCol w:w="1559"/>
      </w:tblGrid>
      <w:tr w:rsidR="00171434" w:rsidRPr="00177D39" w14:paraId="4CDEA311" w14:textId="77777777" w:rsidTr="008E12DF">
        <w:trPr>
          <w:trHeight w:val="477"/>
        </w:trPr>
        <w:tc>
          <w:tcPr>
            <w:tcW w:w="4464" w:type="dxa"/>
            <w:tcBorders>
              <w:top w:val="single" w:sz="4" w:space="0" w:color="auto"/>
              <w:left w:val="single" w:sz="4" w:space="0" w:color="auto"/>
              <w:bottom w:val="single" w:sz="8" w:space="0" w:color="auto"/>
            </w:tcBorders>
            <w:shd w:val="clear" w:color="auto" w:fill="D9D9D9" w:themeFill="background1" w:themeFillShade="D9"/>
            <w:vAlign w:val="center"/>
          </w:tcPr>
          <w:p w14:paraId="6E116155" w14:textId="5C3776F2" w:rsidR="00171434" w:rsidRPr="00177D39" w:rsidRDefault="00171434" w:rsidP="008F5BE8">
            <w:pPr>
              <w:rPr>
                <w:rFonts w:ascii="Times New Roman" w:hAnsi="Times New Roman" w:cs="Times New Roman"/>
                <w:b/>
                <w:sz w:val="20"/>
                <w:szCs w:val="20"/>
                <w:lang w:val="en-US"/>
              </w:rPr>
            </w:pPr>
            <w:r w:rsidRPr="00177D39">
              <w:rPr>
                <w:rFonts w:ascii="Times New Roman" w:hAnsi="Times New Roman" w:cs="Times New Roman"/>
                <w:b/>
                <w:sz w:val="20"/>
                <w:szCs w:val="20"/>
                <w:lang w:val="en-US"/>
              </w:rPr>
              <w:t xml:space="preserve">Variable (ref. </w:t>
            </w:r>
            <w:r w:rsidR="00177D39">
              <w:rPr>
                <w:rFonts w:ascii="Times New Roman" w:hAnsi="Times New Roman" w:cs="Times New Roman"/>
                <w:b/>
                <w:sz w:val="20"/>
                <w:szCs w:val="20"/>
                <w:lang w:val="en-US"/>
              </w:rPr>
              <w:t>U</w:t>
            </w:r>
            <w:r w:rsidR="001F5DFD" w:rsidRPr="00177D39">
              <w:rPr>
                <w:rFonts w:ascii="Times New Roman" w:hAnsi="Times New Roman" w:cs="Times New Roman"/>
                <w:b/>
                <w:sz w:val="20"/>
                <w:szCs w:val="20"/>
                <w:lang w:val="en-US"/>
              </w:rPr>
              <w:t>PA</w:t>
            </w:r>
            <w:r w:rsidRPr="00177D39">
              <w:rPr>
                <w:rFonts w:ascii="Times New Roman" w:hAnsi="Times New Roman" w:cs="Times New Roman"/>
                <w:b/>
                <w:sz w:val="20"/>
                <w:szCs w:val="20"/>
                <w:lang w:val="en-US"/>
              </w:rPr>
              <w:t>)</w:t>
            </w:r>
          </w:p>
        </w:tc>
        <w:tc>
          <w:tcPr>
            <w:tcW w:w="2248" w:type="dxa"/>
            <w:tcBorders>
              <w:top w:val="single" w:sz="4" w:space="0" w:color="auto"/>
              <w:bottom w:val="single" w:sz="8" w:space="0" w:color="auto"/>
            </w:tcBorders>
            <w:shd w:val="clear" w:color="auto" w:fill="D9D9D9" w:themeFill="background1" w:themeFillShade="D9"/>
            <w:vAlign w:val="center"/>
          </w:tcPr>
          <w:p w14:paraId="2BCFE4F4" w14:textId="1BA08ED0" w:rsidR="00171434" w:rsidRPr="00177D39" w:rsidRDefault="00171434" w:rsidP="008F5BE8">
            <w:pPr>
              <w:jc w:val="center"/>
              <w:rPr>
                <w:rFonts w:ascii="Times New Roman" w:hAnsi="Times New Roman" w:cs="Times New Roman"/>
                <w:b/>
                <w:sz w:val="20"/>
                <w:szCs w:val="20"/>
                <w:lang w:val="en-US"/>
              </w:rPr>
            </w:pPr>
            <w:r w:rsidRPr="00177D39">
              <w:rPr>
                <w:rFonts w:ascii="Times New Roman" w:hAnsi="Times New Roman" w:cs="Times New Roman"/>
                <w:b/>
                <w:sz w:val="20"/>
                <w:szCs w:val="20"/>
                <w:lang w:val="en-US"/>
              </w:rPr>
              <w:t>OR (</w:t>
            </w:r>
            <w:r w:rsidR="00D5012D" w:rsidRPr="00177D39">
              <w:rPr>
                <w:rFonts w:ascii="Times New Roman" w:hAnsi="Times New Roman" w:cs="Times New Roman"/>
                <w:b/>
                <w:sz w:val="20"/>
                <w:szCs w:val="20"/>
                <w:lang w:val="en-US"/>
              </w:rPr>
              <w:t>CI</w:t>
            </w:r>
            <w:r w:rsidRPr="00177D39">
              <w:rPr>
                <w:rFonts w:ascii="Times New Roman" w:hAnsi="Times New Roman" w:cs="Times New Roman"/>
                <w:b/>
                <w:sz w:val="20"/>
                <w:szCs w:val="20"/>
                <w:lang w:val="en-US"/>
              </w:rPr>
              <w:t xml:space="preserve"> 95%)</w:t>
            </w:r>
          </w:p>
        </w:tc>
        <w:tc>
          <w:tcPr>
            <w:tcW w:w="1559" w:type="dxa"/>
            <w:tcBorders>
              <w:top w:val="single" w:sz="4" w:space="0" w:color="auto"/>
              <w:bottom w:val="single" w:sz="8" w:space="0" w:color="auto"/>
              <w:right w:val="single" w:sz="4" w:space="0" w:color="auto"/>
            </w:tcBorders>
            <w:shd w:val="clear" w:color="auto" w:fill="D9D9D9" w:themeFill="background1" w:themeFillShade="D9"/>
            <w:vAlign w:val="center"/>
          </w:tcPr>
          <w:p w14:paraId="618F2DD8" w14:textId="77777777" w:rsidR="00171434" w:rsidRPr="00177D39" w:rsidRDefault="00171434" w:rsidP="008F5BE8">
            <w:pPr>
              <w:jc w:val="center"/>
              <w:rPr>
                <w:rFonts w:ascii="Times New Roman" w:hAnsi="Times New Roman" w:cs="Times New Roman"/>
                <w:b/>
                <w:sz w:val="20"/>
                <w:szCs w:val="20"/>
                <w:lang w:val="en-US"/>
              </w:rPr>
            </w:pPr>
            <w:r w:rsidRPr="00177D39">
              <w:rPr>
                <w:rFonts w:ascii="Times New Roman" w:hAnsi="Times New Roman" w:cs="Times New Roman"/>
                <w:b/>
                <w:i/>
                <w:sz w:val="20"/>
                <w:szCs w:val="20"/>
                <w:lang w:val="en-US"/>
              </w:rPr>
              <w:t>P-</w:t>
            </w:r>
            <w:r w:rsidRPr="00177D39">
              <w:rPr>
                <w:rFonts w:ascii="Times New Roman" w:hAnsi="Times New Roman" w:cs="Times New Roman"/>
                <w:b/>
                <w:sz w:val="20"/>
                <w:szCs w:val="20"/>
                <w:lang w:val="en-US"/>
              </w:rPr>
              <w:t>value</w:t>
            </w:r>
          </w:p>
        </w:tc>
      </w:tr>
      <w:tr w:rsidR="00171434" w:rsidRPr="00177D39" w14:paraId="4AC71BA5" w14:textId="77777777" w:rsidTr="008E12DF">
        <w:trPr>
          <w:trHeight w:val="454"/>
        </w:trPr>
        <w:tc>
          <w:tcPr>
            <w:tcW w:w="4464" w:type="dxa"/>
            <w:tcBorders>
              <w:top w:val="single" w:sz="8" w:space="0" w:color="auto"/>
              <w:left w:val="single" w:sz="4" w:space="0" w:color="auto"/>
            </w:tcBorders>
            <w:vAlign w:val="center"/>
          </w:tcPr>
          <w:p w14:paraId="142296B9" w14:textId="6F519358" w:rsidR="00171434" w:rsidRPr="00177D39" w:rsidRDefault="00315A0A" w:rsidP="008F5BE8">
            <w:pPr>
              <w:rPr>
                <w:rFonts w:ascii="Times New Roman" w:hAnsi="Times New Roman" w:cs="Times New Roman"/>
                <w:sz w:val="20"/>
                <w:szCs w:val="20"/>
                <w:lang w:val="en-US"/>
              </w:rPr>
            </w:pPr>
            <w:r>
              <w:rPr>
                <w:rFonts w:ascii="Times New Roman" w:hAnsi="Times New Roman" w:cs="Times New Roman"/>
                <w:sz w:val="20"/>
                <w:szCs w:val="20"/>
                <w:lang w:val="en-US"/>
              </w:rPr>
              <w:t>S</w:t>
            </w:r>
            <w:r w:rsidR="00BE11CF">
              <w:rPr>
                <w:rFonts w:ascii="Times New Roman" w:hAnsi="Times New Roman" w:cs="Times New Roman"/>
                <w:sz w:val="20"/>
                <w:szCs w:val="20"/>
                <w:lang w:val="en-US"/>
              </w:rPr>
              <w:t>ex</w:t>
            </w:r>
            <w:r>
              <w:rPr>
                <w:rFonts w:ascii="Times New Roman" w:hAnsi="Times New Roman" w:cs="Times New Roman"/>
                <w:sz w:val="20"/>
                <w:szCs w:val="20"/>
                <w:lang w:val="en-US"/>
              </w:rPr>
              <w:t xml:space="preserve"> (ref. female)</w:t>
            </w:r>
          </w:p>
        </w:tc>
        <w:tc>
          <w:tcPr>
            <w:tcW w:w="2248" w:type="dxa"/>
            <w:tcBorders>
              <w:top w:val="single" w:sz="8" w:space="0" w:color="auto"/>
            </w:tcBorders>
            <w:vAlign w:val="center"/>
          </w:tcPr>
          <w:p w14:paraId="0DFCFEFE" w14:textId="77777777" w:rsidR="00171434" w:rsidRPr="00177D39" w:rsidRDefault="00171434" w:rsidP="008F5BE8">
            <w:pPr>
              <w:jc w:val="center"/>
              <w:rPr>
                <w:rFonts w:ascii="Times New Roman" w:hAnsi="Times New Roman" w:cs="Times New Roman"/>
                <w:sz w:val="20"/>
                <w:szCs w:val="20"/>
                <w:lang w:val="en-US"/>
              </w:rPr>
            </w:pPr>
            <w:r w:rsidRPr="00177D39">
              <w:rPr>
                <w:rFonts w:ascii="Times New Roman" w:hAnsi="Times New Roman" w:cs="Times New Roman"/>
                <w:sz w:val="20"/>
                <w:szCs w:val="20"/>
                <w:lang w:val="en-US"/>
              </w:rPr>
              <w:t>2.41 (1.30 – 4.47)</w:t>
            </w:r>
          </w:p>
        </w:tc>
        <w:tc>
          <w:tcPr>
            <w:tcW w:w="1559" w:type="dxa"/>
            <w:tcBorders>
              <w:top w:val="single" w:sz="8" w:space="0" w:color="auto"/>
              <w:right w:val="single" w:sz="4" w:space="0" w:color="auto"/>
            </w:tcBorders>
            <w:vAlign w:val="center"/>
          </w:tcPr>
          <w:p w14:paraId="3DCF0A33" w14:textId="77777777" w:rsidR="00171434" w:rsidRPr="00177D39" w:rsidRDefault="00171434" w:rsidP="008F5BE8">
            <w:pPr>
              <w:jc w:val="center"/>
              <w:rPr>
                <w:rFonts w:ascii="Times New Roman" w:hAnsi="Times New Roman" w:cs="Times New Roman"/>
                <w:b/>
                <w:bCs/>
                <w:sz w:val="20"/>
                <w:szCs w:val="20"/>
                <w:lang w:val="en-US"/>
              </w:rPr>
            </w:pPr>
            <w:r w:rsidRPr="00177D39">
              <w:rPr>
                <w:rFonts w:ascii="Times New Roman" w:hAnsi="Times New Roman" w:cs="Times New Roman"/>
                <w:b/>
                <w:bCs/>
                <w:sz w:val="20"/>
                <w:szCs w:val="20"/>
                <w:lang w:val="en-US"/>
              </w:rPr>
              <w:t>0.005</w:t>
            </w:r>
          </w:p>
        </w:tc>
      </w:tr>
      <w:tr w:rsidR="00171434" w:rsidRPr="00177D39" w14:paraId="34168D32" w14:textId="77777777" w:rsidTr="008E12DF">
        <w:trPr>
          <w:trHeight w:val="454"/>
        </w:trPr>
        <w:tc>
          <w:tcPr>
            <w:tcW w:w="4464" w:type="dxa"/>
            <w:tcBorders>
              <w:left w:val="single" w:sz="4" w:space="0" w:color="auto"/>
            </w:tcBorders>
            <w:shd w:val="clear" w:color="auto" w:fill="F2F2F2" w:themeFill="background1" w:themeFillShade="F2"/>
            <w:vAlign w:val="center"/>
          </w:tcPr>
          <w:p w14:paraId="537C6FF8" w14:textId="5961ADD5" w:rsidR="00171434" w:rsidRPr="00177D39" w:rsidRDefault="00171434" w:rsidP="008F5BE8">
            <w:pPr>
              <w:rPr>
                <w:rFonts w:ascii="Times New Roman" w:hAnsi="Times New Roman" w:cs="Times New Roman"/>
                <w:sz w:val="20"/>
                <w:szCs w:val="20"/>
                <w:lang w:val="en-US"/>
              </w:rPr>
            </w:pPr>
            <w:r w:rsidRPr="00177D39">
              <w:rPr>
                <w:rFonts w:ascii="Times New Roman" w:hAnsi="Times New Roman" w:cs="Times New Roman"/>
                <w:sz w:val="20"/>
                <w:szCs w:val="20"/>
                <w:lang w:val="en-US"/>
              </w:rPr>
              <w:t xml:space="preserve">Age at </w:t>
            </w:r>
            <w:r w:rsidR="00315A0A">
              <w:rPr>
                <w:rFonts w:ascii="Times New Roman" w:hAnsi="Times New Roman" w:cs="Times New Roman"/>
                <w:sz w:val="20"/>
                <w:szCs w:val="20"/>
                <w:lang w:val="en-US"/>
              </w:rPr>
              <w:t>diagnosis</w:t>
            </w:r>
            <w:r w:rsidRPr="00177D39">
              <w:rPr>
                <w:rFonts w:ascii="Times New Roman" w:hAnsi="Times New Roman" w:cs="Times New Roman"/>
                <w:sz w:val="20"/>
                <w:szCs w:val="20"/>
                <w:lang w:val="en-US"/>
              </w:rPr>
              <w:t xml:space="preserve"> (years)</w:t>
            </w:r>
          </w:p>
        </w:tc>
        <w:tc>
          <w:tcPr>
            <w:tcW w:w="2248" w:type="dxa"/>
            <w:shd w:val="clear" w:color="auto" w:fill="F2F2F2" w:themeFill="background1" w:themeFillShade="F2"/>
            <w:vAlign w:val="center"/>
          </w:tcPr>
          <w:p w14:paraId="67E04D91" w14:textId="77777777" w:rsidR="00171434" w:rsidRPr="00177D39" w:rsidRDefault="00171434" w:rsidP="008F5BE8">
            <w:pPr>
              <w:jc w:val="center"/>
              <w:rPr>
                <w:rFonts w:ascii="Times New Roman" w:hAnsi="Times New Roman" w:cs="Times New Roman"/>
                <w:sz w:val="20"/>
                <w:szCs w:val="20"/>
                <w:lang w:val="en-US"/>
              </w:rPr>
            </w:pPr>
            <w:r w:rsidRPr="00177D39">
              <w:rPr>
                <w:rFonts w:ascii="Times New Roman" w:hAnsi="Times New Roman" w:cs="Times New Roman"/>
                <w:sz w:val="20"/>
                <w:szCs w:val="20"/>
                <w:lang w:val="en-US"/>
              </w:rPr>
              <w:t>0.98 (0.96 – 1.01)</w:t>
            </w:r>
          </w:p>
        </w:tc>
        <w:tc>
          <w:tcPr>
            <w:tcW w:w="1559" w:type="dxa"/>
            <w:tcBorders>
              <w:right w:val="single" w:sz="4" w:space="0" w:color="auto"/>
            </w:tcBorders>
            <w:shd w:val="clear" w:color="auto" w:fill="F2F2F2" w:themeFill="background1" w:themeFillShade="F2"/>
            <w:vAlign w:val="center"/>
          </w:tcPr>
          <w:p w14:paraId="230C90AA" w14:textId="77777777" w:rsidR="00171434" w:rsidRPr="00177D39" w:rsidRDefault="00171434" w:rsidP="008F5BE8">
            <w:pPr>
              <w:jc w:val="center"/>
              <w:rPr>
                <w:rFonts w:ascii="Times New Roman" w:hAnsi="Times New Roman" w:cs="Times New Roman"/>
                <w:sz w:val="20"/>
                <w:szCs w:val="20"/>
                <w:lang w:val="en-US"/>
              </w:rPr>
            </w:pPr>
            <w:r w:rsidRPr="00177D39">
              <w:rPr>
                <w:rFonts w:ascii="Times New Roman" w:hAnsi="Times New Roman" w:cs="Times New Roman"/>
                <w:sz w:val="20"/>
                <w:szCs w:val="20"/>
                <w:lang w:val="en-US"/>
              </w:rPr>
              <w:t>0.282</w:t>
            </w:r>
          </w:p>
        </w:tc>
      </w:tr>
      <w:tr w:rsidR="00171434" w:rsidRPr="00177D39" w14:paraId="1C66E248" w14:textId="77777777" w:rsidTr="008E12DF">
        <w:trPr>
          <w:trHeight w:val="454"/>
        </w:trPr>
        <w:tc>
          <w:tcPr>
            <w:tcW w:w="4464" w:type="dxa"/>
            <w:tcBorders>
              <w:left w:val="single" w:sz="4" w:space="0" w:color="auto"/>
            </w:tcBorders>
            <w:vAlign w:val="center"/>
          </w:tcPr>
          <w:p w14:paraId="60337CEC" w14:textId="77777777" w:rsidR="00171434" w:rsidRPr="00177D39" w:rsidRDefault="00171434" w:rsidP="008F5BE8">
            <w:pPr>
              <w:rPr>
                <w:rFonts w:ascii="Times New Roman" w:hAnsi="Times New Roman" w:cs="Times New Roman"/>
                <w:sz w:val="20"/>
                <w:szCs w:val="20"/>
                <w:lang w:val="en-US"/>
              </w:rPr>
            </w:pPr>
            <w:r w:rsidRPr="00177D39">
              <w:rPr>
                <w:rFonts w:ascii="Times New Roman" w:hAnsi="Times New Roman" w:cs="Times New Roman"/>
                <w:sz w:val="20"/>
                <w:szCs w:val="20"/>
                <w:lang w:val="en-US"/>
              </w:rPr>
              <w:t>Duration of HTN (months)</w:t>
            </w:r>
          </w:p>
        </w:tc>
        <w:tc>
          <w:tcPr>
            <w:tcW w:w="2248" w:type="dxa"/>
            <w:vAlign w:val="center"/>
          </w:tcPr>
          <w:p w14:paraId="324C47B2" w14:textId="77777777" w:rsidR="00171434" w:rsidRPr="00177D39" w:rsidRDefault="00171434" w:rsidP="008F5BE8">
            <w:pPr>
              <w:jc w:val="center"/>
              <w:rPr>
                <w:rFonts w:ascii="Times New Roman" w:hAnsi="Times New Roman" w:cs="Times New Roman"/>
                <w:sz w:val="20"/>
                <w:szCs w:val="20"/>
                <w:lang w:val="en-US"/>
              </w:rPr>
            </w:pPr>
            <w:r w:rsidRPr="00177D39">
              <w:rPr>
                <w:rFonts w:ascii="Times New Roman" w:hAnsi="Times New Roman" w:cs="Times New Roman"/>
                <w:sz w:val="20"/>
                <w:szCs w:val="20"/>
                <w:lang w:val="en-US"/>
              </w:rPr>
              <w:t>1.01 (1.01 – 1.01)</w:t>
            </w:r>
          </w:p>
        </w:tc>
        <w:tc>
          <w:tcPr>
            <w:tcW w:w="1559" w:type="dxa"/>
            <w:tcBorders>
              <w:right w:val="single" w:sz="4" w:space="0" w:color="auto"/>
            </w:tcBorders>
            <w:vAlign w:val="center"/>
          </w:tcPr>
          <w:p w14:paraId="336748F6" w14:textId="77777777" w:rsidR="00171434" w:rsidRPr="00177D39" w:rsidRDefault="00171434" w:rsidP="008F5BE8">
            <w:pPr>
              <w:jc w:val="center"/>
              <w:rPr>
                <w:rFonts w:ascii="Times New Roman" w:hAnsi="Times New Roman" w:cs="Times New Roman"/>
                <w:b/>
                <w:bCs/>
                <w:sz w:val="20"/>
                <w:szCs w:val="20"/>
                <w:lang w:val="en-US"/>
              </w:rPr>
            </w:pPr>
            <w:r w:rsidRPr="00177D39">
              <w:rPr>
                <w:rFonts w:ascii="Times New Roman" w:hAnsi="Times New Roman" w:cs="Times New Roman"/>
                <w:b/>
                <w:bCs/>
                <w:sz w:val="20"/>
                <w:szCs w:val="20"/>
                <w:lang w:val="en-US"/>
              </w:rPr>
              <w:t>0.037</w:t>
            </w:r>
          </w:p>
        </w:tc>
      </w:tr>
      <w:tr w:rsidR="00171434" w:rsidRPr="00177D39" w14:paraId="3D015A19" w14:textId="77777777" w:rsidTr="008E12DF">
        <w:trPr>
          <w:trHeight w:val="454"/>
        </w:trPr>
        <w:tc>
          <w:tcPr>
            <w:tcW w:w="4464" w:type="dxa"/>
            <w:tcBorders>
              <w:left w:val="single" w:sz="4" w:space="0" w:color="auto"/>
            </w:tcBorders>
            <w:shd w:val="clear" w:color="auto" w:fill="F2F2F2" w:themeFill="background1" w:themeFillShade="F2"/>
            <w:vAlign w:val="center"/>
          </w:tcPr>
          <w:p w14:paraId="3203A0A0" w14:textId="77777777" w:rsidR="00171434" w:rsidRPr="00177D39" w:rsidRDefault="00171434" w:rsidP="008F5BE8">
            <w:pPr>
              <w:rPr>
                <w:rFonts w:ascii="Times New Roman" w:hAnsi="Times New Roman" w:cs="Times New Roman"/>
                <w:sz w:val="20"/>
                <w:szCs w:val="20"/>
                <w:lang w:val="en-US"/>
              </w:rPr>
            </w:pPr>
            <w:r w:rsidRPr="00177D39">
              <w:rPr>
                <w:rFonts w:ascii="Times New Roman" w:hAnsi="Times New Roman" w:cs="Times New Roman"/>
                <w:sz w:val="20"/>
                <w:szCs w:val="20"/>
                <w:lang w:val="en-US"/>
              </w:rPr>
              <w:t>Systolic BP (mmHg)</w:t>
            </w:r>
          </w:p>
        </w:tc>
        <w:tc>
          <w:tcPr>
            <w:tcW w:w="2248" w:type="dxa"/>
            <w:shd w:val="clear" w:color="auto" w:fill="F2F2F2" w:themeFill="background1" w:themeFillShade="F2"/>
            <w:vAlign w:val="center"/>
          </w:tcPr>
          <w:p w14:paraId="5035E401" w14:textId="77777777" w:rsidR="00171434" w:rsidRPr="00177D39" w:rsidRDefault="00171434" w:rsidP="008F5BE8">
            <w:pPr>
              <w:jc w:val="center"/>
              <w:rPr>
                <w:rFonts w:ascii="Times New Roman" w:hAnsi="Times New Roman" w:cs="Times New Roman"/>
                <w:sz w:val="20"/>
                <w:szCs w:val="20"/>
                <w:lang w:val="en-US"/>
              </w:rPr>
            </w:pPr>
            <w:r w:rsidRPr="00177D39">
              <w:rPr>
                <w:rFonts w:ascii="Times New Roman" w:hAnsi="Times New Roman" w:cs="Times New Roman"/>
                <w:sz w:val="20"/>
                <w:szCs w:val="20"/>
                <w:lang w:val="en-US"/>
              </w:rPr>
              <w:t>1.01 (0.99 – 1.02)</w:t>
            </w:r>
          </w:p>
        </w:tc>
        <w:tc>
          <w:tcPr>
            <w:tcW w:w="1559" w:type="dxa"/>
            <w:tcBorders>
              <w:right w:val="single" w:sz="4" w:space="0" w:color="auto"/>
            </w:tcBorders>
            <w:shd w:val="clear" w:color="auto" w:fill="F2F2F2" w:themeFill="background1" w:themeFillShade="F2"/>
            <w:vAlign w:val="center"/>
          </w:tcPr>
          <w:p w14:paraId="3E78D7F3" w14:textId="77777777" w:rsidR="00171434" w:rsidRPr="00177D39" w:rsidRDefault="00171434" w:rsidP="008F5BE8">
            <w:pPr>
              <w:jc w:val="center"/>
              <w:rPr>
                <w:rFonts w:ascii="Times New Roman" w:hAnsi="Times New Roman" w:cs="Times New Roman"/>
                <w:sz w:val="20"/>
                <w:szCs w:val="20"/>
                <w:lang w:val="en-US"/>
              </w:rPr>
            </w:pPr>
            <w:r w:rsidRPr="00177D39">
              <w:rPr>
                <w:rFonts w:ascii="Times New Roman" w:hAnsi="Times New Roman" w:cs="Times New Roman"/>
                <w:sz w:val="20"/>
                <w:szCs w:val="20"/>
                <w:lang w:val="en-US"/>
              </w:rPr>
              <w:t>0.610</w:t>
            </w:r>
          </w:p>
        </w:tc>
      </w:tr>
      <w:tr w:rsidR="00171434" w:rsidRPr="00177D39" w14:paraId="02656A4A" w14:textId="77777777" w:rsidTr="008E12DF">
        <w:trPr>
          <w:trHeight w:val="454"/>
        </w:trPr>
        <w:tc>
          <w:tcPr>
            <w:tcW w:w="4464" w:type="dxa"/>
            <w:tcBorders>
              <w:left w:val="single" w:sz="4" w:space="0" w:color="auto"/>
            </w:tcBorders>
            <w:vAlign w:val="center"/>
          </w:tcPr>
          <w:p w14:paraId="77EA3C3B" w14:textId="77777777" w:rsidR="00171434" w:rsidRPr="00177D39" w:rsidRDefault="00171434" w:rsidP="008F5BE8">
            <w:pPr>
              <w:rPr>
                <w:rFonts w:ascii="Times New Roman" w:hAnsi="Times New Roman" w:cs="Times New Roman"/>
                <w:sz w:val="20"/>
                <w:szCs w:val="20"/>
                <w:lang w:val="en-US"/>
              </w:rPr>
            </w:pPr>
            <w:r w:rsidRPr="00177D39">
              <w:rPr>
                <w:rFonts w:ascii="Times New Roman" w:hAnsi="Times New Roman" w:cs="Times New Roman"/>
                <w:sz w:val="20"/>
                <w:szCs w:val="20"/>
                <w:lang w:val="en-US"/>
              </w:rPr>
              <w:t>Diastolic BP (mmHg)</w:t>
            </w:r>
          </w:p>
        </w:tc>
        <w:tc>
          <w:tcPr>
            <w:tcW w:w="2248" w:type="dxa"/>
            <w:vAlign w:val="center"/>
          </w:tcPr>
          <w:p w14:paraId="7015AAC0" w14:textId="77777777" w:rsidR="00171434" w:rsidRPr="00177D39" w:rsidRDefault="00171434" w:rsidP="008F5BE8">
            <w:pPr>
              <w:jc w:val="center"/>
              <w:rPr>
                <w:rFonts w:ascii="Times New Roman" w:hAnsi="Times New Roman" w:cs="Times New Roman"/>
                <w:sz w:val="20"/>
                <w:szCs w:val="20"/>
                <w:lang w:val="en-US"/>
              </w:rPr>
            </w:pPr>
            <w:r w:rsidRPr="00177D39">
              <w:rPr>
                <w:rFonts w:ascii="Times New Roman" w:hAnsi="Times New Roman" w:cs="Times New Roman"/>
                <w:sz w:val="20"/>
                <w:szCs w:val="20"/>
                <w:lang w:val="en-US"/>
              </w:rPr>
              <w:t>0.99 (0.97 – 1.02)</w:t>
            </w:r>
          </w:p>
        </w:tc>
        <w:tc>
          <w:tcPr>
            <w:tcW w:w="1559" w:type="dxa"/>
            <w:tcBorders>
              <w:right w:val="single" w:sz="4" w:space="0" w:color="auto"/>
            </w:tcBorders>
            <w:vAlign w:val="center"/>
          </w:tcPr>
          <w:p w14:paraId="0A4489C1" w14:textId="77777777" w:rsidR="00171434" w:rsidRPr="00177D39" w:rsidRDefault="00171434" w:rsidP="008F5BE8">
            <w:pPr>
              <w:jc w:val="center"/>
              <w:rPr>
                <w:rFonts w:ascii="Times New Roman" w:hAnsi="Times New Roman" w:cs="Times New Roman"/>
                <w:sz w:val="20"/>
                <w:szCs w:val="20"/>
                <w:lang w:val="en-US"/>
              </w:rPr>
            </w:pPr>
            <w:r w:rsidRPr="00177D39">
              <w:rPr>
                <w:rFonts w:ascii="Times New Roman" w:hAnsi="Times New Roman" w:cs="Times New Roman"/>
                <w:sz w:val="20"/>
                <w:szCs w:val="20"/>
                <w:lang w:val="en-US"/>
              </w:rPr>
              <w:t>0.872</w:t>
            </w:r>
          </w:p>
        </w:tc>
      </w:tr>
      <w:tr w:rsidR="00171434" w:rsidRPr="00177D39" w14:paraId="62263B4D" w14:textId="77777777" w:rsidTr="008E12DF">
        <w:trPr>
          <w:trHeight w:val="454"/>
        </w:trPr>
        <w:tc>
          <w:tcPr>
            <w:tcW w:w="4464" w:type="dxa"/>
            <w:tcBorders>
              <w:left w:val="single" w:sz="4" w:space="0" w:color="auto"/>
            </w:tcBorders>
            <w:shd w:val="clear" w:color="auto" w:fill="F2F2F2" w:themeFill="background1" w:themeFillShade="F2"/>
            <w:vAlign w:val="center"/>
          </w:tcPr>
          <w:p w14:paraId="07AB3CB4" w14:textId="77777777" w:rsidR="00171434" w:rsidRPr="00177D39" w:rsidRDefault="00171434" w:rsidP="008F5BE8">
            <w:pPr>
              <w:rPr>
                <w:rFonts w:ascii="Times New Roman" w:hAnsi="Times New Roman" w:cs="Times New Roman"/>
                <w:sz w:val="20"/>
                <w:szCs w:val="20"/>
                <w:lang w:val="en-US"/>
              </w:rPr>
            </w:pPr>
            <w:r w:rsidRPr="00177D39">
              <w:rPr>
                <w:rFonts w:ascii="Times New Roman" w:hAnsi="Times New Roman" w:cs="Times New Roman"/>
                <w:sz w:val="20"/>
                <w:szCs w:val="20"/>
                <w:lang w:val="en-US"/>
              </w:rPr>
              <w:t>Antihypertensive medication (DDD)</w:t>
            </w:r>
          </w:p>
        </w:tc>
        <w:tc>
          <w:tcPr>
            <w:tcW w:w="2248" w:type="dxa"/>
            <w:shd w:val="clear" w:color="auto" w:fill="F2F2F2" w:themeFill="background1" w:themeFillShade="F2"/>
            <w:vAlign w:val="center"/>
          </w:tcPr>
          <w:p w14:paraId="4F447220" w14:textId="77777777" w:rsidR="00171434" w:rsidRPr="00177D39" w:rsidRDefault="00171434" w:rsidP="008F5BE8">
            <w:pPr>
              <w:jc w:val="center"/>
              <w:rPr>
                <w:rFonts w:ascii="Times New Roman" w:hAnsi="Times New Roman" w:cs="Times New Roman"/>
                <w:color w:val="000000" w:themeColor="text1"/>
                <w:sz w:val="20"/>
                <w:szCs w:val="20"/>
                <w:lang w:val="en-US"/>
              </w:rPr>
            </w:pPr>
            <w:r w:rsidRPr="00177D39">
              <w:rPr>
                <w:rFonts w:ascii="Times New Roman" w:hAnsi="Times New Roman" w:cs="Times New Roman"/>
                <w:color w:val="000000" w:themeColor="text1"/>
                <w:sz w:val="20"/>
                <w:szCs w:val="20"/>
                <w:lang w:val="en-US"/>
              </w:rPr>
              <w:t>1.18 (1.01 – 1.38)</w:t>
            </w:r>
          </w:p>
        </w:tc>
        <w:tc>
          <w:tcPr>
            <w:tcW w:w="1559" w:type="dxa"/>
            <w:tcBorders>
              <w:right w:val="single" w:sz="4" w:space="0" w:color="auto"/>
            </w:tcBorders>
            <w:shd w:val="clear" w:color="auto" w:fill="F2F2F2" w:themeFill="background1" w:themeFillShade="F2"/>
            <w:vAlign w:val="center"/>
          </w:tcPr>
          <w:p w14:paraId="0FDB10F5" w14:textId="77777777" w:rsidR="00171434" w:rsidRPr="00177D39" w:rsidRDefault="00171434" w:rsidP="008F5BE8">
            <w:pPr>
              <w:jc w:val="center"/>
              <w:rPr>
                <w:rFonts w:ascii="Times New Roman" w:hAnsi="Times New Roman" w:cs="Times New Roman"/>
                <w:b/>
                <w:bCs/>
                <w:color w:val="000000" w:themeColor="text1"/>
                <w:sz w:val="20"/>
                <w:szCs w:val="20"/>
                <w:lang w:val="en-US"/>
              </w:rPr>
            </w:pPr>
            <w:r w:rsidRPr="00177D39">
              <w:rPr>
                <w:rFonts w:ascii="Times New Roman" w:hAnsi="Times New Roman" w:cs="Times New Roman"/>
                <w:b/>
                <w:bCs/>
                <w:color w:val="000000" w:themeColor="text1"/>
                <w:sz w:val="20"/>
                <w:szCs w:val="20"/>
                <w:lang w:val="en-US"/>
              </w:rPr>
              <w:t>0.037</w:t>
            </w:r>
          </w:p>
        </w:tc>
      </w:tr>
      <w:tr w:rsidR="00171434" w:rsidRPr="00177D39" w14:paraId="00DACB2E" w14:textId="77777777" w:rsidTr="008E12DF">
        <w:trPr>
          <w:trHeight w:val="454"/>
        </w:trPr>
        <w:tc>
          <w:tcPr>
            <w:tcW w:w="4464" w:type="dxa"/>
            <w:tcBorders>
              <w:left w:val="single" w:sz="4" w:space="0" w:color="auto"/>
            </w:tcBorders>
            <w:vAlign w:val="center"/>
          </w:tcPr>
          <w:p w14:paraId="6FBDF0EE" w14:textId="77777777" w:rsidR="00171434" w:rsidRPr="00177D39" w:rsidRDefault="00171434" w:rsidP="008F5BE8">
            <w:pPr>
              <w:rPr>
                <w:rFonts w:ascii="Times New Roman" w:hAnsi="Times New Roman" w:cs="Times New Roman"/>
                <w:sz w:val="20"/>
                <w:szCs w:val="20"/>
                <w:lang w:val="en-US"/>
              </w:rPr>
            </w:pPr>
            <w:r w:rsidRPr="00177D39">
              <w:rPr>
                <w:rFonts w:ascii="Times New Roman" w:hAnsi="Times New Roman" w:cs="Times New Roman"/>
                <w:color w:val="000000" w:themeColor="text1"/>
                <w:sz w:val="20"/>
                <w:szCs w:val="20"/>
                <w:lang w:val="en-US"/>
              </w:rPr>
              <w:t>eGFR (mL/min)</w:t>
            </w:r>
          </w:p>
        </w:tc>
        <w:tc>
          <w:tcPr>
            <w:tcW w:w="2248" w:type="dxa"/>
            <w:vAlign w:val="center"/>
          </w:tcPr>
          <w:p w14:paraId="64D0D33E" w14:textId="1C33F4D2" w:rsidR="00171434" w:rsidRPr="00177D39" w:rsidRDefault="00171434" w:rsidP="008F5BE8">
            <w:pPr>
              <w:jc w:val="center"/>
              <w:rPr>
                <w:rFonts w:ascii="Times New Roman" w:hAnsi="Times New Roman" w:cs="Times New Roman"/>
                <w:color w:val="000000" w:themeColor="text1"/>
                <w:sz w:val="20"/>
                <w:szCs w:val="20"/>
                <w:lang w:val="en-US"/>
              </w:rPr>
            </w:pPr>
            <w:r w:rsidRPr="00177D39">
              <w:rPr>
                <w:rFonts w:ascii="Times New Roman" w:hAnsi="Times New Roman" w:cs="Times New Roman"/>
                <w:color w:val="000000" w:themeColor="text1"/>
                <w:sz w:val="20"/>
                <w:szCs w:val="20"/>
                <w:lang w:val="en-US"/>
              </w:rPr>
              <w:t>1.01 (0.99 – 1.0</w:t>
            </w:r>
            <w:r w:rsidR="005E4D15" w:rsidRPr="00177D39">
              <w:rPr>
                <w:rFonts w:ascii="Times New Roman" w:hAnsi="Times New Roman" w:cs="Times New Roman"/>
                <w:color w:val="000000" w:themeColor="text1"/>
                <w:sz w:val="20"/>
                <w:szCs w:val="20"/>
                <w:lang w:val="en-US"/>
              </w:rPr>
              <w:t>2</w:t>
            </w:r>
            <w:r w:rsidRPr="00177D39">
              <w:rPr>
                <w:rFonts w:ascii="Times New Roman" w:hAnsi="Times New Roman" w:cs="Times New Roman"/>
                <w:color w:val="000000" w:themeColor="text1"/>
                <w:sz w:val="20"/>
                <w:szCs w:val="20"/>
                <w:lang w:val="en-US"/>
              </w:rPr>
              <w:t>)</w:t>
            </w:r>
          </w:p>
        </w:tc>
        <w:tc>
          <w:tcPr>
            <w:tcW w:w="1559" w:type="dxa"/>
            <w:tcBorders>
              <w:right w:val="single" w:sz="4" w:space="0" w:color="auto"/>
            </w:tcBorders>
            <w:vAlign w:val="center"/>
          </w:tcPr>
          <w:p w14:paraId="3A44EA3C" w14:textId="032BB9F5" w:rsidR="00171434" w:rsidRPr="00177D39" w:rsidRDefault="00171434" w:rsidP="008F5BE8">
            <w:pPr>
              <w:jc w:val="center"/>
              <w:rPr>
                <w:rFonts w:ascii="Times New Roman" w:hAnsi="Times New Roman" w:cs="Times New Roman"/>
                <w:color w:val="000000" w:themeColor="text1"/>
                <w:sz w:val="20"/>
                <w:szCs w:val="20"/>
                <w:lang w:val="en-US"/>
              </w:rPr>
            </w:pPr>
            <w:r w:rsidRPr="00177D39">
              <w:rPr>
                <w:rFonts w:ascii="Times New Roman" w:hAnsi="Times New Roman" w:cs="Times New Roman"/>
                <w:color w:val="000000" w:themeColor="text1"/>
                <w:sz w:val="20"/>
                <w:szCs w:val="20"/>
                <w:lang w:val="en-US"/>
              </w:rPr>
              <w:t>0.2</w:t>
            </w:r>
            <w:r w:rsidR="005E4D15" w:rsidRPr="00177D39">
              <w:rPr>
                <w:rFonts w:ascii="Times New Roman" w:hAnsi="Times New Roman" w:cs="Times New Roman"/>
                <w:color w:val="000000" w:themeColor="text1"/>
                <w:sz w:val="20"/>
                <w:szCs w:val="20"/>
                <w:lang w:val="en-US"/>
              </w:rPr>
              <w:t>73</w:t>
            </w:r>
          </w:p>
        </w:tc>
      </w:tr>
      <w:tr w:rsidR="00EF6F42" w:rsidRPr="00177D39" w14:paraId="30E5FFC5" w14:textId="77777777" w:rsidTr="008E12DF">
        <w:trPr>
          <w:trHeight w:val="454"/>
        </w:trPr>
        <w:tc>
          <w:tcPr>
            <w:tcW w:w="4464" w:type="dxa"/>
            <w:tcBorders>
              <w:left w:val="single" w:sz="4" w:space="0" w:color="auto"/>
            </w:tcBorders>
            <w:shd w:val="clear" w:color="auto" w:fill="F2F2F2" w:themeFill="background1" w:themeFillShade="F2"/>
            <w:vAlign w:val="center"/>
          </w:tcPr>
          <w:p w14:paraId="64B14CD8" w14:textId="77777777" w:rsidR="00EF6F42" w:rsidRPr="00177D39" w:rsidRDefault="00EF6F42" w:rsidP="00EF6F42">
            <w:pPr>
              <w:rPr>
                <w:rFonts w:ascii="Times New Roman" w:hAnsi="Times New Roman" w:cs="Times New Roman"/>
                <w:sz w:val="20"/>
                <w:szCs w:val="20"/>
                <w:lang w:val="en-US"/>
              </w:rPr>
            </w:pPr>
            <w:r w:rsidRPr="00177D39">
              <w:rPr>
                <w:rFonts w:ascii="Times New Roman" w:hAnsi="Times New Roman" w:cs="Times New Roman"/>
                <w:sz w:val="20"/>
                <w:szCs w:val="20"/>
                <w:lang w:val="en-US"/>
              </w:rPr>
              <w:t>Lowest Potassium (mEq/L)</w:t>
            </w:r>
          </w:p>
        </w:tc>
        <w:tc>
          <w:tcPr>
            <w:tcW w:w="2248" w:type="dxa"/>
            <w:shd w:val="clear" w:color="auto" w:fill="F2F2F2" w:themeFill="background1" w:themeFillShade="F2"/>
            <w:vAlign w:val="center"/>
          </w:tcPr>
          <w:p w14:paraId="00DDEFF6" w14:textId="36A4CA48" w:rsidR="00EF6F42" w:rsidRPr="00177D39" w:rsidRDefault="00EF6F42" w:rsidP="00EF6F42">
            <w:pPr>
              <w:jc w:val="center"/>
              <w:rPr>
                <w:rFonts w:ascii="Times New Roman" w:hAnsi="Times New Roman" w:cs="Times New Roman"/>
                <w:color w:val="FF0000"/>
                <w:sz w:val="20"/>
                <w:szCs w:val="20"/>
                <w:lang w:val="en-US"/>
              </w:rPr>
            </w:pPr>
            <w:r w:rsidRPr="00177D39">
              <w:rPr>
                <w:rFonts w:ascii="Times New Roman" w:hAnsi="Times New Roman" w:cs="Times New Roman"/>
                <w:color w:val="000000" w:themeColor="text1"/>
                <w:sz w:val="20"/>
                <w:szCs w:val="20"/>
                <w:lang w:val="en-US"/>
              </w:rPr>
              <w:t>0.10 (0.05 – 0.21)</w:t>
            </w:r>
          </w:p>
        </w:tc>
        <w:tc>
          <w:tcPr>
            <w:tcW w:w="1559" w:type="dxa"/>
            <w:tcBorders>
              <w:right w:val="single" w:sz="4" w:space="0" w:color="auto"/>
            </w:tcBorders>
            <w:shd w:val="clear" w:color="auto" w:fill="F2F2F2" w:themeFill="background1" w:themeFillShade="F2"/>
            <w:vAlign w:val="center"/>
          </w:tcPr>
          <w:p w14:paraId="5D4B681D" w14:textId="395AD203" w:rsidR="00EF6F42" w:rsidRPr="00177D39" w:rsidRDefault="00EF6F42" w:rsidP="00EF6F42">
            <w:pPr>
              <w:jc w:val="center"/>
              <w:rPr>
                <w:rFonts w:ascii="Times New Roman" w:hAnsi="Times New Roman" w:cs="Times New Roman"/>
                <w:b/>
                <w:bCs/>
                <w:color w:val="FF0000"/>
                <w:sz w:val="20"/>
                <w:szCs w:val="20"/>
                <w:lang w:val="en-US"/>
              </w:rPr>
            </w:pPr>
            <w:r w:rsidRPr="00177D39">
              <w:rPr>
                <w:rFonts w:ascii="Times New Roman" w:hAnsi="Times New Roman" w:cs="Times New Roman"/>
                <w:b/>
                <w:bCs/>
                <w:color w:val="000000" w:themeColor="text1"/>
                <w:sz w:val="20"/>
                <w:szCs w:val="20"/>
                <w:lang w:val="en-US"/>
              </w:rPr>
              <w:t>&lt; 0.001</w:t>
            </w:r>
          </w:p>
        </w:tc>
      </w:tr>
      <w:tr w:rsidR="00171434" w:rsidRPr="00177D39" w14:paraId="65AAEFAA" w14:textId="77777777" w:rsidTr="008E12DF">
        <w:trPr>
          <w:trHeight w:val="454"/>
        </w:trPr>
        <w:tc>
          <w:tcPr>
            <w:tcW w:w="4464" w:type="dxa"/>
            <w:tcBorders>
              <w:left w:val="single" w:sz="4" w:space="0" w:color="auto"/>
            </w:tcBorders>
            <w:shd w:val="clear" w:color="auto" w:fill="FFFFFF" w:themeFill="background1"/>
            <w:vAlign w:val="center"/>
          </w:tcPr>
          <w:p w14:paraId="029208B4" w14:textId="77777777" w:rsidR="00171434" w:rsidRPr="00177D39" w:rsidRDefault="00171434" w:rsidP="008F5BE8">
            <w:pPr>
              <w:rPr>
                <w:rFonts w:ascii="Times New Roman" w:hAnsi="Times New Roman" w:cs="Times New Roman"/>
                <w:color w:val="000000" w:themeColor="text1"/>
                <w:sz w:val="20"/>
                <w:szCs w:val="20"/>
                <w:lang w:val="en-US"/>
              </w:rPr>
            </w:pPr>
            <w:r w:rsidRPr="00177D39">
              <w:rPr>
                <w:rFonts w:ascii="Times New Roman" w:hAnsi="Times New Roman" w:cs="Times New Roman"/>
                <w:color w:val="000000" w:themeColor="text1"/>
                <w:sz w:val="20"/>
                <w:szCs w:val="20"/>
                <w:lang w:val="en-US"/>
              </w:rPr>
              <w:t>PRA at screening (ng/mL/h)</w:t>
            </w:r>
          </w:p>
        </w:tc>
        <w:tc>
          <w:tcPr>
            <w:tcW w:w="2248" w:type="dxa"/>
            <w:shd w:val="clear" w:color="auto" w:fill="FFFFFF" w:themeFill="background1"/>
            <w:vAlign w:val="center"/>
          </w:tcPr>
          <w:p w14:paraId="37649697" w14:textId="45CEDC83" w:rsidR="00171434" w:rsidRPr="00177D39" w:rsidRDefault="00171434" w:rsidP="008F5BE8">
            <w:pPr>
              <w:jc w:val="center"/>
              <w:rPr>
                <w:rFonts w:ascii="Times New Roman" w:hAnsi="Times New Roman" w:cs="Times New Roman"/>
                <w:color w:val="000000" w:themeColor="text1"/>
                <w:sz w:val="20"/>
                <w:szCs w:val="20"/>
                <w:lang w:val="en-US"/>
              </w:rPr>
            </w:pPr>
            <w:r w:rsidRPr="00177D39">
              <w:rPr>
                <w:rFonts w:ascii="Times New Roman" w:hAnsi="Times New Roman" w:cs="Times New Roman"/>
                <w:color w:val="000000" w:themeColor="text1"/>
                <w:sz w:val="20"/>
                <w:szCs w:val="20"/>
                <w:lang w:val="en-US"/>
              </w:rPr>
              <w:t>1.</w:t>
            </w:r>
            <w:r w:rsidR="00400101" w:rsidRPr="00177D39">
              <w:rPr>
                <w:rFonts w:ascii="Times New Roman" w:hAnsi="Times New Roman" w:cs="Times New Roman"/>
                <w:color w:val="000000" w:themeColor="text1"/>
                <w:sz w:val="20"/>
                <w:szCs w:val="20"/>
                <w:lang w:val="en-US"/>
              </w:rPr>
              <w:t>19</w:t>
            </w:r>
            <w:r w:rsidRPr="00177D39">
              <w:rPr>
                <w:rFonts w:ascii="Times New Roman" w:hAnsi="Times New Roman" w:cs="Times New Roman"/>
                <w:color w:val="000000" w:themeColor="text1"/>
                <w:sz w:val="20"/>
                <w:szCs w:val="20"/>
                <w:lang w:val="en-US"/>
              </w:rPr>
              <w:t xml:space="preserve"> (0.4</w:t>
            </w:r>
            <w:r w:rsidR="00400101" w:rsidRPr="00177D39">
              <w:rPr>
                <w:rFonts w:ascii="Times New Roman" w:hAnsi="Times New Roman" w:cs="Times New Roman"/>
                <w:color w:val="000000" w:themeColor="text1"/>
                <w:sz w:val="20"/>
                <w:szCs w:val="20"/>
                <w:lang w:val="en-US"/>
              </w:rPr>
              <w:t>1</w:t>
            </w:r>
            <w:r w:rsidRPr="00177D39">
              <w:rPr>
                <w:rFonts w:ascii="Times New Roman" w:hAnsi="Times New Roman" w:cs="Times New Roman"/>
                <w:color w:val="000000" w:themeColor="text1"/>
                <w:sz w:val="20"/>
                <w:szCs w:val="20"/>
                <w:lang w:val="en-US"/>
              </w:rPr>
              <w:t xml:space="preserve"> – 3.</w:t>
            </w:r>
            <w:r w:rsidR="00400101" w:rsidRPr="00177D39">
              <w:rPr>
                <w:rFonts w:ascii="Times New Roman" w:hAnsi="Times New Roman" w:cs="Times New Roman"/>
                <w:color w:val="000000" w:themeColor="text1"/>
                <w:sz w:val="20"/>
                <w:szCs w:val="20"/>
                <w:lang w:val="en-US"/>
              </w:rPr>
              <w:t>41</w:t>
            </w:r>
            <w:r w:rsidRPr="00177D39">
              <w:rPr>
                <w:rFonts w:ascii="Times New Roman" w:hAnsi="Times New Roman" w:cs="Times New Roman"/>
                <w:color w:val="000000" w:themeColor="text1"/>
                <w:sz w:val="20"/>
                <w:szCs w:val="20"/>
                <w:lang w:val="en-US"/>
              </w:rPr>
              <w:t>)</w:t>
            </w:r>
          </w:p>
        </w:tc>
        <w:tc>
          <w:tcPr>
            <w:tcW w:w="1559" w:type="dxa"/>
            <w:tcBorders>
              <w:right w:val="single" w:sz="4" w:space="0" w:color="auto"/>
            </w:tcBorders>
            <w:shd w:val="clear" w:color="auto" w:fill="FFFFFF" w:themeFill="background1"/>
            <w:vAlign w:val="center"/>
          </w:tcPr>
          <w:p w14:paraId="28F1F75A" w14:textId="6B78B387" w:rsidR="00171434" w:rsidRPr="00177D39" w:rsidRDefault="00171434" w:rsidP="008F5BE8">
            <w:pPr>
              <w:jc w:val="center"/>
              <w:rPr>
                <w:rFonts w:ascii="Times New Roman" w:hAnsi="Times New Roman" w:cs="Times New Roman"/>
                <w:color w:val="000000" w:themeColor="text1"/>
                <w:sz w:val="20"/>
                <w:szCs w:val="20"/>
                <w:lang w:val="en-US"/>
              </w:rPr>
            </w:pPr>
            <w:r w:rsidRPr="00177D39">
              <w:rPr>
                <w:rFonts w:ascii="Times New Roman" w:hAnsi="Times New Roman" w:cs="Times New Roman"/>
                <w:color w:val="000000" w:themeColor="text1"/>
                <w:sz w:val="20"/>
                <w:szCs w:val="20"/>
                <w:lang w:val="en-US"/>
              </w:rPr>
              <w:t>0.7</w:t>
            </w:r>
            <w:r w:rsidR="00400101" w:rsidRPr="00177D39">
              <w:rPr>
                <w:rFonts w:ascii="Times New Roman" w:hAnsi="Times New Roman" w:cs="Times New Roman"/>
                <w:color w:val="000000" w:themeColor="text1"/>
                <w:sz w:val="20"/>
                <w:szCs w:val="20"/>
                <w:lang w:val="en-US"/>
              </w:rPr>
              <w:t>50</w:t>
            </w:r>
          </w:p>
        </w:tc>
      </w:tr>
      <w:tr w:rsidR="00EF6F42" w:rsidRPr="00177D39" w14:paraId="0EAF7BC4" w14:textId="77777777" w:rsidTr="008E12DF">
        <w:trPr>
          <w:trHeight w:val="454"/>
        </w:trPr>
        <w:tc>
          <w:tcPr>
            <w:tcW w:w="4464" w:type="dxa"/>
            <w:tcBorders>
              <w:left w:val="single" w:sz="4" w:space="0" w:color="auto"/>
            </w:tcBorders>
            <w:shd w:val="clear" w:color="auto" w:fill="F2F2F2" w:themeFill="background1" w:themeFillShade="F2"/>
            <w:vAlign w:val="center"/>
          </w:tcPr>
          <w:p w14:paraId="69B940E5" w14:textId="0A189701" w:rsidR="00EF6F42" w:rsidRPr="00177D39" w:rsidRDefault="00EF6F42" w:rsidP="00EF6F42">
            <w:pPr>
              <w:rPr>
                <w:rFonts w:ascii="Times New Roman" w:hAnsi="Times New Roman" w:cs="Times New Roman"/>
                <w:color w:val="000000" w:themeColor="text1"/>
                <w:sz w:val="20"/>
                <w:szCs w:val="20"/>
                <w:lang w:val="en-US"/>
              </w:rPr>
            </w:pPr>
            <w:r w:rsidRPr="00177D39">
              <w:rPr>
                <w:rFonts w:ascii="Times New Roman" w:hAnsi="Times New Roman" w:cs="Times New Roman"/>
                <w:color w:val="000000" w:themeColor="text1"/>
                <w:sz w:val="20"/>
                <w:szCs w:val="20"/>
                <w:lang w:val="en-US"/>
              </w:rPr>
              <w:t>Aldosterone at screening (</w:t>
            </w:r>
            <w:r w:rsidR="0017570E" w:rsidRPr="00177D39">
              <w:rPr>
                <w:rFonts w:ascii="Times New Roman" w:hAnsi="Times New Roman" w:cs="Times New Roman"/>
                <w:color w:val="000000" w:themeColor="text1"/>
                <w:sz w:val="20"/>
                <w:szCs w:val="20"/>
                <w:lang w:val="en-US"/>
              </w:rPr>
              <w:t>ng</w:t>
            </w:r>
            <w:r w:rsidRPr="00177D39">
              <w:rPr>
                <w:rFonts w:ascii="Times New Roman" w:hAnsi="Times New Roman" w:cs="Times New Roman"/>
                <w:color w:val="000000" w:themeColor="text1"/>
                <w:sz w:val="20"/>
                <w:szCs w:val="20"/>
                <w:lang w:val="en-US"/>
              </w:rPr>
              <w:t>/</w:t>
            </w:r>
            <w:r w:rsidR="0017570E" w:rsidRPr="00177D39">
              <w:rPr>
                <w:rFonts w:ascii="Times New Roman" w:hAnsi="Times New Roman" w:cs="Times New Roman"/>
                <w:color w:val="000000" w:themeColor="text1"/>
                <w:sz w:val="20"/>
                <w:szCs w:val="20"/>
                <w:lang w:val="en-US"/>
              </w:rPr>
              <w:t>d</w:t>
            </w:r>
            <w:r w:rsidRPr="00177D39">
              <w:rPr>
                <w:rFonts w:ascii="Times New Roman" w:hAnsi="Times New Roman" w:cs="Times New Roman"/>
                <w:color w:val="000000" w:themeColor="text1"/>
                <w:sz w:val="20"/>
                <w:szCs w:val="20"/>
                <w:lang w:val="en-US"/>
              </w:rPr>
              <w:t>L)</w:t>
            </w:r>
          </w:p>
        </w:tc>
        <w:tc>
          <w:tcPr>
            <w:tcW w:w="2248" w:type="dxa"/>
            <w:shd w:val="clear" w:color="auto" w:fill="F2F2F2" w:themeFill="background1" w:themeFillShade="F2"/>
            <w:vAlign w:val="center"/>
          </w:tcPr>
          <w:p w14:paraId="02FB7FDD" w14:textId="2DB15471" w:rsidR="00EF6F42" w:rsidRPr="00177D39" w:rsidRDefault="00EF6F42" w:rsidP="00EF6F42">
            <w:pPr>
              <w:jc w:val="center"/>
              <w:rPr>
                <w:rFonts w:ascii="Times New Roman" w:hAnsi="Times New Roman" w:cs="Times New Roman"/>
                <w:color w:val="FF0000"/>
                <w:sz w:val="20"/>
                <w:szCs w:val="20"/>
                <w:lang w:val="en-US"/>
              </w:rPr>
            </w:pPr>
            <w:r w:rsidRPr="00177D39">
              <w:rPr>
                <w:rFonts w:ascii="Times New Roman" w:hAnsi="Times New Roman" w:cs="Times New Roman"/>
                <w:color w:val="000000" w:themeColor="text1"/>
                <w:sz w:val="20"/>
                <w:szCs w:val="20"/>
                <w:lang w:val="en-US"/>
              </w:rPr>
              <w:t>1.01 (1.01 – 1.01)</w:t>
            </w:r>
          </w:p>
        </w:tc>
        <w:tc>
          <w:tcPr>
            <w:tcW w:w="1559" w:type="dxa"/>
            <w:tcBorders>
              <w:right w:val="single" w:sz="4" w:space="0" w:color="auto"/>
            </w:tcBorders>
            <w:shd w:val="clear" w:color="auto" w:fill="F2F2F2" w:themeFill="background1" w:themeFillShade="F2"/>
            <w:vAlign w:val="center"/>
          </w:tcPr>
          <w:p w14:paraId="0564FFA1" w14:textId="568E0868" w:rsidR="00EF6F42" w:rsidRPr="00177D39" w:rsidRDefault="00EF6F42" w:rsidP="00EF6F42">
            <w:pPr>
              <w:jc w:val="center"/>
              <w:rPr>
                <w:rFonts w:ascii="Times New Roman" w:hAnsi="Times New Roman" w:cs="Times New Roman"/>
                <w:b/>
                <w:bCs/>
                <w:color w:val="FF0000"/>
                <w:sz w:val="20"/>
                <w:szCs w:val="20"/>
                <w:lang w:val="en-US"/>
              </w:rPr>
            </w:pPr>
            <w:r w:rsidRPr="00177D39">
              <w:rPr>
                <w:rFonts w:ascii="Times New Roman" w:hAnsi="Times New Roman" w:cs="Times New Roman"/>
                <w:b/>
                <w:bCs/>
                <w:color w:val="000000" w:themeColor="text1"/>
                <w:sz w:val="20"/>
                <w:szCs w:val="20"/>
                <w:lang w:val="en-US"/>
              </w:rPr>
              <w:t>&lt; 0.001</w:t>
            </w:r>
          </w:p>
        </w:tc>
      </w:tr>
      <w:tr w:rsidR="00171434" w:rsidRPr="00177D39" w14:paraId="12EF683C" w14:textId="77777777" w:rsidTr="008E12DF">
        <w:trPr>
          <w:trHeight w:val="454"/>
        </w:trPr>
        <w:tc>
          <w:tcPr>
            <w:tcW w:w="4464" w:type="dxa"/>
            <w:tcBorders>
              <w:left w:val="single" w:sz="4" w:space="0" w:color="auto"/>
            </w:tcBorders>
            <w:vAlign w:val="center"/>
          </w:tcPr>
          <w:p w14:paraId="7D2BC21E" w14:textId="77777777" w:rsidR="00171434" w:rsidRPr="00177D39" w:rsidRDefault="00171434" w:rsidP="008F5BE8">
            <w:pPr>
              <w:rPr>
                <w:rFonts w:ascii="Times New Roman" w:hAnsi="Times New Roman" w:cs="Times New Roman"/>
                <w:color w:val="000000" w:themeColor="text1"/>
                <w:sz w:val="20"/>
                <w:szCs w:val="20"/>
                <w:lang w:val="en-US"/>
              </w:rPr>
            </w:pPr>
            <w:r w:rsidRPr="00177D39">
              <w:rPr>
                <w:rFonts w:ascii="Times New Roman" w:hAnsi="Times New Roman" w:cs="Times New Roman"/>
                <w:color w:val="000000" w:themeColor="text1"/>
                <w:sz w:val="20"/>
                <w:szCs w:val="20"/>
                <w:lang w:val="en-US"/>
              </w:rPr>
              <w:t>PRA post-confirmatory test (ng/mL/h)</w:t>
            </w:r>
          </w:p>
        </w:tc>
        <w:tc>
          <w:tcPr>
            <w:tcW w:w="2248" w:type="dxa"/>
            <w:vAlign w:val="center"/>
          </w:tcPr>
          <w:p w14:paraId="12C2E523" w14:textId="04CAA42E" w:rsidR="00171434" w:rsidRPr="00177D39" w:rsidRDefault="00400101" w:rsidP="008F5BE8">
            <w:pPr>
              <w:jc w:val="center"/>
              <w:rPr>
                <w:rFonts w:ascii="Times New Roman" w:hAnsi="Times New Roman" w:cs="Times New Roman"/>
                <w:color w:val="000000" w:themeColor="text1"/>
                <w:sz w:val="20"/>
                <w:szCs w:val="20"/>
                <w:lang w:val="en-US"/>
              </w:rPr>
            </w:pPr>
            <w:r w:rsidRPr="00177D39">
              <w:rPr>
                <w:rFonts w:ascii="Times New Roman" w:hAnsi="Times New Roman" w:cs="Times New Roman"/>
                <w:color w:val="000000" w:themeColor="text1"/>
                <w:sz w:val="20"/>
                <w:szCs w:val="20"/>
                <w:lang w:val="en-US"/>
              </w:rPr>
              <w:t>1.73</w:t>
            </w:r>
            <w:r w:rsidR="00171434" w:rsidRPr="00177D39">
              <w:rPr>
                <w:rFonts w:ascii="Times New Roman" w:hAnsi="Times New Roman" w:cs="Times New Roman"/>
                <w:color w:val="000000" w:themeColor="text1"/>
                <w:sz w:val="20"/>
                <w:szCs w:val="20"/>
                <w:lang w:val="en-US"/>
              </w:rPr>
              <w:t xml:space="preserve"> [0.</w:t>
            </w:r>
            <w:r w:rsidRPr="00177D39">
              <w:rPr>
                <w:rFonts w:ascii="Times New Roman" w:hAnsi="Times New Roman" w:cs="Times New Roman"/>
                <w:color w:val="000000" w:themeColor="text1"/>
                <w:sz w:val="20"/>
                <w:szCs w:val="20"/>
                <w:lang w:val="en-US"/>
              </w:rPr>
              <w:t>29</w:t>
            </w:r>
            <w:r w:rsidR="00171434" w:rsidRPr="00177D39">
              <w:rPr>
                <w:rFonts w:ascii="Times New Roman" w:hAnsi="Times New Roman" w:cs="Times New Roman"/>
                <w:color w:val="000000" w:themeColor="text1"/>
                <w:sz w:val="20"/>
                <w:szCs w:val="20"/>
                <w:lang w:val="en-US"/>
              </w:rPr>
              <w:t xml:space="preserve"> – </w:t>
            </w:r>
            <w:r w:rsidRPr="00177D39">
              <w:rPr>
                <w:rFonts w:ascii="Times New Roman" w:hAnsi="Times New Roman" w:cs="Times New Roman"/>
                <w:color w:val="000000" w:themeColor="text1"/>
                <w:sz w:val="20"/>
                <w:szCs w:val="20"/>
                <w:lang w:val="en-US"/>
              </w:rPr>
              <w:t>10</w:t>
            </w:r>
            <w:r w:rsidR="00171434" w:rsidRPr="00177D39">
              <w:rPr>
                <w:rFonts w:ascii="Times New Roman" w:hAnsi="Times New Roman" w:cs="Times New Roman"/>
                <w:color w:val="000000" w:themeColor="text1"/>
                <w:sz w:val="20"/>
                <w:szCs w:val="20"/>
                <w:lang w:val="en-US"/>
              </w:rPr>
              <w:t>.</w:t>
            </w:r>
            <w:r w:rsidRPr="00177D39">
              <w:rPr>
                <w:rFonts w:ascii="Times New Roman" w:hAnsi="Times New Roman" w:cs="Times New Roman"/>
                <w:color w:val="000000" w:themeColor="text1"/>
                <w:sz w:val="20"/>
                <w:szCs w:val="20"/>
                <w:lang w:val="en-US"/>
              </w:rPr>
              <w:t>19</w:t>
            </w:r>
            <w:r w:rsidR="00171434" w:rsidRPr="00177D39">
              <w:rPr>
                <w:rFonts w:ascii="Times New Roman" w:hAnsi="Times New Roman" w:cs="Times New Roman"/>
                <w:color w:val="000000" w:themeColor="text1"/>
                <w:sz w:val="20"/>
                <w:szCs w:val="20"/>
                <w:lang w:val="en-US"/>
              </w:rPr>
              <w:t>]</w:t>
            </w:r>
          </w:p>
        </w:tc>
        <w:tc>
          <w:tcPr>
            <w:tcW w:w="1559" w:type="dxa"/>
            <w:tcBorders>
              <w:right w:val="single" w:sz="4" w:space="0" w:color="auto"/>
            </w:tcBorders>
            <w:vAlign w:val="center"/>
          </w:tcPr>
          <w:p w14:paraId="59DD1EB2" w14:textId="4DA9E8DB" w:rsidR="00171434" w:rsidRPr="00177D39" w:rsidRDefault="00171434" w:rsidP="008F5BE8">
            <w:pPr>
              <w:jc w:val="center"/>
              <w:rPr>
                <w:rFonts w:ascii="Times New Roman" w:hAnsi="Times New Roman" w:cs="Times New Roman"/>
                <w:color w:val="000000" w:themeColor="text1"/>
                <w:sz w:val="20"/>
                <w:szCs w:val="20"/>
                <w:lang w:val="en-US"/>
              </w:rPr>
            </w:pPr>
            <w:r w:rsidRPr="00177D39">
              <w:rPr>
                <w:rFonts w:ascii="Times New Roman" w:hAnsi="Times New Roman" w:cs="Times New Roman"/>
                <w:color w:val="000000" w:themeColor="text1"/>
                <w:sz w:val="20"/>
                <w:szCs w:val="20"/>
                <w:lang w:val="en-US"/>
              </w:rPr>
              <w:t>0.</w:t>
            </w:r>
            <w:r w:rsidR="00400101" w:rsidRPr="00177D39">
              <w:rPr>
                <w:rFonts w:ascii="Times New Roman" w:hAnsi="Times New Roman" w:cs="Times New Roman"/>
                <w:color w:val="000000" w:themeColor="text1"/>
                <w:sz w:val="20"/>
                <w:szCs w:val="20"/>
                <w:lang w:val="en-US"/>
              </w:rPr>
              <w:t>547</w:t>
            </w:r>
          </w:p>
        </w:tc>
      </w:tr>
      <w:tr w:rsidR="00EF6F42" w:rsidRPr="00177D39" w14:paraId="5943D6FB" w14:textId="77777777" w:rsidTr="008E12DF">
        <w:trPr>
          <w:trHeight w:val="454"/>
        </w:trPr>
        <w:tc>
          <w:tcPr>
            <w:tcW w:w="4464" w:type="dxa"/>
            <w:tcBorders>
              <w:left w:val="single" w:sz="4" w:space="0" w:color="auto"/>
            </w:tcBorders>
            <w:shd w:val="clear" w:color="auto" w:fill="F2F2F2" w:themeFill="background1" w:themeFillShade="F2"/>
            <w:vAlign w:val="center"/>
          </w:tcPr>
          <w:p w14:paraId="057E89E9" w14:textId="61353183" w:rsidR="00EF6F42" w:rsidRPr="00177D39" w:rsidRDefault="00EF6F42" w:rsidP="00EF6F42">
            <w:pPr>
              <w:rPr>
                <w:rFonts w:ascii="Times New Roman" w:hAnsi="Times New Roman" w:cs="Times New Roman"/>
                <w:color w:val="000000" w:themeColor="text1"/>
                <w:sz w:val="20"/>
                <w:szCs w:val="20"/>
                <w:lang w:val="en-US"/>
              </w:rPr>
            </w:pPr>
            <w:r w:rsidRPr="00177D39">
              <w:rPr>
                <w:rFonts w:ascii="Times New Roman" w:hAnsi="Times New Roman" w:cs="Times New Roman"/>
                <w:color w:val="000000" w:themeColor="text1"/>
                <w:sz w:val="20"/>
                <w:szCs w:val="20"/>
                <w:lang w:val="en-US"/>
              </w:rPr>
              <w:t>Aldosterone post-confirmatory test (</w:t>
            </w:r>
            <w:r w:rsidR="0017570E" w:rsidRPr="00177D39">
              <w:rPr>
                <w:rFonts w:ascii="Times New Roman" w:hAnsi="Times New Roman" w:cs="Times New Roman"/>
                <w:color w:val="000000" w:themeColor="text1"/>
                <w:sz w:val="20"/>
                <w:szCs w:val="20"/>
                <w:lang w:val="en-US"/>
              </w:rPr>
              <w:t>n</w:t>
            </w:r>
            <w:r w:rsidRPr="00177D39">
              <w:rPr>
                <w:rFonts w:ascii="Times New Roman" w:hAnsi="Times New Roman" w:cs="Times New Roman"/>
                <w:color w:val="000000" w:themeColor="text1"/>
                <w:sz w:val="20"/>
                <w:szCs w:val="20"/>
                <w:lang w:val="en-US"/>
              </w:rPr>
              <w:t>g/</w:t>
            </w:r>
            <w:r w:rsidR="0017570E" w:rsidRPr="00177D39">
              <w:rPr>
                <w:rFonts w:ascii="Times New Roman" w:hAnsi="Times New Roman" w:cs="Times New Roman"/>
                <w:color w:val="000000" w:themeColor="text1"/>
                <w:sz w:val="20"/>
                <w:szCs w:val="20"/>
                <w:lang w:val="en-US"/>
              </w:rPr>
              <w:t>d</w:t>
            </w:r>
            <w:r w:rsidRPr="00177D39">
              <w:rPr>
                <w:rFonts w:ascii="Times New Roman" w:hAnsi="Times New Roman" w:cs="Times New Roman"/>
                <w:color w:val="000000" w:themeColor="text1"/>
                <w:sz w:val="20"/>
                <w:szCs w:val="20"/>
                <w:lang w:val="en-US"/>
              </w:rPr>
              <w:t>L)</w:t>
            </w:r>
          </w:p>
        </w:tc>
        <w:tc>
          <w:tcPr>
            <w:tcW w:w="2248" w:type="dxa"/>
            <w:shd w:val="clear" w:color="auto" w:fill="F2F2F2" w:themeFill="background1" w:themeFillShade="F2"/>
            <w:vAlign w:val="center"/>
          </w:tcPr>
          <w:p w14:paraId="627D6764" w14:textId="7D5C68ED" w:rsidR="00EF6F42" w:rsidRPr="00177D39" w:rsidRDefault="00EF6F42" w:rsidP="00EF6F42">
            <w:pPr>
              <w:jc w:val="center"/>
              <w:rPr>
                <w:rFonts w:ascii="Times New Roman" w:hAnsi="Times New Roman" w:cs="Times New Roman"/>
                <w:color w:val="FF0000"/>
                <w:sz w:val="20"/>
                <w:szCs w:val="20"/>
                <w:lang w:val="en-US"/>
              </w:rPr>
            </w:pPr>
            <w:r w:rsidRPr="00177D39">
              <w:rPr>
                <w:rFonts w:ascii="Times New Roman" w:hAnsi="Times New Roman" w:cs="Times New Roman"/>
                <w:color w:val="000000" w:themeColor="text1"/>
                <w:sz w:val="20"/>
                <w:szCs w:val="20"/>
                <w:lang w:val="en-US"/>
              </w:rPr>
              <w:t>1.01 (1.01 – 1.01)</w:t>
            </w:r>
          </w:p>
        </w:tc>
        <w:tc>
          <w:tcPr>
            <w:tcW w:w="1559" w:type="dxa"/>
            <w:tcBorders>
              <w:right w:val="single" w:sz="4" w:space="0" w:color="auto"/>
            </w:tcBorders>
            <w:shd w:val="clear" w:color="auto" w:fill="F2F2F2" w:themeFill="background1" w:themeFillShade="F2"/>
            <w:vAlign w:val="center"/>
          </w:tcPr>
          <w:p w14:paraId="7FF4468F" w14:textId="6D60FAD2" w:rsidR="00EF6F42" w:rsidRPr="00177D39" w:rsidRDefault="00EF6F42" w:rsidP="00EF6F42">
            <w:pPr>
              <w:jc w:val="center"/>
              <w:rPr>
                <w:rFonts w:ascii="Times New Roman" w:hAnsi="Times New Roman" w:cs="Times New Roman"/>
                <w:b/>
                <w:bCs/>
                <w:color w:val="FF0000"/>
                <w:sz w:val="20"/>
                <w:szCs w:val="20"/>
                <w:lang w:val="en-US"/>
              </w:rPr>
            </w:pPr>
            <w:r w:rsidRPr="00177D39">
              <w:rPr>
                <w:rFonts w:ascii="Times New Roman" w:hAnsi="Times New Roman" w:cs="Times New Roman"/>
                <w:b/>
                <w:bCs/>
                <w:color w:val="000000" w:themeColor="text1"/>
                <w:sz w:val="20"/>
                <w:szCs w:val="20"/>
                <w:lang w:val="en-US"/>
              </w:rPr>
              <w:t>&lt; 0.001</w:t>
            </w:r>
          </w:p>
        </w:tc>
      </w:tr>
      <w:tr w:rsidR="00107796" w:rsidRPr="00177D39" w14:paraId="4BED4F7B" w14:textId="77777777" w:rsidTr="008E12DF">
        <w:trPr>
          <w:trHeight w:val="454"/>
        </w:trPr>
        <w:tc>
          <w:tcPr>
            <w:tcW w:w="4464" w:type="dxa"/>
            <w:tcBorders>
              <w:left w:val="single" w:sz="4" w:space="0" w:color="auto"/>
            </w:tcBorders>
            <w:vAlign w:val="center"/>
          </w:tcPr>
          <w:p w14:paraId="1A9B3EEA" w14:textId="00D7669F" w:rsidR="00107796" w:rsidRPr="00177D39" w:rsidRDefault="00107796" w:rsidP="00107796">
            <w:pPr>
              <w:rPr>
                <w:rFonts w:ascii="Times New Roman" w:hAnsi="Times New Roman" w:cs="Times New Roman"/>
                <w:sz w:val="20"/>
                <w:szCs w:val="20"/>
                <w:lang w:val="en-US"/>
              </w:rPr>
            </w:pPr>
            <w:r w:rsidRPr="003A38C6">
              <w:rPr>
                <w:color w:val="000000" w:themeColor="text1"/>
                <w:sz w:val="20"/>
                <w:szCs w:val="20"/>
                <w:lang w:val="en-US"/>
              </w:rPr>
              <w:t>Microalbuminuria</w:t>
            </w:r>
            <w:r w:rsidR="00C557BE">
              <w:rPr>
                <w:color w:val="000000" w:themeColor="text1"/>
                <w:sz w:val="20"/>
                <w:szCs w:val="20"/>
                <w:lang w:val="en-US"/>
              </w:rPr>
              <w:t xml:space="preserve"> (ref. yes)</w:t>
            </w:r>
          </w:p>
        </w:tc>
        <w:tc>
          <w:tcPr>
            <w:tcW w:w="2248" w:type="dxa"/>
            <w:vAlign w:val="center"/>
          </w:tcPr>
          <w:p w14:paraId="50C967C8" w14:textId="4814136F" w:rsidR="00107796" w:rsidRPr="00330EC6" w:rsidRDefault="00BE5ADD" w:rsidP="00107796">
            <w:pPr>
              <w:jc w:val="center"/>
              <w:rPr>
                <w:rFonts w:ascii="Times New Roman" w:hAnsi="Times New Roman" w:cs="Times New Roman"/>
                <w:color w:val="000000" w:themeColor="text1"/>
                <w:sz w:val="20"/>
                <w:szCs w:val="20"/>
                <w:lang w:val="en-US"/>
              </w:rPr>
            </w:pPr>
            <w:r w:rsidRPr="00330EC6">
              <w:rPr>
                <w:rFonts w:ascii="Times New Roman" w:hAnsi="Times New Roman" w:cs="Times New Roman"/>
                <w:color w:val="000000" w:themeColor="text1"/>
                <w:sz w:val="20"/>
                <w:szCs w:val="20"/>
                <w:lang w:val="en-US"/>
              </w:rPr>
              <w:t>1</w:t>
            </w:r>
            <w:r w:rsidR="00107796" w:rsidRPr="00330EC6">
              <w:rPr>
                <w:rFonts w:ascii="Times New Roman" w:hAnsi="Times New Roman" w:cs="Times New Roman"/>
                <w:color w:val="000000" w:themeColor="text1"/>
                <w:sz w:val="20"/>
                <w:szCs w:val="20"/>
                <w:lang w:val="en-US"/>
              </w:rPr>
              <w:t>.</w:t>
            </w:r>
            <w:r w:rsidRPr="00330EC6">
              <w:rPr>
                <w:rFonts w:ascii="Times New Roman" w:hAnsi="Times New Roman" w:cs="Times New Roman"/>
                <w:color w:val="000000" w:themeColor="text1"/>
                <w:sz w:val="20"/>
                <w:szCs w:val="20"/>
                <w:lang w:val="en-US"/>
              </w:rPr>
              <w:t>10</w:t>
            </w:r>
            <w:r w:rsidR="00107796" w:rsidRPr="00330EC6">
              <w:rPr>
                <w:rFonts w:ascii="Times New Roman" w:hAnsi="Times New Roman" w:cs="Times New Roman"/>
                <w:color w:val="000000" w:themeColor="text1"/>
                <w:sz w:val="20"/>
                <w:szCs w:val="20"/>
                <w:lang w:val="en-US"/>
              </w:rPr>
              <w:t xml:space="preserve"> (</w:t>
            </w:r>
            <w:r w:rsidR="00330EC6" w:rsidRPr="00330EC6">
              <w:rPr>
                <w:rFonts w:ascii="Times New Roman" w:hAnsi="Times New Roman" w:cs="Times New Roman"/>
                <w:color w:val="000000" w:themeColor="text1"/>
                <w:sz w:val="20"/>
                <w:szCs w:val="20"/>
                <w:lang w:val="en-US"/>
              </w:rPr>
              <w:t>0.52 – 2.32</w:t>
            </w:r>
            <w:r w:rsidR="00107796" w:rsidRPr="00330EC6">
              <w:rPr>
                <w:rFonts w:ascii="Times New Roman" w:hAnsi="Times New Roman" w:cs="Times New Roman"/>
                <w:color w:val="000000" w:themeColor="text1"/>
                <w:sz w:val="20"/>
                <w:szCs w:val="20"/>
                <w:lang w:val="en-US"/>
              </w:rPr>
              <w:t>)</w:t>
            </w:r>
          </w:p>
        </w:tc>
        <w:tc>
          <w:tcPr>
            <w:tcW w:w="1559" w:type="dxa"/>
            <w:tcBorders>
              <w:right w:val="single" w:sz="4" w:space="0" w:color="auto"/>
            </w:tcBorders>
            <w:vAlign w:val="center"/>
          </w:tcPr>
          <w:p w14:paraId="599F3627" w14:textId="77777777" w:rsidR="00107796" w:rsidRPr="00177D39" w:rsidRDefault="00107796" w:rsidP="00107796">
            <w:pPr>
              <w:jc w:val="center"/>
              <w:rPr>
                <w:rFonts w:ascii="Times New Roman" w:hAnsi="Times New Roman" w:cs="Times New Roman"/>
                <w:color w:val="000000" w:themeColor="text1"/>
                <w:sz w:val="20"/>
                <w:szCs w:val="20"/>
                <w:lang w:val="en-US"/>
              </w:rPr>
            </w:pPr>
            <w:r w:rsidRPr="00177D39">
              <w:rPr>
                <w:rFonts w:ascii="Times New Roman" w:hAnsi="Times New Roman" w:cs="Times New Roman"/>
                <w:color w:val="000000" w:themeColor="text1"/>
                <w:sz w:val="20"/>
                <w:szCs w:val="20"/>
                <w:lang w:val="en-US"/>
              </w:rPr>
              <w:t>0.800</w:t>
            </w:r>
          </w:p>
        </w:tc>
      </w:tr>
      <w:tr w:rsidR="00107796" w:rsidRPr="00177D39" w14:paraId="1B1D8AC0" w14:textId="77777777" w:rsidTr="008E12DF">
        <w:trPr>
          <w:trHeight w:val="454"/>
        </w:trPr>
        <w:tc>
          <w:tcPr>
            <w:tcW w:w="4464" w:type="dxa"/>
            <w:tcBorders>
              <w:left w:val="single" w:sz="4" w:space="0" w:color="auto"/>
            </w:tcBorders>
            <w:shd w:val="clear" w:color="auto" w:fill="F2F2F2" w:themeFill="background1" w:themeFillShade="F2"/>
            <w:vAlign w:val="center"/>
          </w:tcPr>
          <w:p w14:paraId="6A0F0F4D" w14:textId="50013243" w:rsidR="00107796" w:rsidRPr="00177D39" w:rsidRDefault="00107796" w:rsidP="00107796">
            <w:pPr>
              <w:rPr>
                <w:rFonts w:ascii="Times New Roman" w:hAnsi="Times New Roman" w:cs="Times New Roman"/>
                <w:sz w:val="20"/>
                <w:szCs w:val="20"/>
                <w:lang w:val="en-US"/>
              </w:rPr>
            </w:pPr>
            <w:r w:rsidRPr="003A38C6">
              <w:rPr>
                <w:color w:val="000000" w:themeColor="text1"/>
                <w:sz w:val="20"/>
                <w:szCs w:val="20"/>
                <w:lang w:val="en-US"/>
              </w:rPr>
              <w:t>LVH at Echo</w:t>
            </w:r>
            <w:r w:rsidR="00C557BE">
              <w:rPr>
                <w:color w:val="000000" w:themeColor="text1"/>
                <w:sz w:val="20"/>
                <w:szCs w:val="20"/>
                <w:lang w:val="en-US"/>
              </w:rPr>
              <w:t xml:space="preserve"> (ref. yes)</w:t>
            </w:r>
          </w:p>
        </w:tc>
        <w:tc>
          <w:tcPr>
            <w:tcW w:w="2248" w:type="dxa"/>
            <w:shd w:val="clear" w:color="auto" w:fill="F2F2F2" w:themeFill="background1" w:themeFillShade="F2"/>
            <w:vAlign w:val="center"/>
          </w:tcPr>
          <w:p w14:paraId="5ECAF335" w14:textId="48B4BB65" w:rsidR="00107796" w:rsidRPr="00330EC6" w:rsidRDefault="00BE5ADD" w:rsidP="00107796">
            <w:pPr>
              <w:jc w:val="center"/>
              <w:rPr>
                <w:rFonts w:ascii="Times New Roman" w:hAnsi="Times New Roman" w:cs="Times New Roman"/>
                <w:color w:val="000000" w:themeColor="text1"/>
                <w:sz w:val="20"/>
                <w:szCs w:val="20"/>
                <w:lang w:val="en-US"/>
              </w:rPr>
            </w:pPr>
            <w:r w:rsidRPr="00330EC6">
              <w:rPr>
                <w:rFonts w:ascii="Times New Roman" w:hAnsi="Times New Roman" w:cs="Times New Roman"/>
                <w:color w:val="000000" w:themeColor="text1"/>
                <w:sz w:val="20"/>
                <w:szCs w:val="20"/>
                <w:lang w:val="en-US"/>
              </w:rPr>
              <w:t>1</w:t>
            </w:r>
            <w:r w:rsidR="00107796" w:rsidRPr="00330EC6">
              <w:rPr>
                <w:rFonts w:ascii="Times New Roman" w:hAnsi="Times New Roman" w:cs="Times New Roman"/>
                <w:color w:val="000000" w:themeColor="text1"/>
                <w:sz w:val="20"/>
                <w:szCs w:val="20"/>
                <w:lang w:val="en-US"/>
              </w:rPr>
              <w:t>.</w:t>
            </w:r>
            <w:r w:rsidRPr="00330EC6">
              <w:rPr>
                <w:rFonts w:ascii="Times New Roman" w:hAnsi="Times New Roman" w:cs="Times New Roman"/>
                <w:color w:val="000000" w:themeColor="text1"/>
                <w:sz w:val="20"/>
                <w:szCs w:val="20"/>
                <w:lang w:val="en-US"/>
              </w:rPr>
              <w:t>06</w:t>
            </w:r>
            <w:r w:rsidR="00107796" w:rsidRPr="00330EC6">
              <w:rPr>
                <w:rFonts w:ascii="Times New Roman" w:hAnsi="Times New Roman" w:cs="Times New Roman"/>
                <w:color w:val="000000" w:themeColor="text1"/>
                <w:sz w:val="20"/>
                <w:szCs w:val="20"/>
                <w:lang w:val="en-US"/>
              </w:rPr>
              <w:t xml:space="preserve"> (0.5</w:t>
            </w:r>
            <w:r w:rsidR="00330EC6" w:rsidRPr="00330EC6">
              <w:rPr>
                <w:rFonts w:ascii="Times New Roman" w:hAnsi="Times New Roman" w:cs="Times New Roman"/>
                <w:color w:val="000000" w:themeColor="text1"/>
                <w:sz w:val="20"/>
                <w:szCs w:val="20"/>
                <w:lang w:val="en-US"/>
              </w:rPr>
              <w:t>7</w:t>
            </w:r>
            <w:r w:rsidR="00107796" w:rsidRPr="00330EC6">
              <w:rPr>
                <w:rFonts w:ascii="Times New Roman" w:hAnsi="Times New Roman" w:cs="Times New Roman"/>
                <w:color w:val="000000" w:themeColor="text1"/>
                <w:sz w:val="20"/>
                <w:szCs w:val="20"/>
                <w:lang w:val="en-US"/>
              </w:rPr>
              <w:t xml:space="preserve"> – </w:t>
            </w:r>
            <w:r w:rsidR="00330EC6" w:rsidRPr="00330EC6">
              <w:rPr>
                <w:rFonts w:ascii="Times New Roman" w:hAnsi="Times New Roman" w:cs="Times New Roman"/>
                <w:color w:val="000000" w:themeColor="text1"/>
                <w:sz w:val="20"/>
                <w:szCs w:val="20"/>
                <w:lang w:val="en-US"/>
              </w:rPr>
              <w:t>2</w:t>
            </w:r>
            <w:r w:rsidR="00107796" w:rsidRPr="00330EC6">
              <w:rPr>
                <w:rFonts w:ascii="Times New Roman" w:hAnsi="Times New Roman" w:cs="Times New Roman"/>
                <w:color w:val="000000" w:themeColor="text1"/>
                <w:sz w:val="20"/>
                <w:szCs w:val="20"/>
                <w:lang w:val="en-US"/>
              </w:rPr>
              <w:t>.</w:t>
            </w:r>
            <w:r w:rsidR="00330EC6" w:rsidRPr="00330EC6">
              <w:rPr>
                <w:rFonts w:ascii="Times New Roman" w:hAnsi="Times New Roman" w:cs="Times New Roman"/>
                <w:color w:val="000000" w:themeColor="text1"/>
                <w:sz w:val="20"/>
                <w:szCs w:val="20"/>
                <w:lang w:val="en-US"/>
              </w:rPr>
              <w:t>00</w:t>
            </w:r>
            <w:r w:rsidR="00107796" w:rsidRPr="00330EC6">
              <w:rPr>
                <w:rFonts w:ascii="Times New Roman" w:hAnsi="Times New Roman" w:cs="Times New Roman"/>
                <w:color w:val="000000" w:themeColor="text1"/>
                <w:sz w:val="20"/>
                <w:szCs w:val="20"/>
                <w:lang w:val="en-US"/>
              </w:rPr>
              <w:t>)</w:t>
            </w:r>
          </w:p>
        </w:tc>
        <w:tc>
          <w:tcPr>
            <w:tcW w:w="1559" w:type="dxa"/>
            <w:tcBorders>
              <w:right w:val="single" w:sz="4" w:space="0" w:color="auto"/>
            </w:tcBorders>
            <w:shd w:val="clear" w:color="auto" w:fill="F2F2F2" w:themeFill="background1" w:themeFillShade="F2"/>
            <w:vAlign w:val="center"/>
          </w:tcPr>
          <w:p w14:paraId="2AE12A39" w14:textId="77777777" w:rsidR="00107796" w:rsidRPr="00177D39" w:rsidRDefault="00107796" w:rsidP="00107796">
            <w:pPr>
              <w:jc w:val="center"/>
              <w:rPr>
                <w:rFonts w:ascii="Times New Roman" w:hAnsi="Times New Roman" w:cs="Times New Roman"/>
                <w:color w:val="000000" w:themeColor="text1"/>
                <w:sz w:val="20"/>
                <w:szCs w:val="20"/>
                <w:lang w:val="en-US"/>
              </w:rPr>
            </w:pPr>
            <w:r w:rsidRPr="00177D39">
              <w:rPr>
                <w:rFonts w:ascii="Times New Roman" w:hAnsi="Times New Roman" w:cs="Times New Roman"/>
                <w:color w:val="000000" w:themeColor="text1"/>
                <w:sz w:val="20"/>
                <w:szCs w:val="20"/>
                <w:lang w:val="en-US"/>
              </w:rPr>
              <w:t>0.831</w:t>
            </w:r>
          </w:p>
        </w:tc>
      </w:tr>
      <w:tr w:rsidR="00107796" w:rsidRPr="00177D39" w14:paraId="4DF37D19" w14:textId="77777777" w:rsidTr="008E12DF">
        <w:trPr>
          <w:trHeight w:val="454"/>
        </w:trPr>
        <w:tc>
          <w:tcPr>
            <w:tcW w:w="4464" w:type="dxa"/>
            <w:tcBorders>
              <w:left w:val="single" w:sz="4" w:space="0" w:color="auto"/>
            </w:tcBorders>
            <w:vAlign w:val="center"/>
          </w:tcPr>
          <w:p w14:paraId="5760AA83" w14:textId="2359C463" w:rsidR="00107796" w:rsidRPr="00177D39" w:rsidRDefault="00107796" w:rsidP="00107796">
            <w:pPr>
              <w:rPr>
                <w:rFonts w:ascii="Times New Roman" w:hAnsi="Times New Roman" w:cs="Times New Roman"/>
                <w:sz w:val="20"/>
                <w:szCs w:val="20"/>
                <w:lang w:val="en-US"/>
              </w:rPr>
            </w:pPr>
            <w:r w:rsidRPr="003A38C6">
              <w:rPr>
                <w:color w:val="000000" w:themeColor="text1"/>
                <w:sz w:val="20"/>
                <w:szCs w:val="20"/>
                <w:lang w:val="en-US"/>
              </w:rPr>
              <w:t>CV events</w:t>
            </w:r>
            <w:r w:rsidR="00C557BE">
              <w:rPr>
                <w:color w:val="000000" w:themeColor="text1"/>
                <w:sz w:val="20"/>
                <w:szCs w:val="20"/>
                <w:lang w:val="en-US"/>
              </w:rPr>
              <w:t xml:space="preserve"> (ref. yes)</w:t>
            </w:r>
          </w:p>
        </w:tc>
        <w:tc>
          <w:tcPr>
            <w:tcW w:w="2248" w:type="dxa"/>
            <w:vAlign w:val="center"/>
          </w:tcPr>
          <w:p w14:paraId="327A375C" w14:textId="7B974F70" w:rsidR="00107796" w:rsidRPr="00330EC6" w:rsidRDefault="00BE5ADD" w:rsidP="00107796">
            <w:pPr>
              <w:jc w:val="center"/>
              <w:rPr>
                <w:rFonts w:ascii="Times New Roman" w:hAnsi="Times New Roman" w:cs="Times New Roman"/>
                <w:color w:val="000000" w:themeColor="text1"/>
                <w:sz w:val="20"/>
                <w:szCs w:val="20"/>
                <w:lang w:val="en-US"/>
              </w:rPr>
            </w:pPr>
            <w:r w:rsidRPr="00330EC6">
              <w:rPr>
                <w:rFonts w:ascii="Times New Roman" w:hAnsi="Times New Roman" w:cs="Times New Roman"/>
                <w:color w:val="000000" w:themeColor="text1"/>
                <w:sz w:val="20"/>
                <w:szCs w:val="20"/>
                <w:lang w:val="en-US"/>
              </w:rPr>
              <w:t>0</w:t>
            </w:r>
            <w:r w:rsidR="00107796" w:rsidRPr="00330EC6">
              <w:rPr>
                <w:rFonts w:ascii="Times New Roman" w:hAnsi="Times New Roman" w:cs="Times New Roman"/>
                <w:color w:val="000000" w:themeColor="text1"/>
                <w:sz w:val="20"/>
                <w:szCs w:val="20"/>
                <w:lang w:val="en-US"/>
              </w:rPr>
              <w:t>.</w:t>
            </w:r>
            <w:r w:rsidRPr="00330EC6">
              <w:rPr>
                <w:rFonts w:ascii="Times New Roman" w:hAnsi="Times New Roman" w:cs="Times New Roman"/>
                <w:color w:val="000000" w:themeColor="text1"/>
                <w:sz w:val="20"/>
                <w:szCs w:val="20"/>
                <w:lang w:val="en-US"/>
              </w:rPr>
              <w:t>65</w:t>
            </w:r>
            <w:r w:rsidR="00107796" w:rsidRPr="00330EC6">
              <w:rPr>
                <w:rFonts w:ascii="Times New Roman" w:hAnsi="Times New Roman" w:cs="Times New Roman"/>
                <w:color w:val="000000" w:themeColor="text1"/>
                <w:sz w:val="20"/>
                <w:szCs w:val="20"/>
                <w:lang w:val="en-US"/>
              </w:rPr>
              <w:t xml:space="preserve"> (</w:t>
            </w:r>
            <w:r w:rsidR="00330EC6" w:rsidRPr="00330EC6">
              <w:rPr>
                <w:rFonts w:ascii="Times New Roman" w:hAnsi="Times New Roman" w:cs="Times New Roman"/>
                <w:color w:val="000000" w:themeColor="text1"/>
                <w:sz w:val="20"/>
                <w:szCs w:val="20"/>
                <w:lang w:val="en-US"/>
              </w:rPr>
              <w:t>0.28 - 1</w:t>
            </w:r>
            <w:r w:rsidR="00107796" w:rsidRPr="00330EC6">
              <w:rPr>
                <w:rFonts w:ascii="Times New Roman" w:hAnsi="Times New Roman" w:cs="Times New Roman"/>
                <w:color w:val="000000" w:themeColor="text1"/>
                <w:sz w:val="20"/>
                <w:szCs w:val="20"/>
                <w:lang w:val="en-US"/>
              </w:rPr>
              <w:t>.52)</w:t>
            </w:r>
          </w:p>
        </w:tc>
        <w:tc>
          <w:tcPr>
            <w:tcW w:w="1559" w:type="dxa"/>
            <w:tcBorders>
              <w:right w:val="single" w:sz="4" w:space="0" w:color="auto"/>
            </w:tcBorders>
            <w:vAlign w:val="center"/>
          </w:tcPr>
          <w:p w14:paraId="15AAA11C" w14:textId="77777777" w:rsidR="00107796" w:rsidRPr="00177D39" w:rsidRDefault="00107796" w:rsidP="00107796">
            <w:pPr>
              <w:jc w:val="center"/>
              <w:rPr>
                <w:rFonts w:ascii="Times New Roman" w:hAnsi="Times New Roman" w:cs="Times New Roman"/>
                <w:color w:val="000000" w:themeColor="text1"/>
                <w:sz w:val="20"/>
                <w:szCs w:val="20"/>
                <w:lang w:val="en-US"/>
              </w:rPr>
            </w:pPr>
            <w:r w:rsidRPr="00177D39">
              <w:rPr>
                <w:rFonts w:ascii="Times New Roman" w:hAnsi="Times New Roman" w:cs="Times New Roman"/>
                <w:color w:val="000000" w:themeColor="text1"/>
                <w:sz w:val="20"/>
                <w:szCs w:val="20"/>
                <w:lang w:val="en-US"/>
              </w:rPr>
              <w:t>0.322</w:t>
            </w:r>
          </w:p>
        </w:tc>
      </w:tr>
      <w:tr w:rsidR="00107796" w:rsidRPr="00177D39" w14:paraId="0C419B7B" w14:textId="77777777" w:rsidTr="008E12DF">
        <w:trPr>
          <w:trHeight w:val="454"/>
        </w:trPr>
        <w:tc>
          <w:tcPr>
            <w:tcW w:w="4464" w:type="dxa"/>
            <w:tcBorders>
              <w:left w:val="single" w:sz="4" w:space="0" w:color="auto"/>
            </w:tcBorders>
            <w:shd w:val="clear" w:color="auto" w:fill="F2F2F2" w:themeFill="background1" w:themeFillShade="F2"/>
            <w:vAlign w:val="center"/>
          </w:tcPr>
          <w:p w14:paraId="1112FE54" w14:textId="5765DAD7" w:rsidR="00107796" w:rsidRPr="00177D39" w:rsidRDefault="00FA0617" w:rsidP="00107796">
            <w:pPr>
              <w:rPr>
                <w:rFonts w:ascii="Times New Roman" w:hAnsi="Times New Roman" w:cs="Times New Roman"/>
                <w:sz w:val="20"/>
                <w:szCs w:val="20"/>
                <w:lang w:val="en-US"/>
              </w:rPr>
            </w:pPr>
            <w:r>
              <w:rPr>
                <w:color w:val="000000" w:themeColor="text1"/>
                <w:sz w:val="20"/>
                <w:szCs w:val="20"/>
                <w:lang w:val="en-US"/>
              </w:rPr>
              <w:t>N</w:t>
            </w:r>
            <w:r w:rsidR="00107796" w:rsidRPr="003A38C6">
              <w:rPr>
                <w:color w:val="000000" w:themeColor="text1"/>
                <w:sz w:val="20"/>
                <w:szCs w:val="20"/>
                <w:lang w:val="en-US"/>
              </w:rPr>
              <w:t>odule</w:t>
            </w:r>
            <w:r w:rsidR="00107796">
              <w:rPr>
                <w:color w:val="000000" w:themeColor="text1"/>
                <w:sz w:val="20"/>
                <w:szCs w:val="20"/>
                <w:lang w:val="en-US"/>
              </w:rPr>
              <w:t xml:space="preserve"> at CT scanning</w:t>
            </w:r>
            <w:r>
              <w:rPr>
                <w:color w:val="000000" w:themeColor="text1"/>
                <w:sz w:val="20"/>
                <w:szCs w:val="20"/>
                <w:lang w:val="en-US"/>
              </w:rPr>
              <w:t xml:space="preserve"> (ref. presence)</w:t>
            </w:r>
          </w:p>
        </w:tc>
        <w:tc>
          <w:tcPr>
            <w:tcW w:w="2248" w:type="dxa"/>
            <w:shd w:val="clear" w:color="auto" w:fill="F2F2F2" w:themeFill="background1" w:themeFillShade="F2"/>
            <w:vAlign w:val="center"/>
          </w:tcPr>
          <w:p w14:paraId="20B3929E" w14:textId="765C142E" w:rsidR="00107796" w:rsidRPr="00C557BE" w:rsidRDefault="00330EC6" w:rsidP="00107796">
            <w:pPr>
              <w:jc w:val="center"/>
              <w:rPr>
                <w:rFonts w:ascii="Times New Roman" w:hAnsi="Times New Roman" w:cs="Times New Roman"/>
                <w:color w:val="000000" w:themeColor="text1"/>
                <w:sz w:val="20"/>
                <w:szCs w:val="20"/>
                <w:highlight w:val="yellow"/>
                <w:lang w:val="en-US"/>
              </w:rPr>
            </w:pPr>
            <w:r w:rsidRPr="00330EC6">
              <w:rPr>
                <w:rFonts w:ascii="Times New Roman" w:hAnsi="Times New Roman" w:cs="Times New Roman"/>
                <w:color w:val="000000" w:themeColor="text1"/>
                <w:sz w:val="20"/>
                <w:szCs w:val="20"/>
                <w:lang w:val="en-US"/>
              </w:rPr>
              <w:t>8.33 (4.35 – 16.67)</w:t>
            </w:r>
          </w:p>
        </w:tc>
        <w:tc>
          <w:tcPr>
            <w:tcW w:w="1559" w:type="dxa"/>
            <w:tcBorders>
              <w:right w:val="single" w:sz="4" w:space="0" w:color="auto"/>
            </w:tcBorders>
            <w:shd w:val="clear" w:color="auto" w:fill="F2F2F2" w:themeFill="background1" w:themeFillShade="F2"/>
            <w:vAlign w:val="center"/>
          </w:tcPr>
          <w:p w14:paraId="240C706C" w14:textId="77777777" w:rsidR="00107796" w:rsidRPr="00177D39" w:rsidRDefault="00107796" w:rsidP="00107796">
            <w:pPr>
              <w:jc w:val="center"/>
              <w:rPr>
                <w:rFonts w:ascii="Times New Roman" w:hAnsi="Times New Roman" w:cs="Times New Roman"/>
                <w:b/>
                <w:bCs/>
                <w:color w:val="000000" w:themeColor="text1"/>
                <w:sz w:val="20"/>
                <w:szCs w:val="20"/>
                <w:lang w:val="en-US"/>
              </w:rPr>
            </w:pPr>
            <w:r w:rsidRPr="00177D39">
              <w:rPr>
                <w:rFonts w:ascii="Times New Roman" w:hAnsi="Times New Roman" w:cs="Times New Roman"/>
                <w:b/>
                <w:bCs/>
                <w:color w:val="000000" w:themeColor="text1"/>
                <w:sz w:val="20"/>
                <w:szCs w:val="20"/>
                <w:lang w:val="en-US"/>
              </w:rPr>
              <w:t>&lt; 0.001</w:t>
            </w:r>
          </w:p>
        </w:tc>
      </w:tr>
      <w:tr w:rsidR="00107796" w:rsidRPr="00177D39" w14:paraId="4D26BD75" w14:textId="77777777" w:rsidTr="008E12DF">
        <w:trPr>
          <w:trHeight w:val="454"/>
        </w:trPr>
        <w:tc>
          <w:tcPr>
            <w:tcW w:w="4464" w:type="dxa"/>
            <w:tcBorders>
              <w:left w:val="single" w:sz="4" w:space="0" w:color="auto"/>
              <w:bottom w:val="single" w:sz="4" w:space="0" w:color="BFBFBF" w:themeColor="background1" w:themeShade="BF"/>
            </w:tcBorders>
            <w:shd w:val="clear" w:color="auto" w:fill="FFFFFF" w:themeFill="background1"/>
            <w:vAlign w:val="center"/>
          </w:tcPr>
          <w:p w14:paraId="4BF672A8" w14:textId="03111F78" w:rsidR="00107796" w:rsidRPr="00177D39" w:rsidRDefault="00107796" w:rsidP="00107796">
            <w:pPr>
              <w:rPr>
                <w:rFonts w:ascii="Times New Roman" w:hAnsi="Times New Roman" w:cs="Times New Roman"/>
                <w:sz w:val="20"/>
                <w:szCs w:val="20"/>
                <w:lang w:val="en-US"/>
              </w:rPr>
            </w:pPr>
            <w:r w:rsidRPr="003A38C6">
              <w:rPr>
                <w:color w:val="000000" w:themeColor="text1"/>
                <w:sz w:val="20"/>
                <w:szCs w:val="20"/>
                <w:lang w:val="en-US"/>
              </w:rPr>
              <w:t>Largest nodule at CT scanning (diameter, mm)</w:t>
            </w:r>
          </w:p>
        </w:tc>
        <w:tc>
          <w:tcPr>
            <w:tcW w:w="2248" w:type="dxa"/>
            <w:tcBorders>
              <w:bottom w:val="single" w:sz="4" w:space="0" w:color="BFBFBF" w:themeColor="background1" w:themeShade="BF"/>
            </w:tcBorders>
            <w:shd w:val="clear" w:color="auto" w:fill="FFFFFF" w:themeFill="background1"/>
            <w:vAlign w:val="center"/>
          </w:tcPr>
          <w:p w14:paraId="489980FB" w14:textId="49E31A3F" w:rsidR="00107796" w:rsidRPr="00177D39" w:rsidRDefault="00107796" w:rsidP="00107796">
            <w:pPr>
              <w:jc w:val="center"/>
              <w:rPr>
                <w:rFonts w:ascii="Times New Roman" w:hAnsi="Times New Roman" w:cs="Times New Roman"/>
                <w:sz w:val="20"/>
                <w:szCs w:val="20"/>
                <w:lang w:val="en-US"/>
              </w:rPr>
            </w:pPr>
            <w:r w:rsidRPr="00177D39">
              <w:rPr>
                <w:rFonts w:ascii="Times New Roman" w:hAnsi="Times New Roman" w:cs="Times New Roman"/>
                <w:color w:val="000000" w:themeColor="text1"/>
                <w:sz w:val="20"/>
                <w:szCs w:val="20"/>
                <w:lang w:val="en-US"/>
              </w:rPr>
              <w:t>1.12 (1.07 – 1.16)</w:t>
            </w:r>
          </w:p>
        </w:tc>
        <w:tc>
          <w:tcPr>
            <w:tcW w:w="1559" w:type="dxa"/>
            <w:tcBorders>
              <w:bottom w:val="single" w:sz="4" w:space="0" w:color="BFBFBF" w:themeColor="background1" w:themeShade="BF"/>
              <w:right w:val="single" w:sz="4" w:space="0" w:color="auto"/>
            </w:tcBorders>
            <w:shd w:val="clear" w:color="auto" w:fill="FFFFFF" w:themeFill="background1"/>
            <w:vAlign w:val="center"/>
          </w:tcPr>
          <w:p w14:paraId="43F5F0E1" w14:textId="57F23862" w:rsidR="00107796" w:rsidRPr="00177D39" w:rsidRDefault="00107796" w:rsidP="00107796">
            <w:pPr>
              <w:jc w:val="center"/>
              <w:rPr>
                <w:rFonts w:ascii="Times New Roman" w:hAnsi="Times New Roman" w:cs="Times New Roman"/>
                <w:sz w:val="20"/>
                <w:szCs w:val="20"/>
                <w:lang w:val="en-US"/>
              </w:rPr>
            </w:pPr>
            <w:r w:rsidRPr="00177D39">
              <w:rPr>
                <w:rFonts w:ascii="Times New Roman" w:hAnsi="Times New Roman" w:cs="Times New Roman"/>
                <w:b/>
                <w:bCs/>
                <w:color w:val="000000" w:themeColor="text1"/>
                <w:sz w:val="20"/>
                <w:szCs w:val="20"/>
                <w:lang w:val="en-US"/>
              </w:rPr>
              <w:t>&lt; 0.001</w:t>
            </w:r>
          </w:p>
        </w:tc>
      </w:tr>
      <w:tr w:rsidR="00171434" w:rsidRPr="00177D39" w14:paraId="24CC9F3C" w14:textId="77777777" w:rsidTr="008E12DF">
        <w:trPr>
          <w:trHeight w:val="544"/>
        </w:trPr>
        <w:tc>
          <w:tcPr>
            <w:tcW w:w="4464" w:type="dxa"/>
            <w:tcBorders>
              <w:left w:val="single" w:sz="4" w:space="0" w:color="auto"/>
              <w:bottom w:val="single" w:sz="4" w:space="0" w:color="auto"/>
            </w:tcBorders>
            <w:shd w:val="clear" w:color="auto" w:fill="F2F2F2" w:themeFill="background1" w:themeFillShade="F2"/>
            <w:vAlign w:val="center"/>
          </w:tcPr>
          <w:p w14:paraId="623F038C" w14:textId="524EF617" w:rsidR="00171434" w:rsidRPr="00177D39" w:rsidRDefault="00171434" w:rsidP="00D7527F">
            <w:pPr>
              <w:rPr>
                <w:rFonts w:ascii="Times New Roman" w:hAnsi="Times New Roman" w:cs="Times New Roman"/>
                <w:sz w:val="20"/>
                <w:szCs w:val="20"/>
                <w:lang w:val="en-US"/>
              </w:rPr>
            </w:pPr>
            <w:r w:rsidRPr="00177D39">
              <w:rPr>
                <w:rFonts w:ascii="Times New Roman" w:hAnsi="Times New Roman" w:cs="Times New Roman"/>
                <w:sz w:val="20"/>
                <w:szCs w:val="20"/>
                <w:lang w:val="en-US"/>
              </w:rPr>
              <w:t>CT</w:t>
            </w:r>
            <w:r w:rsidR="00FA0617">
              <w:rPr>
                <w:rFonts w:ascii="Times New Roman" w:hAnsi="Times New Roman" w:cs="Times New Roman"/>
                <w:sz w:val="20"/>
                <w:szCs w:val="20"/>
                <w:lang w:val="en-US"/>
              </w:rPr>
              <w:t xml:space="preserve"> scanning</w:t>
            </w:r>
            <w:r w:rsidRPr="00177D39">
              <w:rPr>
                <w:rFonts w:ascii="Times New Roman" w:hAnsi="Times New Roman" w:cs="Times New Roman"/>
                <w:sz w:val="20"/>
                <w:szCs w:val="20"/>
                <w:lang w:val="en-US"/>
              </w:rPr>
              <w:t xml:space="preserve"> findings (</w:t>
            </w:r>
            <w:r w:rsidR="00835BD6">
              <w:rPr>
                <w:rFonts w:ascii="Times New Roman" w:hAnsi="Times New Roman" w:cs="Times New Roman"/>
                <w:sz w:val="20"/>
                <w:szCs w:val="20"/>
                <w:lang w:val="en-US"/>
              </w:rPr>
              <w:t xml:space="preserve">ref. </w:t>
            </w:r>
            <w:r w:rsidR="00D7527F">
              <w:rPr>
                <w:rFonts w:ascii="Times New Roman" w:hAnsi="Times New Roman" w:cs="Times New Roman"/>
                <w:sz w:val="20"/>
                <w:szCs w:val="20"/>
                <w:lang w:val="en-US"/>
              </w:rPr>
              <w:t>uni</w:t>
            </w:r>
            <w:r w:rsidRPr="00177D39">
              <w:rPr>
                <w:rFonts w:ascii="Times New Roman" w:hAnsi="Times New Roman" w:cs="Times New Roman"/>
                <w:sz w:val="20"/>
                <w:szCs w:val="20"/>
                <w:lang w:val="en-US"/>
              </w:rPr>
              <w:t>lat</w:t>
            </w:r>
            <w:r w:rsidR="00835BD6">
              <w:rPr>
                <w:rFonts w:ascii="Times New Roman" w:hAnsi="Times New Roman" w:cs="Times New Roman"/>
                <w:sz w:val="20"/>
                <w:szCs w:val="20"/>
                <w:lang w:val="en-US"/>
              </w:rPr>
              <w:t>eral</w:t>
            </w:r>
            <w:r w:rsidRPr="00177D39">
              <w:rPr>
                <w:rFonts w:ascii="Times New Roman" w:hAnsi="Times New Roman" w:cs="Times New Roman"/>
                <w:sz w:val="20"/>
                <w:szCs w:val="20"/>
                <w:lang w:val="en-US"/>
              </w:rPr>
              <w:t xml:space="preserve"> abnormality)</w:t>
            </w:r>
          </w:p>
        </w:tc>
        <w:tc>
          <w:tcPr>
            <w:tcW w:w="2248" w:type="dxa"/>
            <w:tcBorders>
              <w:bottom w:val="single" w:sz="4" w:space="0" w:color="auto"/>
            </w:tcBorders>
            <w:shd w:val="clear" w:color="auto" w:fill="F2F2F2" w:themeFill="background1" w:themeFillShade="F2"/>
            <w:vAlign w:val="center"/>
          </w:tcPr>
          <w:p w14:paraId="26780E18" w14:textId="77777777" w:rsidR="00171434" w:rsidRPr="00177D39" w:rsidRDefault="00171434" w:rsidP="008F5BE8">
            <w:pPr>
              <w:jc w:val="center"/>
              <w:rPr>
                <w:rFonts w:ascii="Times New Roman" w:hAnsi="Times New Roman" w:cs="Times New Roman"/>
                <w:sz w:val="20"/>
                <w:szCs w:val="20"/>
                <w:lang w:val="en-US"/>
              </w:rPr>
            </w:pPr>
            <w:r w:rsidRPr="00177D39">
              <w:rPr>
                <w:rFonts w:ascii="Times New Roman" w:hAnsi="Times New Roman" w:cs="Times New Roman"/>
                <w:sz w:val="20"/>
                <w:szCs w:val="20"/>
                <w:lang w:val="en-US"/>
              </w:rPr>
              <w:t>9.91 (3.50 – 28.05)</w:t>
            </w:r>
          </w:p>
        </w:tc>
        <w:tc>
          <w:tcPr>
            <w:tcW w:w="1559" w:type="dxa"/>
            <w:tcBorders>
              <w:bottom w:val="single" w:sz="4" w:space="0" w:color="auto"/>
              <w:right w:val="single" w:sz="4" w:space="0" w:color="auto"/>
            </w:tcBorders>
            <w:shd w:val="clear" w:color="auto" w:fill="F2F2F2" w:themeFill="background1" w:themeFillShade="F2"/>
            <w:vAlign w:val="center"/>
          </w:tcPr>
          <w:p w14:paraId="66C16856" w14:textId="77777777" w:rsidR="00171434" w:rsidRPr="00177D39" w:rsidRDefault="00171434" w:rsidP="008F5BE8">
            <w:pPr>
              <w:jc w:val="center"/>
              <w:rPr>
                <w:rFonts w:ascii="Times New Roman" w:hAnsi="Times New Roman" w:cs="Times New Roman"/>
                <w:b/>
                <w:bCs/>
                <w:sz w:val="20"/>
                <w:szCs w:val="20"/>
                <w:lang w:val="en-US"/>
              </w:rPr>
            </w:pPr>
            <w:r w:rsidRPr="00177D39">
              <w:rPr>
                <w:rFonts w:ascii="Times New Roman" w:hAnsi="Times New Roman" w:cs="Times New Roman"/>
                <w:b/>
                <w:bCs/>
                <w:sz w:val="20"/>
                <w:szCs w:val="20"/>
                <w:lang w:val="en-US"/>
              </w:rPr>
              <w:t>&lt; 0.001</w:t>
            </w:r>
          </w:p>
        </w:tc>
      </w:tr>
    </w:tbl>
    <w:p w14:paraId="5C957E0B" w14:textId="77777777" w:rsidR="00171434" w:rsidRPr="00171434" w:rsidRDefault="00171434" w:rsidP="00A25709">
      <w:pPr>
        <w:pStyle w:val="Corpo"/>
        <w:tabs>
          <w:tab w:val="left" w:pos="5529"/>
        </w:tabs>
        <w:spacing w:line="480" w:lineRule="auto"/>
        <w:jc w:val="both"/>
        <w:outlineLvl w:val="0"/>
        <w:rPr>
          <w:rFonts w:hAnsi="Times New Roman" w:cs="Times New Roman"/>
          <w:i/>
          <w:iCs/>
          <w:sz w:val="12"/>
          <w:szCs w:val="12"/>
        </w:rPr>
      </w:pPr>
    </w:p>
    <w:p w14:paraId="5894E35D" w14:textId="7870A67A" w:rsidR="00EC1DCD" w:rsidRDefault="00F857D8" w:rsidP="003F2CCE">
      <w:pPr>
        <w:pStyle w:val="Corpo"/>
        <w:tabs>
          <w:tab w:val="left" w:pos="5529"/>
        </w:tabs>
        <w:jc w:val="both"/>
        <w:outlineLvl w:val="0"/>
        <w:rPr>
          <w:rFonts w:hAnsi="Times New Roman" w:cs="Times New Roman"/>
        </w:rPr>
      </w:pPr>
      <w:r>
        <w:rPr>
          <w:rFonts w:hAnsi="Times New Roman" w:cs="Times New Roman"/>
        </w:rPr>
        <w:t xml:space="preserve">Univariate logistic regression analysis was performed to assess the odds ratio (OR) and the 95% confidence interval (CI) for each variable. </w:t>
      </w:r>
      <w:r w:rsidRPr="00F857D8">
        <w:rPr>
          <w:rFonts w:hAnsi="Times New Roman" w:cs="Times New Roman"/>
        </w:rPr>
        <w:t xml:space="preserve">An OR greater than 1 indicates an increased likelihood of </w:t>
      </w:r>
      <w:r w:rsidR="00AB1D61">
        <w:rPr>
          <w:rFonts w:hAnsi="Times New Roman" w:cs="Times New Roman"/>
        </w:rPr>
        <w:t xml:space="preserve">unilateral </w:t>
      </w:r>
      <w:r w:rsidR="00D623E3">
        <w:rPr>
          <w:rFonts w:hAnsi="Times New Roman" w:cs="Times New Roman"/>
        </w:rPr>
        <w:t>primary aldosteron</w:t>
      </w:r>
      <w:r w:rsidR="00DA0836">
        <w:rPr>
          <w:rFonts w:hAnsi="Times New Roman" w:cs="Times New Roman"/>
        </w:rPr>
        <w:t>ism</w:t>
      </w:r>
      <w:r w:rsidR="00D623E3">
        <w:rPr>
          <w:rFonts w:hAnsi="Times New Roman" w:cs="Times New Roman"/>
        </w:rPr>
        <w:t xml:space="preserve"> (UPA)</w:t>
      </w:r>
      <w:r w:rsidR="00AB1D61">
        <w:rPr>
          <w:rFonts w:hAnsi="Times New Roman" w:cs="Times New Roman"/>
        </w:rPr>
        <w:t>,</w:t>
      </w:r>
      <w:r>
        <w:rPr>
          <w:rFonts w:hAnsi="Times New Roman" w:cs="Times New Roman"/>
        </w:rPr>
        <w:t xml:space="preserve"> </w:t>
      </w:r>
      <w:r w:rsidRPr="00F857D8">
        <w:rPr>
          <w:rFonts w:hAnsi="Times New Roman" w:cs="Times New Roman"/>
        </w:rPr>
        <w:t>and an OR less than 1 a decreased likelihood.</w:t>
      </w:r>
      <w:r>
        <w:rPr>
          <w:rFonts w:hAnsi="Times New Roman" w:cs="Times New Roman"/>
        </w:rPr>
        <w:t xml:space="preserve"> </w:t>
      </w:r>
      <w:r w:rsidRPr="00FF3493">
        <w:rPr>
          <w:rFonts w:hAnsi="Times New Roman" w:cs="Times New Roman"/>
        </w:rPr>
        <w:t>The DDD is the assumed average maintenance dose per day for a drug used for its main indication in adults.</w:t>
      </w:r>
      <w:r>
        <w:rPr>
          <w:rFonts w:hAnsi="Times New Roman" w:cs="Times New Roman"/>
        </w:rPr>
        <w:t xml:space="preserve"> AVS, Adrenal Venous Sampling; HTN, Hypertension; BP, Blood Pressure; DDD, Defined Daily Dose; eGFR, estimated Glomerular Filtration Rate; PRA, Plasma Renin Activity; LVH, Left Ventricular Hypertrophy; Echo, Echocardiography; CV, Cardiovascular; CT, Computed Tomography.</w:t>
      </w:r>
      <w:r w:rsidR="00371C0E">
        <w:rPr>
          <w:rFonts w:hAnsi="Times New Roman" w:cs="Times New Roman"/>
        </w:rPr>
        <w:t xml:space="preserve"> Normally and non-normally distributed variables were reported as mean </w:t>
      </w:r>
      <w:r w:rsidR="00371C0E" w:rsidRPr="00B20357">
        <w:rPr>
          <w:rFonts w:hAnsi="Times New Roman" w:cs="Times New Roman"/>
        </w:rPr>
        <w:t xml:space="preserve">± </w:t>
      </w:r>
      <w:r w:rsidR="00371C0E">
        <w:rPr>
          <w:rFonts w:hAnsi="Times New Roman" w:cs="Times New Roman"/>
        </w:rPr>
        <w:t>standard deviation or median [interquartile range], respectively. Categorical variables were reported as absolute number (n) and proportion (%).</w:t>
      </w:r>
    </w:p>
    <w:p w14:paraId="4FDC0605" w14:textId="77777777" w:rsidR="003F2CCE" w:rsidRDefault="003F2CCE">
      <w:pPr>
        <w:rPr>
          <w:rFonts w:eastAsia="Arial Unicode MS"/>
          <w:b/>
          <w:bCs/>
          <w:i/>
          <w:iCs/>
          <w:color w:val="000000"/>
          <w:u w:color="000000"/>
          <w:bdr w:val="nil"/>
          <w:lang w:val="en-US" w:eastAsia="en-US"/>
        </w:rPr>
      </w:pPr>
      <w:r w:rsidRPr="00F60803">
        <w:rPr>
          <w:b/>
          <w:bCs/>
          <w:i/>
          <w:iCs/>
          <w:lang w:val="en-US"/>
        </w:rPr>
        <w:br w:type="page"/>
      </w:r>
    </w:p>
    <w:p w14:paraId="231B795A" w14:textId="21F07FB0" w:rsidR="00A31B26" w:rsidRPr="008F2D54" w:rsidRDefault="003606D4" w:rsidP="000C742D">
      <w:pPr>
        <w:pStyle w:val="Corpo"/>
        <w:tabs>
          <w:tab w:val="left" w:pos="5529"/>
        </w:tabs>
        <w:spacing w:line="480" w:lineRule="auto"/>
        <w:jc w:val="both"/>
        <w:outlineLvl w:val="0"/>
        <w:rPr>
          <w:rFonts w:hAnsi="Times New Roman" w:cs="Times New Roman"/>
          <w:b/>
          <w:bCs/>
        </w:rPr>
      </w:pPr>
      <w:r w:rsidRPr="008F2D54">
        <w:rPr>
          <w:rFonts w:hAnsi="Times New Roman" w:cs="Times New Roman"/>
          <w:b/>
          <w:bCs/>
        </w:rPr>
        <w:lastRenderedPageBreak/>
        <w:t>Supplementa</w:t>
      </w:r>
      <w:r>
        <w:rPr>
          <w:rFonts w:hAnsi="Times New Roman" w:cs="Times New Roman"/>
          <w:b/>
          <w:bCs/>
        </w:rPr>
        <w:t xml:space="preserve">ry </w:t>
      </w:r>
      <w:r w:rsidRPr="008F2D54">
        <w:rPr>
          <w:rFonts w:hAnsi="Times New Roman" w:cs="Times New Roman"/>
          <w:b/>
          <w:bCs/>
        </w:rPr>
        <w:t xml:space="preserve">Table </w:t>
      </w:r>
      <w:r>
        <w:rPr>
          <w:rFonts w:hAnsi="Times New Roman" w:cs="Times New Roman"/>
          <w:b/>
          <w:bCs/>
        </w:rPr>
        <w:t>2</w:t>
      </w:r>
      <w:r w:rsidR="008F2D54">
        <w:rPr>
          <w:rFonts w:hAnsi="Times New Roman" w:cs="Times New Roman"/>
          <w:b/>
          <w:bCs/>
        </w:rPr>
        <w:t>.</w:t>
      </w:r>
      <w:r w:rsidR="000C742D" w:rsidRPr="008F2D54">
        <w:rPr>
          <w:rFonts w:hAnsi="Times New Roman" w:cs="Times New Roman"/>
          <w:b/>
          <w:bCs/>
        </w:rPr>
        <w:t xml:space="preserve"> LDA coefficients </w:t>
      </w:r>
      <w:r w:rsidR="005D4636" w:rsidRPr="008F2D54">
        <w:rPr>
          <w:rFonts w:hAnsi="Times New Roman" w:cs="Times New Roman"/>
          <w:b/>
          <w:bCs/>
        </w:rPr>
        <w:t>for</w:t>
      </w:r>
      <w:r w:rsidR="000C742D" w:rsidRPr="008F2D54">
        <w:rPr>
          <w:rFonts w:hAnsi="Times New Roman" w:cs="Times New Roman"/>
          <w:b/>
          <w:bCs/>
        </w:rPr>
        <w:t xml:space="preserve"> subtype diagnosis</w:t>
      </w:r>
    </w:p>
    <w:tbl>
      <w:tblPr>
        <w:tblStyle w:val="Grigliatabellachiara"/>
        <w:tblW w:w="9284" w:type="dxa"/>
        <w:tblInd w:w="209" w:type="dxa"/>
        <w:tblLook w:val="04A0" w:firstRow="1" w:lastRow="0" w:firstColumn="1" w:lastColumn="0" w:noHBand="0" w:noVBand="1"/>
      </w:tblPr>
      <w:tblGrid>
        <w:gridCol w:w="4606"/>
        <w:gridCol w:w="2268"/>
        <w:gridCol w:w="2410"/>
      </w:tblGrid>
      <w:tr w:rsidR="00973C80" w:rsidRPr="00D611C0" w14:paraId="64B6A5E0" w14:textId="77777777" w:rsidTr="008D2561">
        <w:trPr>
          <w:trHeight w:val="477"/>
        </w:trPr>
        <w:tc>
          <w:tcPr>
            <w:tcW w:w="4606" w:type="dxa"/>
            <w:tcBorders>
              <w:top w:val="single" w:sz="4" w:space="0" w:color="auto"/>
              <w:left w:val="single" w:sz="4" w:space="0" w:color="auto"/>
              <w:bottom w:val="single" w:sz="8" w:space="0" w:color="auto"/>
            </w:tcBorders>
            <w:shd w:val="clear" w:color="auto" w:fill="D9D9D9" w:themeFill="background1" w:themeFillShade="D9"/>
            <w:vAlign w:val="center"/>
          </w:tcPr>
          <w:p w14:paraId="18D7C100" w14:textId="35637A38" w:rsidR="00973C80" w:rsidRPr="00D611C0" w:rsidRDefault="00973C80" w:rsidP="008F5BE8">
            <w:pPr>
              <w:rPr>
                <w:rFonts w:ascii="Times New Roman" w:hAnsi="Times New Roman" w:cs="Times New Roman"/>
                <w:b/>
                <w:sz w:val="20"/>
                <w:szCs w:val="20"/>
                <w:lang w:val="en-US"/>
              </w:rPr>
            </w:pPr>
            <w:r w:rsidRPr="00D611C0">
              <w:rPr>
                <w:rFonts w:ascii="Times New Roman" w:hAnsi="Times New Roman" w:cs="Times New Roman"/>
                <w:b/>
                <w:sz w:val="20"/>
                <w:szCs w:val="20"/>
                <w:lang w:val="en-US"/>
              </w:rPr>
              <w:t xml:space="preserve">Variable (ref. </w:t>
            </w:r>
            <w:r w:rsidR="00DA0836" w:rsidRPr="00D611C0">
              <w:rPr>
                <w:rFonts w:ascii="Times New Roman" w:hAnsi="Times New Roman" w:cs="Times New Roman"/>
                <w:b/>
                <w:sz w:val="20"/>
                <w:szCs w:val="20"/>
                <w:lang w:val="en-US"/>
              </w:rPr>
              <w:t>U</w:t>
            </w:r>
            <w:r w:rsidR="00357694" w:rsidRPr="00D611C0">
              <w:rPr>
                <w:rFonts w:ascii="Times New Roman" w:hAnsi="Times New Roman" w:cs="Times New Roman"/>
                <w:b/>
                <w:sz w:val="20"/>
                <w:szCs w:val="20"/>
                <w:lang w:val="en-US"/>
              </w:rPr>
              <w:t>PA</w:t>
            </w:r>
            <w:r w:rsidRPr="00D611C0">
              <w:rPr>
                <w:rFonts w:ascii="Times New Roman" w:hAnsi="Times New Roman" w:cs="Times New Roman"/>
                <w:b/>
                <w:sz w:val="20"/>
                <w:szCs w:val="20"/>
                <w:lang w:val="en-US"/>
              </w:rPr>
              <w:t>)</w:t>
            </w:r>
          </w:p>
        </w:tc>
        <w:tc>
          <w:tcPr>
            <w:tcW w:w="2268" w:type="dxa"/>
            <w:tcBorders>
              <w:top w:val="single" w:sz="4" w:space="0" w:color="auto"/>
              <w:bottom w:val="single" w:sz="8" w:space="0" w:color="auto"/>
            </w:tcBorders>
            <w:shd w:val="clear" w:color="auto" w:fill="D9D9D9" w:themeFill="background1" w:themeFillShade="D9"/>
            <w:vAlign w:val="center"/>
          </w:tcPr>
          <w:p w14:paraId="2813E2D6" w14:textId="6F7AD69A" w:rsidR="00973C80" w:rsidRPr="00D611C0" w:rsidRDefault="00973C80" w:rsidP="008F5BE8">
            <w:pPr>
              <w:jc w:val="center"/>
              <w:rPr>
                <w:rFonts w:ascii="Times New Roman" w:hAnsi="Times New Roman" w:cs="Times New Roman"/>
                <w:b/>
                <w:sz w:val="20"/>
                <w:szCs w:val="20"/>
                <w:lang w:val="en-US"/>
              </w:rPr>
            </w:pPr>
            <w:r w:rsidRPr="00D611C0">
              <w:rPr>
                <w:rFonts w:ascii="Times New Roman" w:hAnsi="Times New Roman" w:cs="Times New Roman"/>
                <w:b/>
                <w:sz w:val="20"/>
                <w:szCs w:val="20"/>
                <w:lang w:val="en-US"/>
              </w:rPr>
              <w:t>LDA Coefficients</w:t>
            </w:r>
          </w:p>
        </w:tc>
        <w:tc>
          <w:tcPr>
            <w:tcW w:w="2410" w:type="dxa"/>
            <w:tcBorders>
              <w:top w:val="single" w:sz="4" w:space="0" w:color="auto"/>
              <w:bottom w:val="single" w:sz="8" w:space="0" w:color="auto"/>
              <w:right w:val="single" w:sz="4" w:space="0" w:color="auto"/>
            </w:tcBorders>
            <w:shd w:val="clear" w:color="auto" w:fill="D9D9D9" w:themeFill="background1" w:themeFillShade="D9"/>
            <w:vAlign w:val="center"/>
          </w:tcPr>
          <w:p w14:paraId="1DF1EA4F" w14:textId="5408306A" w:rsidR="00973C80" w:rsidRPr="00D611C0" w:rsidRDefault="00973C80" w:rsidP="008F5BE8">
            <w:pPr>
              <w:jc w:val="center"/>
              <w:rPr>
                <w:rFonts w:ascii="Times New Roman" w:hAnsi="Times New Roman" w:cs="Times New Roman"/>
                <w:b/>
                <w:iCs/>
                <w:sz w:val="20"/>
                <w:szCs w:val="20"/>
                <w:lang w:val="en-US"/>
              </w:rPr>
            </w:pPr>
            <w:r w:rsidRPr="00D611C0">
              <w:rPr>
                <w:rFonts w:ascii="Times New Roman" w:hAnsi="Times New Roman" w:cs="Times New Roman"/>
                <w:b/>
                <w:iCs/>
                <w:sz w:val="20"/>
                <w:szCs w:val="20"/>
                <w:lang w:val="en-US"/>
              </w:rPr>
              <w:t>Normalized Coefficients</w:t>
            </w:r>
          </w:p>
        </w:tc>
      </w:tr>
      <w:tr w:rsidR="00112E61" w:rsidRPr="00D611C0" w14:paraId="01636A01" w14:textId="77777777" w:rsidTr="008D2561">
        <w:trPr>
          <w:trHeight w:val="454"/>
        </w:trPr>
        <w:tc>
          <w:tcPr>
            <w:tcW w:w="4606" w:type="dxa"/>
            <w:tcBorders>
              <w:top w:val="single" w:sz="8" w:space="0" w:color="auto"/>
              <w:left w:val="single" w:sz="4" w:space="0" w:color="auto"/>
            </w:tcBorders>
            <w:vAlign w:val="center"/>
          </w:tcPr>
          <w:p w14:paraId="4E065FA9" w14:textId="091E5B3B" w:rsidR="00112E61" w:rsidRPr="00D611C0" w:rsidRDefault="00112E61" w:rsidP="00112E61">
            <w:pPr>
              <w:rPr>
                <w:rFonts w:ascii="Times New Roman" w:hAnsi="Times New Roman" w:cs="Times New Roman"/>
                <w:sz w:val="20"/>
                <w:szCs w:val="20"/>
                <w:lang w:val="en-US"/>
              </w:rPr>
            </w:pPr>
            <w:r w:rsidRPr="00D611C0">
              <w:rPr>
                <w:rFonts w:ascii="Times New Roman" w:hAnsi="Times New Roman" w:cs="Times New Roman"/>
                <w:sz w:val="20"/>
                <w:szCs w:val="20"/>
                <w:lang w:val="en-US"/>
              </w:rPr>
              <w:t>Aldosterone at screening (</w:t>
            </w:r>
            <w:r w:rsidR="008F2D54" w:rsidRPr="00D611C0">
              <w:rPr>
                <w:rFonts w:ascii="Times New Roman" w:hAnsi="Times New Roman" w:cs="Times New Roman"/>
                <w:sz w:val="20"/>
                <w:szCs w:val="20"/>
                <w:lang w:val="en-US"/>
              </w:rPr>
              <w:t>ng</w:t>
            </w:r>
            <w:r w:rsidRPr="00D611C0">
              <w:rPr>
                <w:rFonts w:ascii="Times New Roman" w:hAnsi="Times New Roman" w:cs="Times New Roman"/>
                <w:sz w:val="20"/>
                <w:szCs w:val="20"/>
                <w:lang w:val="en-US"/>
              </w:rPr>
              <w:t>/</w:t>
            </w:r>
            <w:r w:rsidR="008F2D54" w:rsidRPr="00D611C0">
              <w:rPr>
                <w:rFonts w:ascii="Times New Roman" w:hAnsi="Times New Roman" w:cs="Times New Roman"/>
                <w:sz w:val="20"/>
                <w:szCs w:val="20"/>
                <w:lang w:val="en-US"/>
              </w:rPr>
              <w:t>d</w:t>
            </w:r>
            <w:r w:rsidRPr="00D611C0">
              <w:rPr>
                <w:rFonts w:ascii="Times New Roman" w:hAnsi="Times New Roman" w:cs="Times New Roman"/>
                <w:sz w:val="20"/>
                <w:szCs w:val="20"/>
                <w:lang w:val="en-US"/>
              </w:rPr>
              <w:t>L)</w:t>
            </w:r>
          </w:p>
        </w:tc>
        <w:tc>
          <w:tcPr>
            <w:tcW w:w="2268" w:type="dxa"/>
            <w:tcBorders>
              <w:top w:val="single" w:sz="8" w:space="0" w:color="auto"/>
            </w:tcBorders>
            <w:vAlign w:val="center"/>
          </w:tcPr>
          <w:p w14:paraId="6590B5B4" w14:textId="6E3E7031" w:rsidR="00112E61" w:rsidRPr="00D611C0" w:rsidRDefault="00887A16" w:rsidP="00112E61">
            <w:pPr>
              <w:jc w:val="center"/>
              <w:rPr>
                <w:rFonts w:ascii="Times New Roman" w:hAnsi="Times New Roman" w:cs="Times New Roman"/>
                <w:sz w:val="20"/>
                <w:szCs w:val="20"/>
                <w:lang w:val="en-US"/>
              </w:rPr>
            </w:pPr>
            <w:r w:rsidRPr="00D611C0">
              <w:rPr>
                <w:rFonts w:ascii="Times New Roman" w:hAnsi="Times New Roman" w:cs="Times New Roman"/>
                <w:sz w:val="20"/>
                <w:szCs w:val="20"/>
                <w:lang w:val="en-US"/>
              </w:rPr>
              <w:t>-0.</w:t>
            </w:r>
            <w:r w:rsidR="00B2667C" w:rsidRPr="00D611C0">
              <w:rPr>
                <w:rFonts w:ascii="Times New Roman" w:hAnsi="Times New Roman" w:cs="Times New Roman"/>
                <w:sz w:val="20"/>
                <w:szCs w:val="20"/>
                <w:lang w:val="en-US"/>
              </w:rPr>
              <w:t>027</w:t>
            </w:r>
          </w:p>
        </w:tc>
        <w:tc>
          <w:tcPr>
            <w:tcW w:w="2410" w:type="dxa"/>
            <w:tcBorders>
              <w:top w:val="single" w:sz="8" w:space="0" w:color="auto"/>
              <w:right w:val="single" w:sz="4" w:space="0" w:color="auto"/>
            </w:tcBorders>
            <w:vAlign w:val="center"/>
          </w:tcPr>
          <w:p w14:paraId="7B979606" w14:textId="44CDDFC5" w:rsidR="00112E61" w:rsidRPr="00D611C0" w:rsidRDefault="00887A16" w:rsidP="00112E61">
            <w:pPr>
              <w:jc w:val="center"/>
              <w:rPr>
                <w:rFonts w:ascii="Times New Roman" w:hAnsi="Times New Roman" w:cs="Times New Roman"/>
                <w:sz w:val="20"/>
                <w:szCs w:val="20"/>
                <w:lang w:val="en-US"/>
              </w:rPr>
            </w:pPr>
            <w:r w:rsidRPr="00D611C0">
              <w:rPr>
                <w:rFonts w:ascii="Times New Roman" w:hAnsi="Times New Roman" w:cs="Times New Roman"/>
                <w:sz w:val="20"/>
                <w:szCs w:val="20"/>
                <w:lang w:val="en-US"/>
              </w:rPr>
              <w:t>0.387</w:t>
            </w:r>
          </w:p>
        </w:tc>
      </w:tr>
      <w:tr w:rsidR="00112E61" w:rsidRPr="00D611C0" w14:paraId="268C3627" w14:textId="77777777" w:rsidTr="008D2561">
        <w:trPr>
          <w:trHeight w:val="454"/>
        </w:trPr>
        <w:tc>
          <w:tcPr>
            <w:tcW w:w="4606" w:type="dxa"/>
            <w:tcBorders>
              <w:left w:val="single" w:sz="4" w:space="0" w:color="auto"/>
            </w:tcBorders>
            <w:shd w:val="clear" w:color="auto" w:fill="F2F2F2" w:themeFill="background1" w:themeFillShade="F2"/>
            <w:vAlign w:val="center"/>
          </w:tcPr>
          <w:p w14:paraId="5DE66BB9" w14:textId="17B2ECDB" w:rsidR="00112E61" w:rsidRPr="00D611C0" w:rsidRDefault="00112E61" w:rsidP="00112E61">
            <w:pPr>
              <w:rPr>
                <w:rFonts w:ascii="Times New Roman" w:hAnsi="Times New Roman" w:cs="Times New Roman"/>
                <w:sz w:val="20"/>
                <w:szCs w:val="20"/>
                <w:lang w:val="en-US"/>
              </w:rPr>
            </w:pPr>
            <w:r w:rsidRPr="00D611C0">
              <w:rPr>
                <w:rFonts w:ascii="Times New Roman" w:hAnsi="Times New Roman" w:cs="Times New Roman"/>
                <w:sz w:val="20"/>
                <w:szCs w:val="20"/>
                <w:lang w:val="en-US"/>
              </w:rPr>
              <w:t>Lowest Potassium (mEq/L)</w:t>
            </w:r>
          </w:p>
        </w:tc>
        <w:tc>
          <w:tcPr>
            <w:tcW w:w="2268" w:type="dxa"/>
            <w:shd w:val="clear" w:color="auto" w:fill="F2F2F2" w:themeFill="background1" w:themeFillShade="F2"/>
            <w:vAlign w:val="center"/>
          </w:tcPr>
          <w:p w14:paraId="6BBF7D5C" w14:textId="164BE3FB" w:rsidR="00112E61" w:rsidRPr="00D611C0" w:rsidRDefault="00887A16" w:rsidP="00112E61">
            <w:pPr>
              <w:jc w:val="center"/>
              <w:rPr>
                <w:rFonts w:ascii="Times New Roman" w:hAnsi="Times New Roman" w:cs="Times New Roman"/>
                <w:sz w:val="20"/>
                <w:szCs w:val="20"/>
                <w:lang w:val="en-US"/>
              </w:rPr>
            </w:pPr>
            <w:r w:rsidRPr="00D611C0">
              <w:rPr>
                <w:rFonts w:ascii="Times New Roman" w:hAnsi="Times New Roman" w:cs="Times New Roman"/>
                <w:sz w:val="20"/>
                <w:szCs w:val="20"/>
                <w:lang w:val="en-US"/>
              </w:rPr>
              <w:t>1.</w:t>
            </w:r>
            <w:r w:rsidR="00B2667C" w:rsidRPr="00D611C0">
              <w:rPr>
                <w:rFonts w:ascii="Times New Roman" w:hAnsi="Times New Roman" w:cs="Times New Roman"/>
                <w:sz w:val="20"/>
                <w:szCs w:val="20"/>
                <w:lang w:val="en-US"/>
              </w:rPr>
              <w:t>746</w:t>
            </w:r>
          </w:p>
        </w:tc>
        <w:tc>
          <w:tcPr>
            <w:tcW w:w="2410" w:type="dxa"/>
            <w:tcBorders>
              <w:right w:val="single" w:sz="4" w:space="0" w:color="auto"/>
            </w:tcBorders>
            <w:shd w:val="clear" w:color="auto" w:fill="F2F2F2" w:themeFill="background1" w:themeFillShade="F2"/>
            <w:vAlign w:val="center"/>
          </w:tcPr>
          <w:p w14:paraId="2C391FF8" w14:textId="6B0CD8CE" w:rsidR="00112E61" w:rsidRPr="00D611C0" w:rsidRDefault="00887A16" w:rsidP="00112E61">
            <w:pPr>
              <w:jc w:val="center"/>
              <w:rPr>
                <w:rFonts w:ascii="Times New Roman" w:hAnsi="Times New Roman" w:cs="Times New Roman"/>
                <w:sz w:val="20"/>
                <w:szCs w:val="20"/>
                <w:lang w:val="en-US"/>
              </w:rPr>
            </w:pPr>
            <w:r w:rsidRPr="00D611C0">
              <w:rPr>
                <w:rFonts w:ascii="Times New Roman" w:hAnsi="Times New Roman" w:cs="Times New Roman"/>
                <w:sz w:val="20"/>
                <w:szCs w:val="20"/>
                <w:lang w:val="en-US"/>
              </w:rPr>
              <w:t>1</w:t>
            </w:r>
            <w:r w:rsidR="00D448DC" w:rsidRPr="00D611C0">
              <w:rPr>
                <w:rFonts w:ascii="Times New Roman" w:hAnsi="Times New Roman" w:cs="Times New Roman"/>
                <w:sz w:val="20"/>
                <w:szCs w:val="20"/>
                <w:lang w:val="en-US"/>
              </w:rPr>
              <w:t>.000</w:t>
            </w:r>
          </w:p>
        </w:tc>
      </w:tr>
      <w:tr w:rsidR="00112E61" w:rsidRPr="00D611C0" w14:paraId="7A0ACE08" w14:textId="77777777" w:rsidTr="008D2561">
        <w:trPr>
          <w:trHeight w:val="454"/>
        </w:trPr>
        <w:tc>
          <w:tcPr>
            <w:tcW w:w="4606" w:type="dxa"/>
            <w:tcBorders>
              <w:left w:val="single" w:sz="4" w:space="0" w:color="auto"/>
            </w:tcBorders>
            <w:vAlign w:val="center"/>
          </w:tcPr>
          <w:p w14:paraId="6C062D76" w14:textId="0D52E148" w:rsidR="00112E61" w:rsidRPr="00D611C0" w:rsidRDefault="00112E61" w:rsidP="00112E61">
            <w:pPr>
              <w:rPr>
                <w:rFonts w:ascii="Times New Roman" w:hAnsi="Times New Roman" w:cs="Times New Roman"/>
                <w:sz w:val="20"/>
                <w:szCs w:val="20"/>
                <w:lang w:val="en-US"/>
              </w:rPr>
            </w:pPr>
            <w:r w:rsidRPr="00D611C0">
              <w:rPr>
                <w:rFonts w:ascii="Times New Roman" w:hAnsi="Times New Roman" w:cs="Times New Roman"/>
                <w:sz w:val="20"/>
                <w:szCs w:val="20"/>
                <w:lang w:val="en-US"/>
              </w:rPr>
              <w:t>Aldosterone post-confirmatory test (</w:t>
            </w:r>
            <w:r w:rsidR="008F2D54" w:rsidRPr="00D611C0">
              <w:rPr>
                <w:rFonts w:ascii="Times New Roman" w:hAnsi="Times New Roman" w:cs="Times New Roman"/>
                <w:sz w:val="20"/>
                <w:szCs w:val="20"/>
                <w:lang w:val="en-US"/>
              </w:rPr>
              <w:t>ng</w:t>
            </w:r>
            <w:r w:rsidRPr="00D611C0">
              <w:rPr>
                <w:rFonts w:ascii="Times New Roman" w:hAnsi="Times New Roman" w:cs="Times New Roman"/>
                <w:sz w:val="20"/>
                <w:szCs w:val="20"/>
                <w:lang w:val="en-US"/>
              </w:rPr>
              <w:t>/</w:t>
            </w:r>
            <w:r w:rsidR="008F2D54" w:rsidRPr="00D611C0">
              <w:rPr>
                <w:rFonts w:ascii="Times New Roman" w:hAnsi="Times New Roman" w:cs="Times New Roman"/>
                <w:sz w:val="20"/>
                <w:szCs w:val="20"/>
                <w:lang w:val="en-US"/>
              </w:rPr>
              <w:t>d</w:t>
            </w:r>
            <w:r w:rsidRPr="00D611C0">
              <w:rPr>
                <w:rFonts w:ascii="Times New Roman" w:hAnsi="Times New Roman" w:cs="Times New Roman"/>
                <w:sz w:val="20"/>
                <w:szCs w:val="20"/>
                <w:lang w:val="en-US"/>
              </w:rPr>
              <w:t>L)</w:t>
            </w:r>
          </w:p>
        </w:tc>
        <w:tc>
          <w:tcPr>
            <w:tcW w:w="2268" w:type="dxa"/>
            <w:vAlign w:val="center"/>
          </w:tcPr>
          <w:p w14:paraId="440B0A05" w14:textId="6C62F7F7" w:rsidR="00112E61" w:rsidRPr="00D611C0" w:rsidRDefault="00887A16" w:rsidP="00112E61">
            <w:pPr>
              <w:jc w:val="center"/>
              <w:rPr>
                <w:rFonts w:ascii="Times New Roman" w:hAnsi="Times New Roman" w:cs="Times New Roman"/>
                <w:sz w:val="20"/>
                <w:szCs w:val="20"/>
                <w:lang w:val="en-US"/>
              </w:rPr>
            </w:pPr>
            <w:r w:rsidRPr="00D611C0">
              <w:rPr>
                <w:rFonts w:ascii="Times New Roman" w:hAnsi="Times New Roman" w:cs="Times New Roman"/>
                <w:sz w:val="20"/>
                <w:szCs w:val="20"/>
                <w:lang w:val="en-US"/>
              </w:rPr>
              <w:t>-0.</w:t>
            </w:r>
            <w:r w:rsidR="00B2667C" w:rsidRPr="00D611C0">
              <w:rPr>
                <w:rFonts w:ascii="Times New Roman" w:hAnsi="Times New Roman" w:cs="Times New Roman"/>
                <w:sz w:val="20"/>
                <w:szCs w:val="20"/>
                <w:lang w:val="en-US"/>
              </w:rPr>
              <w:t>0295</w:t>
            </w:r>
          </w:p>
        </w:tc>
        <w:tc>
          <w:tcPr>
            <w:tcW w:w="2410" w:type="dxa"/>
            <w:tcBorders>
              <w:right w:val="single" w:sz="4" w:space="0" w:color="auto"/>
            </w:tcBorders>
            <w:vAlign w:val="center"/>
          </w:tcPr>
          <w:p w14:paraId="768C28EC" w14:textId="7345497F" w:rsidR="00112E61" w:rsidRPr="00D611C0" w:rsidRDefault="00887A16" w:rsidP="00112E61">
            <w:pPr>
              <w:jc w:val="center"/>
              <w:rPr>
                <w:rFonts w:ascii="Times New Roman" w:hAnsi="Times New Roman" w:cs="Times New Roman"/>
                <w:sz w:val="20"/>
                <w:szCs w:val="20"/>
                <w:lang w:val="en-US"/>
              </w:rPr>
            </w:pPr>
            <w:r w:rsidRPr="00D611C0">
              <w:rPr>
                <w:rFonts w:ascii="Times New Roman" w:hAnsi="Times New Roman" w:cs="Times New Roman"/>
                <w:sz w:val="20"/>
                <w:szCs w:val="20"/>
                <w:lang w:val="en-US"/>
              </w:rPr>
              <w:t>0.373</w:t>
            </w:r>
          </w:p>
        </w:tc>
      </w:tr>
      <w:tr w:rsidR="008D2561" w:rsidRPr="00D611C0" w14:paraId="0797A2D2" w14:textId="77777777" w:rsidTr="008D2561">
        <w:trPr>
          <w:trHeight w:val="454"/>
        </w:trPr>
        <w:tc>
          <w:tcPr>
            <w:tcW w:w="4606" w:type="dxa"/>
            <w:tcBorders>
              <w:left w:val="single" w:sz="4" w:space="0" w:color="auto"/>
            </w:tcBorders>
            <w:shd w:val="clear" w:color="auto" w:fill="F2F2F2" w:themeFill="background1" w:themeFillShade="F2"/>
            <w:vAlign w:val="center"/>
          </w:tcPr>
          <w:p w14:paraId="0B8F031E" w14:textId="28E5CB08" w:rsidR="008D2561" w:rsidRPr="00D611C0" w:rsidRDefault="008D2561" w:rsidP="008D2561">
            <w:pPr>
              <w:rPr>
                <w:rFonts w:ascii="Times New Roman" w:hAnsi="Times New Roman" w:cs="Times New Roman"/>
                <w:sz w:val="20"/>
                <w:szCs w:val="20"/>
                <w:lang w:val="en-US"/>
              </w:rPr>
            </w:pPr>
            <w:r w:rsidRPr="001A52C9">
              <w:rPr>
                <w:sz w:val="20"/>
                <w:szCs w:val="20"/>
                <w:lang w:val="en-US"/>
              </w:rPr>
              <w:t xml:space="preserve">Nodule at CT scanning (ref. </w:t>
            </w:r>
            <w:r>
              <w:rPr>
                <w:sz w:val="20"/>
                <w:szCs w:val="20"/>
                <w:lang w:val="en-US"/>
              </w:rPr>
              <w:t>presence</w:t>
            </w:r>
            <w:r w:rsidRPr="001A52C9">
              <w:rPr>
                <w:sz w:val="20"/>
                <w:szCs w:val="20"/>
                <w:lang w:val="en-US"/>
              </w:rPr>
              <w:t>)</w:t>
            </w:r>
          </w:p>
        </w:tc>
        <w:tc>
          <w:tcPr>
            <w:tcW w:w="2268" w:type="dxa"/>
            <w:shd w:val="clear" w:color="auto" w:fill="F2F2F2" w:themeFill="background1" w:themeFillShade="F2"/>
            <w:vAlign w:val="center"/>
          </w:tcPr>
          <w:p w14:paraId="08775345" w14:textId="51AAC392" w:rsidR="008D2561" w:rsidRPr="00D611C0" w:rsidRDefault="008D2561" w:rsidP="008D2561">
            <w:pPr>
              <w:jc w:val="center"/>
              <w:rPr>
                <w:rFonts w:ascii="Times New Roman" w:hAnsi="Times New Roman" w:cs="Times New Roman"/>
                <w:sz w:val="20"/>
                <w:szCs w:val="20"/>
                <w:lang w:val="en-US"/>
              </w:rPr>
            </w:pPr>
            <w:r w:rsidRPr="00D611C0">
              <w:rPr>
                <w:rFonts w:ascii="Times New Roman" w:hAnsi="Times New Roman" w:cs="Times New Roman"/>
                <w:sz w:val="20"/>
                <w:szCs w:val="20"/>
                <w:lang w:val="en-US"/>
              </w:rPr>
              <w:t>1.954</w:t>
            </w:r>
          </w:p>
        </w:tc>
        <w:tc>
          <w:tcPr>
            <w:tcW w:w="2410" w:type="dxa"/>
            <w:tcBorders>
              <w:right w:val="single" w:sz="4" w:space="0" w:color="auto"/>
            </w:tcBorders>
            <w:shd w:val="clear" w:color="auto" w:fill="F2F2F2" w:themeFill="background1" w:themeFillShade="F2"/>
            <w:vAlign w:val="center"/>
          </w:tcPr>
          <w:p w14:paraId="64C22879" w14:textId="419DB96A" w:rsidR="008D2561" w:rsidRPr="00D611C0" w:rsidRDefault="008D2561" w:rsidP="008D2561">
            <w:pPr>
              <w:jc w:val="center"/>
              <w:rPr>
                <w:rFonts w:ascii="Times New Roman" w:hAnsi="Times New Roman" w:cs="Times New Roman"/>
                <w:sz w:val="20"/>
                <w:szCs w:val="20"/>
                <w:lang w:val="en-US"/>
              </w:rPr>
            </w:pPr>
            <w:r w:rsidRPr="00D611C0">
              <w:rPr>
                <w:rFonts w:ascii="Times New Roman" w:hAnsi="Times New Roman" w:cs="Times New Roman"/>
                <w:sz w:val="20"/>
                <w:szCs w:val="20"/>
                <w:lang w:val="en-US"/>
              </w:rPr>
              <w:t>0.788</w:t>
            </w:r>
          </w:p>
        </w:tc>
      </w:tr>
      <w:tr w:rsidR="008D2561" w:rsidRPr="00D611C0" w14:paraId="00AA4703" w14:textId="77777777" w:rsidTr="008D2561">
        <w:trPr>
          <w:trHeight w:val="454"/>
        </w:trPr>
        <w:tc>
          <w:tcPr>
            <w:tcW w:w="4606" w:type="dxa"/>
            <w:tcBorders>
              <w:left w:val="single" w:sz="4" w:space="0" w:color="auto"/>
            </w:tcBorders>
            <w:vAlign w:val="center"/>
          </w:tcPr>
          <w:p w14:paraId="5F4E053D" w14:textId="39F5F6FD" w:rsidR="008D2561" w:rsidRPr="00D611C0" w:rsidRDefault="008D2561" w:rsidP="008D2561">
            <w:pPr>
              <w:rPr>
                <w:rFonts w:ascii="Times New Roman" w:hAnsi="Times New Roman" w:cs="Times New Roman"/>
                <w:sz w:val="20"/>
                <w:szCs w:val="20"/>
                <w:lang w:val="en-US"/>
              </w:rPr>
            </w:pPr>
            <w:r w:rsidRPr="001A52C9">
              <w:rPr>
                <w:sz w:val="20"/>
                <w:szCs w:val="20"/>
                <w:lang w:val="en-US"/>
              </w:rPr>
              <w:t>Largest nodule at CT scanning (diameter, mm)</w:t>
            </w:r>
          </w:p>
        </w:tc>
        <w:tc>
          <w:tcPr>
            <w:tcW w:w="2268" w:type="dxa"/>
            <w:vAlign w:val="center"/>
          </w:tcPr>
          <w:p w14:paraId="4F2BE2C8" w14:textId="021B26AA" w:rsidR="008D2561" w:rsidRPr="00D611C0" w:rsidRDefault="008D2561" w:rsidP="008D2561">
            <w:pPr>
              <w:jc w:val="center"/>
              <w:rPr>
                <w:rFonts w:ascii="Times New Roman" w:hAnsi="Times New Roman" w:cs="Times New Roman"/>
                <w:sz w:val="20"/>
                <w:szCs w:val="20"/>
                <w:lang w:val="en-US"/>
              </w:rPr>
            </w:pPr>
            <w:r w:rsidRPr="00D611C0">
              <w:rPr>
                <w:rFonts w:ascii="Times New Roman" w:hAnsi="Times New Roman" w:cs="Times New Roman"/>
                <w:sz w:val="20"/>
                <w:szCs w:val="20"/>
                <w:lang w:val="en-US"/>
              </w:rPr>
              <w:t>-0.00091</w:t>
            </w:r>
          </w:p>
        </w:tc>
        <w:tc>
          <w:tcPr>
            <w:tcW w:w="2410" w:type="dxa"/>
            <w:tcBorders>
              <w:right w:val="single" w:sz="4" w:space="0" w:color="auto"/>
            </w:tcBorders>
            <w:vAlign w:val="center"/>
          </w:tcPr>
          <w:p w14:paraId="61A7E287" w14:textId="3440949F" w:rsidR="008D2561" w:rsidRPr="00D611C0" w:rsidRDefault="008D2561" w:rsidP="008D2561">
            <w:pPr>
              <w:jc w:val="center"/>
              <w:rPr>
                <w:rFonts w:ascii="Times New Roman" w:hAnsi="Times New Roman" w:cs="Times New Roman"/>
                <w:sz w:val="20"/>
                <w:szCs w:val="20"/>
                <w:lang w:val="en-US"/>
              </w:rPr>
            </w:pPr>
            <w:r w:rsidRPr="00D611C0">
              <w:rPr>
                <w:rFonts w:ascii="Times New Roman" w:hAnsi="Times New Roman" w:cs="Times New Roman"/>
                <w:sz w:val="20"/>
                <w:szCs w:val="20"/>
                <w:lang w:val="en-US"/>
              </w:rPr>
              <w:t>0.004</w:t>
            </w:r>
          </w:p>
        </w:tc>
      </w:tr>
      <w:tr w:rsidR="008D2561" w:rsidRPr="00D611C0" w14:paraId="7969A42B" w14:textId="77777777" w:rsidTr="008D2561">
        <w:trPr>
          <w:trHeight w:val="454"/>
        </w:trPr>
        <w:tc>
          <w:tcPr>
            <w:tcW w:w="4606" w:type="dxa"/>
            <w:tcBorders>
              <w:left w:val="single" w:sz="4" w:space="0" w:color="auto"/>
              <w:bottom w:val="single" w:sz="4" w:space="0" w:color="auto"/>
            </w:tcBorders>
            <w:shd w:val="clear" w:color="auto" w:fill="F2F2F2" w:themeFill="background1" w:themeFillShade="F2"/>
            <w:vAlign w:val="center"/>
          </w:tcPr>
          <w:p w14:paraId="1F72FC22" w14:textId="2463214D" w:rsidR="008D2561" w:rsidRPr="00D611C0" w:rsidRDefault="008D2561" w:rsidP="008D2561">
            <w:pPr>
              <w:rPr>
                <w:rFonts w:ascii="Times New Roman" w:hAnsi="Times New Roman" w:cs="Times New Roman"/>
                <w:sz w:val="20"/>
                <w:szCs w:val="20"/>
                <w:lang w:val="en-US"/>
              </w:rPr>
            </w:pPr>
            <w:r w:rsidRPr="001A52C9">
              <w:rPr>
                <w:sz w:val="20"/>
                <w:szCs w:val="20"/>
                <w:lang w:val="en-US"/>
              </w:rPr>
              <w:t>CT scanning findings (ref. unilateral abnormality)</w:t>
            </w:r>
          </w:p>
        </w:tc>
        <w:tc>
          <w:tcPr>
            <w:tcW w:w="2268" w:type="dxa"/>
            <w:tcBorders>
              <w:bottom w:val="single" w:sz="4" w:space="0" w:color="auto"/>
            </w:tcBorders>
            <w:shd w:val="clear" w:color="auto" w:fill="F2F2F2" w:themeFill="background1" w:themeFillShade="F2"/>
            <w:vAlign w:val="center"/>
          </w:tcPr>
          <w:p w14:paraId="193F671E" w14:textId="1293A13B" w:rsidR="008D2561" w:rsidRPr="00D611C0" w:rsidRDefault="008D2561" w:rsidP="008D2561">
            <w:pPr>
              <w:jc w:val="center"/>
              <w:rPr>
                <w:rFonts w:ascii="Times New Roman" w:hAnsi="Times New Roman" w:cs="Times New Roman"/>
                <w:color w:val="000000" w:themeColor="text1"/>
                <w:sz w:val="20"/>
                <w:szCs w:val="20"/>
                <w:lang w:val="en-US"/>
              </w:rPr>
            </w:pPr>
            <w:r w:rsidRPr="00D611C0">
              <w:rPr>
                <w:rFonts w:ascii="Times New Roman" w:hAnsi="Times New Roman" w:cs="Times New Roman"/>
                <w:color w:val="000000" w:themeColor="text1"/>
                <w:sz w:val="20"/>
                <w:szCs w:val="20"/>
                <w:lang w:val="en-US"/>
              </w:rPr>
              <w:t>0.672</w:t>
            </w:r>
          </w:p>
        </w:tc>
        <w:tc>
          <w:tcPr>
            <w:tcW w:w="2410" w:type="dxa"/>
            <w:tcBorders>
              <w:bottom w:val="single" w:sz="4" w:space="0" w:color="auto"/>
              <w:right w:val="single" w:sz="4" w:space="0" w:color="auto"/>
            </w:tcBorders>
            <w:shd w:val="clear" w:color="auto" w:fill="F2F2F2" w:themeFill="background1" w:themeFillShade="F2"/>
            <w:vAlign w:val="center"/>
          </w:tcPr>
          <w:p w14:paraId="3063A2CF" w14:textId="7E5773EE" w:rsidR="008D2561" w:rsidRPr="00D611C0" w:rsidRDefault="008D2561" w:rsidP="008D2561">
            <w:pPr>
              <w:jc w:val="center"/>
              <w:rPr>
                <w:rFonts w:ascii="Times New Roman" w:hAnsi="Times New Roman" w:cs="Times New Roman"/>
                <w:color w:val="000000" w:themeColor="text1"/>
                <w:sz w:val="20"/>
                <w:szCs w:val="20"/>
                <w:lang w:val="en-US"/>
              </w:rPr>
            </w:pPr>
            <w:r w:rsidRPr="00D611C0">
              <w:rPr>
                <w:rFonts w:ascii="Times New Roman" w:hAnsi="Times New Roman" w:cs="Times New Roman"/>
                <w:color w:val="000000" w:themeColor="text1"/>
                <w:sz w:val="20"/>
                <w:szCs w:val="20"/>
                <w:lang w:val="en-US"/>
              </w:rPr>
              <w:t>0.403</w:t>
            </w:r>
          </w:p>
        </w:tc>
      </w:tr>
    </w:tbl>
    <w:p w14:paraId="7904FEFA" w14:textId="77777777" w:rsidR="00A31B26" w:rsidRPr="0064610D" w:rsidRDefault="00A31B26" w:rsidP="000C742D">
      <w:pPr>
        <w:pStyle w:val="Corpo"/>
        <w:tabs>
          <w:tab w:val="left" w:pos="5529"/>
        </w:tabs>
        <w:spacing w:line="480" w:lineRule="auto"/>
        <w:jc w:val="both"/>
        <w:outlineLvl w:val="0"/>
        <w:rPr>
          <w:rFonts w:hAnsi="Times New Roman" w:cs="Times New Roman"/>
          <w:bCs/>
          <w:i/>
          <w:sz w:val="12"/>
          <w:szCs w:val="12"/>
        </w:rPr>
      </w:pPr>
    </w:p>
    <w:p w14:paraId="01D23F51" w14:textId="19756F4A" w:rsidR="000C742D" w:rsidRDefault="006F4C12" w:rsidP="003F2CCE">
      <w:pPr>
        <w:pStyle w:val="Corpo"/>
        <w:tabs>
          <w:tab w:val="left" w:pos="5529"/>
        </w:tabs>
        <w:jc w:val="both"/>
        <w:outlineLvl w:val="0"/>
        <w:rPr>
          <w:rFonts w:hAnsi="Times New Roman" w:cs="Times New Roman"/>
          <w:b/>
          <w:bCs/>
          <w:i/>
        </w:rPr>
      </w:pPr>
      <w:r w:rsidRPr="006F4C12">
        <w:rPr>
          <w:rFonts w:hAnsi="Times New Roman" w:cs="Times New Roman"/>
        </w:rPr>
        <w:t xml:space="preserve">LDA </w:t>
      </w:r>
      <w:r w:rsidR="003E6FA9">
        <w:rPr>
          <w:rFonts w:hAnsi="Times New Roman" w:cs="Times New Roman"/>
        </w:rPr>
        <w:t xml:space="preserve">model </w:t>
      </w:r>
      <w:r w:rsidRPr="006F4C12">
        <w:rPr>
          <w:rFonts w:hAnsi="Times New Roman" w:cs="Times New Roman"/>
        </w:rPr>
        <w:t>coefficients and normalized coefficients</w:t>
      </w:r>
      <w:r w:rsidR="00F610B7">
        <w:rPr>
          <w:rFonts w:hAnsi="Times New Roman" w:cs="Times New Roman"/>
        </w:rPr>
        <w:t xml:space="preserve"> (</w:t>
      </w:r>
      <w:r w:rsidR="003E6FA9">
        <w:rPr>
          <w:rFonts w:hAnsi="Times New Roman" w:cs="Times New Roman"/>
        </w:rPr>
        <w:t xml:space="preserve">absolute values </w:t>
      </w:r>
      <w:r w:rsidR="00F610B7">
        <w:rPr>
          <w:rFonts w:hAnsi="Times New Roman" w:cs="Times New Roman"/>
        </w:rPr>
        <w:t>between 0 and 1)</w:t>
      </w:r>
      <w:r w:rsidRPr="006F4C12">
        <w:rPr>
          <w:rFonts w:hAnsi="Times New Roman" w:cs="Times New Roman"/>
        </w:rPr>
        <w:t xml:space="preserve">. LDA coefficients can be used in combination with each single variable to predict </w:t>
      </w:r>
      <w:r w:rsidR="00CB2EE6">
        <w:rPr>
          <w:rFonts w:hAnsi="Times New Roman" w:cs="Times New Roman"/>
        </w:rPr>
        <w:t>subtype diagnosis</w:t>
      </w:r>
      <w:r w:rsidR="002460CB">
        <w:rPr>
          <w:rFonts w:hAnsi="Times New Roman" w:cs="Times New Roman"/>
        </w:rPr>
        <w:t xml:space="preserve"> (</w:t>
      </w:r>
      <w:r w:rsidR="0047283A">
        <w:rPr>
          <w:rFonts w:hAnsi="Times New Roman" w:cs="Times New Roman"/>
        </w:rPr>
        <w:t>unilateral</w:t>
      </w:r>
      <w:r w:rsidR="002460CB">
        <w:rPr>
          <w:rFonts w:hAnsi="Times New Roman" w:cs="Times New Roman"/>
        </w:rPr>
        <w:t xml:space="preserve"> </w:t>
      </w:r>
      <w:r w:rsidR="002460CB" w:rsidRPr="002460CB">
        <w:rPr>
          <w:rFonts w:hAnsi="Times New Roman" w:cs="Times New Roman"/>
          <w:i/>
          <w:iCs/>
        </w:rPr>
        <w:t>v</w:t>
      </w:r>
      <w:r w:rsidR="0047283A">
        <w:rPr>
          <w:rFonts w:hAnsi="Times New Roman" w:cs="Times New Roman"/>
          <w:i/>
          <w:iCs/>
        </w:rPr>
        <w:t>er</w:t>
      </w:r>
      <w:r w:rsidR="002460CB" w:rsidRPr="002460CB">
        <w:rPr>
          <w:rFonts w:hAnsi="Times New Roman" w:cs="Times New Roman"/>
          <w:i/>
          <w:iCs/>
        </w:rPr>
        <w:t>s</w:t>
      </w:r>
      <w:r w:rsidR="0047283A">
        <w:rPr>
          <w:rFonts w:hAnsi="Times New Roman" w:cs="Times New Roman"/>
          <w:i/>
          <w:iCs/>
        </w:rPr>
        <w:t>us</w:t>
      </w:r>
      <w:r w:rsidR="002460CB">
        <w:rPr>
          <w:rFonts w:hAnsi="Times New Roman" w:cs="Times New Roman"/>
        </w:rPr>
        <w:t xml:space="preserve"> </w:t>
      </w:r>
      <w:r w:rsidR="0047283A">
        <w:rPr>
          <w:rFonts w:hAnsi="Times New Roman" w:cs="Times New Roman"/>
        </w:rPr>
        <w:t>bilateral PA</w:t>
      </w:r>
      <w:r w:rsidR="002460CB">
        <w:rPr>
          <w:rFonts w:hAnsi="Times New Roman" w:cs="Times New Roman"/>
        </w:rPr>
        <w:t>)</w:t>
      </w:r>
      <w:r w:rsidRPr="006F4C12">
        <w:rPr>
          <w:rFonts w:hAnsi="Times New Roman" w:cs="Times New Roman"/>
        </w:rPr>
        <w:t xml:space="preserve">. Each variable is multiplied by its corresponding LDA coefficient and the adjusted coefficients are summed to derive value X according the following equation: </w:t>
      </w:r>
      <w:r w:rsidR="001A0734">
        <w:rPr>
          <w:rFonts w:hAnsi="Times New Roman" w:cs="Times New Roman"/>
        </w:rPr>
        <w:t>Diagnosis of unilateral PA</w:t>
      </w:r>
      <w:r w:rsidRPr="006F4C12">
        <w:rPr>
          <w:rFonts w:hAnsi="Times New Roman" w:cs="Times New Roman"/>
        </w:rPr>
        <w:t xml:space="preserve"> = LDAcoeff</w:t>
      </w:r>
      <w:r w:rsidRPr="00B97CAC">
        <w:rPr>
          <w:rFonts w:hAnsi="Times New Roman" w:cs="Times New Roman"/>
          <w:vertAlign w:val="subscript"/>
        </w:rPr>
        <w:t>1</w:t>
      </w:r>
      <w:r w:rsidRPr="006F4C12">
        <w:rPr>
          <w:rFonts w:hAnsi="Times New Roman" w:cs="Times New Roman"/>
        </w:rPr>
        <w:t>*Variable</w:t>
      </w:r>
      <w:r w:rsidRPr="00B97CAC">
        <w:rPr>
          <w:rFonts w:hAnsi="Times New Roman" w:cs="Times New Roman"/>
          <w:vertAlign w:val="subscript"/>
        </w:rPr>
        <w:t>1</w:t>
      </w:r>
      <w:r w:rsidRPr="006F4C12">
        <w:rPr>
          <w:rFonts w:hAnsi="Times New Roman" w:cs="Times New Roman"/>
        </w:rPr>
        <w:t xml:space="preserve"> + LDAcoeff</w:t>
      </w:r>
      <w:r w:rsidRPr="00B97CAC">
        <w:rPr>
          <w:rFonts w:hAnsi="Times New Roman" w:cs="Times New Roman"/>
          <w:vertAlign w:val="subscript"/>
        </w:rPr>
        <w:t>2</w:t>
      </w:r>
      <w:r w:rsidRPr="006F4C12">
        <w:rPr>
          <w:rFonts w:hAnsi="Times New Roman" w:cs="Times New Roman"/>
        </w:rPr>
        <w:t>*Variable</w:t>
      </w:r>
      <w:r w:rsidRPr="00B97CAC">
        <w:rPr>
          <w:rFonts w:hAnsi="Times New Roman" w:cs="Times New Roman"/>
          <w:vertAlign w:val="subscript"/>
        </w:rPr>
        <w:t>2</w:t>
      </w:r>
      <w:r w:rsidRPr="006F4C12">
        <w:rPr>
          <w:rFonts w:hAnsi="Times New Roman" w:cs="Times New Roman"/>
        </w:rPr>
        <w:t xml:space="preserve"> + ... + LDAcoeff</w:t>
      </w:r>
      <w:r w:rsidRPr="00B97CAC">
        <w:rPr>
          <w:rFonts w:hAnsi="Times New Roman" w:cs="Times New Roman"/>
          <w:vertAlign w:val="subscript"/>
        </w:rPr>
        <w:t>n</w:t>
      </w:r>
      <w:r w:rsidRPr="006F4C12">
        <w:rPr>
          <w:rFonts w:hAnsi="Times New Roman" w:cs="Times New Roman"/>
        </w:rPr>
        <w:t>*Variable</w:t>
      </w:r>
      <w:r w:rsidRPr="00B97CAC">
        <w:rPr>
          <w:rFonts w:hAnsi="Times New Roman" w:cs="Times New Roman"/>
          <w:vertAlign w:val="subscript"/>
        </w:rPr>
        <w:t>n</w:t>
      </w:r>
      <w:r w:rsidRPr="006F4C12">
        <w:rPr>
          <w:rFonts w:hAnsi="Times New Roman" w:cs="Times New Roman"/>
        </w:rPr>
        <w:t xml:space="preserve"> &gt; </w:t>
      </w:r>
      <w:r w:rsidR="001A0734">
        <w:rPr>
          <w:rFonts w:hAnsi="Times New Roman" w:cs="Times New Roman"/>
          <w:color w:val="000000" w:themeColor="text1"/>
        </w:rPr>
        <w:t>0.8299</w:t>
      </w:r>
      <w:r w:rsidRPr="006F4C12">
        <w:rPr>
          <w:rFonts w:hAnsi="Times New Roman" w:cs="Times New Roman"/>
        </w:rPr>
        <w:t>. If the value of X is more than the given cut-off (</w:t>
      </w:r>
      <w:r w:rsidR="001A0734">
        <w:rPr>
          <w:rFonts w:hAnsi="Times New Roman" w:cs="Times New Roman"/>
          <w:color w:val="000000" w:themeColor="text1"/>
        </w:rPr>
        <w:t>0.8299</w:t>
      </w:r>
      <w:r w:rsidRPr="006F4C12">
        <w:rPr>
          <w:rFonts w:hAnsi="Times New Roman" w:cs="Times New Roman"/>
        </w:rPr>
        <w:t xml:space="preserve">) then </w:t>
      </w:r>
      <w:r w:rsidR="001A0734">
        <w:rPr>
          <w:rFonts w:hAnsi="Times New Roman" w:cs="Times New Roman"/>
        </w:rPr>
        <w:t>unilateral PA</w:t>
      </w:r>
      <w:r w:rsidR="005F4347">
        <w:rPr>
          <w:rFonts w:hAnsi="Times New Roman" w:cs="Times New Roman"/>
        </w:rPr>
        <w:t xml:space="preserve"> </w:t>
      </w:r>
      <w:r w:rsidRPr="006F4C12">
        <w:rPr>
          <w:rFonts w:hAnsi="Times New Roman" w:cs="Times New Roman"/>
        </w:rPr>
        <w:t xml:space="preserve">is </w:t>
      </w:r>
      <w:r w:rsidR="001A0734">
        <w:rPr>
          <w:rFonts w:hAnsi="Times New Roman" w:cs="Times New Roman"/>
        </w:rPr>
        <w:t>diagnosed</w:t>
      </w:r>
      <w:r w:rsidRPr="006F4C12">
        <w:rPr>
          <w:rFonts w:hAnsi="Times New Roman" w:cs="Times New Roman"/>
        </w:rPr>
        <w:t>.</w:t>
      </w:r>
      <w:r w:rsidR="00B20602">
        <w:rPr>
          <w:rFonts w:hAnsi="Times New Roman" w:cs="Times New Roman"/>
        </w:rPr>
        <w:t xml:space="preserve"> </w:t>
      </w:r>
      <w:r w:rsidR="00425B8F">
        <w:rPr>
          <w:rFonts w:hAnsi="Times New Roman" w:cs="Times New Roman"/>
        </w:rPr>
        <w:t xml:space="preserve">UPA, Unilateral Primary Aldosteronism; </w:t>
      </w:r>
      <w:r w:rsidR="00542292">
        <w:rPr>
          <w:rFonts w:hAnsi="Times New Roman" w:cs="Times New Roman"/>
        </w:rPr>
        <w:t>CT, Computed Tomography</w:t>
      </w:r>
      <w:r w:rsidRPr="006F4C12">
        <w:rPr>
          <w:rFonts w:hAnsi="Times New Roman" w:cs="Times New Roman"/>
        </w:rPr>
        <w:t xml:space="preserve">. </w:t>
      </w:r>
      <w:r w:rsidR="000C742D" w:rsidRPr="000C742D">
        <w:rPr>
          <w:rFonts w:hAnsi="Times New Roman" w:cs="Times New Roman"/>
          <w:b/>
          <w:bCs/>
          <w:i/>
        </w:rPr>
        <w:br w:type="page"/>
      </w:r>
    </w:p>
    <w:p w14:paraId="23A1A787" w14:textId="599155FE" w:rsidR="00EC1DCD" w:rsidRPr="0027253C" w:rsidRDefault="003606D4" w:rsidP="00EC1DCD">
      <w:pPr>
        <w:pStyle w:val="Corpo"/>
        <w:tabs>
          <w:tab w:val="left" w:pos="5529"/>
        </w:tabs>
        <w:spacing w:line="480" w:lineRule="auto"/>
        <w:jc w:val="both"/>
        <w:outlineLvl w:val="0"/>
        <w:rPr>
          <w:rFonts w:hAnsi="Times New Roman" w:cs="Times New Roman"/>
          <w:b/>
          <w:bCs/>
          <w:shd w:val="clear" w:color="auto" w:fill="FFFF00"/>
        </w:rPr>
      </w:pPr>
      <w:r w:rsidRPr="008F2D54">
        <w:rPr>
          <w:rFonts w:hAnsi="Times New Roman" w:cs="Times New Roman"/>
          <w:b/>
          <w:bCs/>
        </w:rPr>
        <w:lastRenderedPageBreak/>
        <w:t>Supplementa</w:t>
      </w:r>
      <w:r>
        <w:rPr>
          <w:rFonts w:hAnsi="Times New Roman" w:cs="Times New Roman"/>
          <w:b/>
          <w:bCs/>
        </w:rPr>
        <w:t xml:space="preserve">ry </w:t>
      </w:r>
      <w:r w:rsidRPr="008F2D54">
        <w:rPr>
          <w:rFonts w:hAnsi="Times New Roman" w:cs="Times New Roman"/>
          <w:b/>
          <w:bCs/>
        </w:rPr>
        <w:t xml:space="preserve">Table </w:t>
      </w:r>
      <w:r>
        <w:rPr>
          <w:rFonts w:hAnsi="Times New Roman" w:cs="Times New Roman"/>
          <w:b/>
          <w:bCs/>
        </w:rPr>
        <w:t>3</w:t>
      </w:r>
      <w:r w:rsidR="0027253C">
        <w:rPr>
          <w:rFonts w:hAnsi="Times New Roman" w:cs="Times New Roman"/>
          <w:b/>
          <w:bCs/>
        </w:rPr>
        <w:t>.</w:t>
      </w:r>
      <w:r w:rsidR="00EC1DCD" w:rsidRPr="0027253C">
        <w:rPr>
          <w:rFonts w:hAnsi="Times New Roman" w:cs="Times New Roman"/>
          <w:b/>
          <w:bCs/>
        </w:rPr>
        <w:t xml:space="preserve"> Patient Characteristics of Study Cohort</w:t>
      </w:r>
    </w:p>
    <w:tbl>
      <w:tblPr>
        <w:tblStyle w:val="Grigliatabellachiara"/>
        <w:tblW w:w="9952" w:type="dxa"/>
        <w:tblInd w:w="108" w:type="dxa"/>
        <w:tblLook w:val="04A0" w:firstRow="1" w:lastRow="0" w:firstColumn="1" w:lastColumn="0" w:noHBand="0" w:noVBand="1"/>
      </w:tblPr>
      <w:tblGrid>
        <w:gridCol w:w="4282"/>
        <w:gridCol w:w="1559"/>
        <w:gridCol w:w="1560"/>
        <w:gridCol w:w="1559"/>
        <w:gridCol w:w="992"/>
      </w:tblGrid>
      <w:tr w:rsidR="002C5ED6" w:rsidRPr="003B54F7" w14:paraId="0B1DA558" w14:textId="77777777" w:rsidTr="002C5ED6">
        <w:trPr>
          <w:trHeight w:val="987"/>
        </w:trPr>
        <w:tc>
          <w:tcPr>
            <w:tcW w:w="4282" w:type="dxa"/>
            <w:tcBorders>
              <w:top w:val="single" w:sz="4" w:space="0" w:color="auto"/>
              <w:left w:val="single" w:sz="4" w:space="0" w:color="auto"/>
              <w:bottom w:val="single" w:sz="8" w:space="0" w:color="auto"/>
              <w:right w:val="single" w:sz="4" w:space="0" w:color="auto"/>
            </w:tcBorders>
            <w:shd w:val="clear" w:color="auto" w:fill="D9D9D9" w:themeFill="background1" w:themeFillShade="D9"/>
            <w:vAlign w:val="center"/>
          </w:tcPr>
          <w:p w14:paraId="2492BA39" w14:textId="77777777" w:rsidR="00EC1DCD" w:rsidRPr="003B54F7" w:rsidRDefault="00EC1DCD" w:rsidP="008F5BE8">
            <w:pPr>
              <w:rPr>
                <w:rFonts w:ascii="Times New Roman" w:hAnsi="Times New Roman" w:cs="Times New Roman"/>
                <w:b/>
                <w:sz w:val="20"/>
                <w:szCs w:val="20"/>
                <w:lang w:val="en-US"/>
              </w:rPr>
            </w:pPr>
            <w:r w:rsidRPr="003B54F7">
              <w:rPr>
                <w:rFonts w:ascii="Times New Roman" w:hAnsi="Times New Roman" w:cs="Times New Roman"/>
                <w:b/>
                <w:sz w:val="20"/>
                <w:szCs w:val="20"/>
                <w:lang w:val="en-US"/>
              </w:rPr>
              <w:t>Variable</w:t>
            </w:r>
          </w:p>
        </w:tc>
        <w:tc>
          <w:tcPr>
            <w:tcW w:w="1559" w:type="dxa"/>
            <w:tcBorders>
              <w:top w:val="single" w:sz="4" w:space="0" w:color="auto"/>
              <w:left w:val="single" w:sz="4" w:space="0" w:color="auto"/>
              <w:bottom w:val="single" w:sz="8" w:space="0" w:color="auto"/>
            </w:tcBorders>
            <w:shd w:val="clear" w:color="auto" w:fill="D9D9D9" w:themeFill="background1" w:themeFillShade="D9"/>
            <w:vAlign w:val="center"/>
          </w:tcPr>
          <w:p w14:paraId="2BFED20F" w14:textId="77777777" w:rsidR="00EC1DCD" w:rsidRPr="003B54F7" w:rsidRDefault="00EC1DCD" w:rsidP="008F5BE8">
            <w:pPr>
              <w:jc w:val="center"/>
              <w:rPr>
                <w:rFonts w:ascii="Times New Roman" w:hAnsi="Times New Roman" w:cs="Times New Roman"/>
                <w:b/>
                <w:sz w:val="20"/>
                <w:szCs w:val="20"/>
                <w:lang w:val="en-US"/>
              </w:rPr>
            </w:pPr>
            <w:r w:rsidRPr="003B54F7">
              <w:rPr>
                <w:rFonts w:ascii="Times New Roman" w:hAnsi="Times New Roman" w:cs="Times New Roman"/>
                <w:b/>
                <w:sz w:val="20"/>
                <w:szCs w:val="20"/>
                <w:lang w:val="en-US"/>
              </w:rPr>
              <w:t>Combined Cohort</w:t>
            </w:r>
          </w:p>
          <w:p w14:paraId="69CD4983" w14:textId="77777777" w:rsidR="00EC1DCD" w:rsidRPr="003B54F7" w:rsidRDefault="00EC1DCD" w:rsidP="008F5BE8">
            <w:pPr>
              <w:jc w:val="center"/>
              <w:rPr>
                <w:rFonts w:ascii="Times New Roman" w:hAnsi="Times New Roman" w:cs="Times New Roman"/>
                <w:b/>
                <w:sz w:val="20"/>
                <w:szCs w:val="20"/>
                <w:lang w:val="en-US"/>
              </w:rPr>
            </w:pPr>
            <w:r w:rsidRPr="003B54F7">
              <w:rPr>
                <w:rFonts w:ascii="Times New Roman" w:hAnsi="Times New Roman" w:cs="Times New Roman"/>
                <w:b/>
                <w:sz w:val="20"/>
                <w:szCs w:val="20"/>
                <w:lang w:val="en-US"/>
              </w:rPr>
              <w:t>(N = 215)</w:t>
            </w:r>
          </w:p>
        </w:tc>
        <w:tc>
          <w:tcPr>
            <w:tcW w:w="1560" w:type="dxa"/>
            <w:tcBorders>
              <w:top w:val="single" w:sz="4" w:space="0" w:color="auto"/>
              <w:bottom w:val="single" w:sz="8" w:space="0" w:color="auto"/>
            </w:tcBorders>
            <w:shd w:val="clear" w:color="auto" w:fill="D9D9D9" w:themeFill="background1" w:themeFillShade="D9"/>
            <w:vAlign w:val="center"/>
          </w:tcPr>
          <w:p w14:paraId="038A0C0C" w14:textId="77777777" w:rsidR="00EC1DCD" w:rsidRPr="003B54F7" w:rsidRDefault="00EC1DCD" w:rsidP="008F5BE8">
            <w:pPr>
              <w:jc w:val="center"/>
              <w:rPr>
                <w:rFonts w:ascii="Times New Roman" w:hAnsi="Times New Roman" w:cs="Times New Roman"/>
                <w:b/>
                <w:sz w:val="20"/>
                <w:szCs w:val="20"/>
                <w:lang w:val="en-US"/>
              </w:rPr>
            </w:pPr>
            <w:r w:rsidRPr="003B54F7">
              <w:rPr>
                <w:rFonts w:ascii="Times New Roman" w:hAnsi="Times New Roman" w:cs="Times New Roman"/>
                <w:b/>
                <w:sz w:val="20"/>
                <w:szCs w:val="20"/>
                <w:lang w:val="en-US"/>
              </w:rPr>
              <w:t>Training Cohort</w:t>
            </w:r>
          </w:p>
          <w:p w14:paraId="61FCD996" w14:textId="77777777" w:rsidR="00EC1DCD" w:rsidRPr="003B54F7" w:rsidRDefault="00EC1DCD" w:rsidP="008F5BE8">
            <w:pPr>
              <w:jc w:val="center"/>
              <w:rPr>
                <w:rFonts w:ascii="Times New Roman" w:hAnsi="Times New Roman" w:cs="Times New Roman"/>
                <w:b/>
                <w:sz w:val="20"/>
                <w:szCs w:val="20"/>
                <w:lang w:val="en-US"/>
              </w:rPr>
            </w:pPr>
            <w:r w:rsidRPr="003B54F7">
              <w:rPr>
                <w:rFonts w:ascii="Times New Roman" w:hAnsi="Times New Roman" w:cs="Times New Roman"/>
                <w:b/>
                <w:sz w:val="20"/>
                <w:szCs w:val="20"/>
                <w:lang w:val="en-US"/>
              </w:rPr>
              <w:t>(N = 150)</w:t>
            </w:r>
          </w:p>
        </w:tc>
        <w:tc>
          <w:tcPr>
            <w:tcW w:w="1559" w:type="dxa"/>
            <w:tcBorders>
              <w:top w:val="single" w:sz="4" w:space="0" w:color="auto"/>
              <w:bottom w:val="single" w:sz="8" w:space="0" w:color="auto"/>
              <w:right w:val="single" w:sz="4" w:space="0" w:color="auto"/>
            </w:tcBorders>
            <w:shd w:val="clear" w:color="auto" w:fill="D9D9D9" w:themeFill="background1" w:themeFillShade="D9"/>
            <w:vAlign w:val="center"/>
          </w:tcPr>
          <w:p w14:paraId="3C34364B" w14:textId="77777777" w:rsidR="00EC1DCD" w:rsidRPr="003B54F7" w:rsidRDefault="00EC1DCD" w:rsidP="008F5BE8">
            <w:pPr>
              <w:jc w:val="center"/>
              <w:rPr>
                <w:rFonts w:ascii="Times New Roman" w:hAnsi="Times New Roman" w:cs="Times New Roman"/>
                <w:b/>
                <w:sz w:val="20"/>
                <w:szCs w:val="20"/>
                <w:lang w:val="en-US"/>
              </w:rPr>
            </w:pPr>
            <w:r w:rsidRPr="003B54F7">
              <w:rPr>
                <w:rFonts w:ascii="Times New Roman" w:hAnsi="Times New Roman" w:cs="Times New Roman"/>
                <w:b/>
                <w:sz w:val="20"/>
                <w:szCs w:val="20"/>
                <w:lang w:val="en-US"/>
              </w:rPr>
              <w:t>Validation Cohort</w:t>
            </w:r>
          </w:p>
          <w:p w14:paraId="3A13BD2E" w14:textId="77777777" w:rsidR="00EC1DCD" w:rsidRPr="003B54F7" w:rsidRDefault="00EC1DCD" w:rsidP="008F5BE8">
            <w:pPr>
              <w:jc w:val="center"/>
              <w:rPr>
                <w:rFonts w:ascii="Times New Roman" w:hAnsi="Times New Roman" w:cs="Times New Roman"/>
                <w:b/>
                <w:sz w:val="20"/>
                <w:szCs w:val="20"/>
                <w:lang w:val="en-US"/>
              </w:rPr>
            </w:pPr>
            <w:r w:rsidRPr="003B54F7">
              <w:rPr>
                <w:rFonts w:ascii="Times New Roman" w:hAnsi="Times New Roman" w:cs="Times New Roman"/>
                <w:b/>
                <w:sz w:val="20"/>
                <w:szCs w:val="20"/>
                <w:lang w:val="en-US"/>
              </w:rPr>
              <w:t>(N = 65)</w:t>
            </w:r>
          </w:p>
        </w:tc>
        <w:tc>
          <w:tcPr>
            <w:tcW w:w="992" w:type="dxa"/>
            <w:tcBorders>
              <w:top w:val="single" w:sz="4" w:space="0" w:color="auto"/>
              <w:left w:val="single" w:sz="4" w:space="0" w:color="auto"/>
              <w:bottom w:val="single" w:sz="8" w:space="0" w:color="auto"/>
              <w:right w:val="single" w:sz="4" w:space="0" w:color="auto"/>
            </w:tcBorders>
            <w:shd w:val="clear" w:color="auto" w:fill="D9D9D9" w:themeFill="background1" w:themeFillShade="D9"/>
            <w:vAlign w:val="center"/>
          </w:tcPr>
          <w:p w14:paraId="224D50B3" w14:textId="77777777" w:rsidR="00EC1DCD" w:rsidRPr="003B54F7" w:rsidRDefault="00EC1DCD" w:rsidP="008F5BE8">
            <w:pPr>
              <w:jc w:val="center"/>
              <w:rPr>
                <w:rFonts w:ascii="Times New Roman" w:hAnsi="Times New Roman" w:cs="Times New Roman"/>
                <w:b/>
                <w:sz w:val="20"/>
                <w:szCs w:val="20"/>
                <w:lang w:val="en-US"/>
              </w:rPr>
            </w:pPr>
            <w:r w:rsidRPr="003B54F7">
              <w:rPr>
                <w:rFonts w:ascii="Times New Roman" w:hAnsi="Times New Roman" w:cs="Times New Roman"/>
                <w:b/>
                <w:i/>
                <w:sz w:val="20"/>
                <w:szCs w:val="20"/>
                <w:lang w:val="en-US"/>
              </w:rPr>
              <w:t>P-</w:t>
            </w:r>
            <w:r w:rsidRPr="003B54F7">
              <w:rPr>
                <w:rFonts w:ascii="Times New Roman" w:hAnsi="Times New Roman" w:cs="Times New Roman"/>
                <w:b/>
                <w:sz w:val="20"/>
                <w:szCs w:val="20"/>
                <w:lang w:val="en-US"/>
              </w:rPr>
              <w:t>value</w:t>
            </w:r>
          </w:p>
        </w:tc>
      </w:tr>
      <w:tr w:rsidR="002C5ED6" w:rsidRPr="003B54F7" w14:paraId="7E83A1B8" w14:textId="77777777" w:rsidTr="002C5ED6">
        <w:trPr>
          <w:trHeight w:val="435"/>
        </w:trPr>
        <w:tc>
          <w:tcPr>
            <w:tcW w:w="4282" w:type="dxa"/>
            <w:tcBorders>
              <w:top w:val="single" w:sz="8" w:space="0" w:color="auto"/>
              <w:left w:val="single" w:sz="4" w:space="0" w:color="auto"/>
              <w:right w:val="single" w:sz="4" w:space="0" w:color="auto"/>
            </w:tcBorders>
            <w:vAlign w:val="center"/>
          </w:tcPr>
          <w:p w14:paraId="0B5CCAEF" w14:textId="14BBDEC5" w:rsidR="00EC1DCD" w:rsidRPr="003B54F7" w:rsidRDefault="00EC1DCD" w:rsidP="008F5BE8">
            <w:pP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 xml:space="preserve">Diagnosis </w:t>
            </w:r>
            <w:r w:rsidR="00E74CD2">
              <w:rPr>
                <w:rFonts w:ascii="Times New Roman" w:hAnsi="Times New Roman" w:cs="Times New Roman"/>
                <w:color w:val="000000" w:themeColor="text1"/>
                <w:sz w:val="20"/>
                <w:szCs w:val="20"/>
                <w:lang w:val="en-US"/>
              </w:rPr>
              <w:t>of UPA</w:t>
            </w:r>
          </w:p>
        </w:tc>
        <w:tc>
          <w:tcPr>
            <w:tcW w:w="1559" w:type="dxa"/>
            <w:tcBorders>
              <w:top w:val="single" w:sz="8" w:space="0" w:color="auto"/>
              <w:left w:val="single" w:sz="4" w:space="0" w:color="auto"/>
            </w:tcBorders>
            <w:vAlign w:val="center"/>
          </w:tcPr>
          <w:p w14:paraId="01E1DB84" w14:textId="77777777" w:rsidR="00EC1DCD" w:rsidRPr="003B54F7" w:rsidRDefault="00EC1DCD" w:rsidP="008F5BE8">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133 (61.9)</w:t>
            </w:r>
          </w:p>
        </w:tc>
        <w:tc>
          <w:tcPr>
            <w:tcW w:w="1560" w:type="dxa"/>
            <w:tcBorders>
              <w:top w:val="single" w:sz="8" w:space="0" w:color="auto"/>
            </w:tcBorders>
            <w:vAlign w:val="center"/>
          </w:tcPr>
          <w:p w14:paraId="50AEFC44" w14:textId="77777777" w:rsidR="00EC1DCD" w:rsidRPr="003B54F7" w:rsidRDefault="00EC1DCD" w:rsidP="008F5BE8">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93 (62.0)</w:t>
            </w:r>
          </w:p>
        </w:tc>
        <w:tc>
          <w:tcPr>
            <w:tcW w:w="1559" w:type="dxa"/>
            <w:tcBorders>
              <w:top w:val="single" w:sz="8" w:space="0" w:color="auto"/>
              <w:right w:val="single" w:sz="4" w:space="0" w:color="auto"/>
            </w:tcBorders>
            <w:vAlign w:val="center"/>
          </w:tcPr>
          <w:p w14:paraId="6410A813" w14:textId="77777777" w:rsidR="00EC1DCD" w:rsidRPr="003B54F7" w:rsidRDefault="00EC1DCD" w:rsidP="008F5BE8">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40 (61.5)</w:t>
            </w:r>
          </w:p>
        </w:tc>
        <w:tc>
          <w:tcPr>
            <w:tcW w:w="992" w:type="dxa"/>
            <w:tcBorders>
              <w:top w:val="single" w:sz="8" w:space="0" w:color="auto"/>
              <w:left w:val="single" w:sz="4" w:space="0" w:color="auto"/>
              <w:right w:val="single" w:sz="4" w:space="0" w:color="auto"/>
            </w:tcBorders>
            <w:vAlign w:val="center"/>
          </w:tcPr>
          <w:p w14:paraId="6E0CDCE8" w14:textId="77777777" w:rsidR="00EC1DCD" w:rsidRPr="003B54F7" w:rsidRDefault="00EC1DCD" w:rsidP="008F5BE8">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0.949</w:t>
            </w:r>
          </w:p>
        </w:tc>
      </w:tr>
      <w:tr w:rsidR="002C5ED6" w:rsidRPr="003B54F7" w14:paraId="66F5831B" w14:textId="77777777" w:rsidTr="002C5ED6">
        <w:trPr>
          <w:trHeight w:val="395"/>
        </w:trPr>
        <w:tc>
          <w:tcPr>
            <w:tcW w:w="4282" w:type="dxa"/>
            <w:tcBorders>
              <w:left w:val="single" w:sz="4" w:space="0" w:color="auto"/>
              <w:right w:val="single" w:sz="4" w:space="0" w:color="auto"/>
            </w:tcBorders>
            <w:shd w:val="clear" w:color="auto" w:fill="F2F2F2" w:themeFill="background1" w:themeFillShade="F2"/>
            <w:vAlign w:val="center"/>
          </w:tcPr>
          <w:p w14:paraId="1AE01059" w14:textId="18446BAF" w:rsidR="002C5ED6" w:rsidRPr="003B54F7" w:rsidRDefault="002C5ED6" w:rsidP="002C5ED6">
            <w:pPr>
              <w:rPr>
                <w:rFonts w:ascii="Times New Roman" w:hAnsi="Times New Roman" w:cs="Times New Roman"/>
                <w:color w:val="000000" w:themeColor="text1"/>
                <w:sz w:val="20"/>
                <w:szCs w:val="20"/>
                <w:lang w:val="en-US"/>
              </w:rPr>
            </w:pPr>
            <w:r w:rsidRPr="003A38C6">
              <w:rPr>
                <w:color w:val="000000" w:themeColor="text1"/>
                <w:sz w:val="20"/>
                <w:szCs w:val="20"/>
                <w:lang w:val="en-US"/>
              </w:rPr>
              <w:t>Female sex</w:t>
            </w:r>
            <w:r>
              <w:rPr>
                <w:color w:val="000000" w:themeColor="text1"/>
                <w:sz w:val="20"/>
                <w:szCs w:val="20"/>
                <w:lang w:val="en-US"/>
              </w:rPr>
              <w:t>, n (%)</w:t>
            </w:r>
          </w:p>
        </w:tc>
        <w:tc>
          <w:tcPr>
            <w:tcW w:w="1559" w:type="dxa"/>
            <w:tcBorders>
              <w:left w:val="single" w:sz="4" w:space="0" w:color="auto"/>
            </w:tcBorders>
            <w:shd w:val="clear" w:color="auto" w:fill="F2F2F2" w:themeFill="background1" w:themeFillShade="F2"/>
            <w:vAlign w:val="center"/>
          </w:tcPr>
          <w:p w14:paraId="20DFED97"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75 (34.9)</w:t>
            </w:r>
          </w:p>
        </w:tc>
        <w:tc>
          <w:tcPr>
            <w:tcW w:w="1560" w:type="dxa"/>
            <w:shd w:val="clear" w:color="auto" w:fill="F2F2F2" w:themeFill="background1" w:themeFillShade="F2"/>
            <w:vAlign w:val="center"/>
          </w:tcPr>
          <w:p w14:paraId="49AA89BB"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57 (38.0)</w:t>
            </w:r>
          </w:p>
        </w:tc>
        <w:tc>
          <w:tcPr>
            <w:tcW w:w="1559" w:type="dxa"/>
            <w:tcBorders>
              <w:right w:val="single" w:sz="4" w:space="0" w:color="auto"/>
            </w:tcBorders>
            <w:shd w:val="clear" w:color="auto" w:fill="F2F2F2" w:themeFill="background1" w:themeFillShade="F2"/>
            <w:vAlign w:val="center"/>
          </w:tcPr>
          <w:p w14:paraId="2E72968A"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18 (27.7)</w:t>
            </w:r>
          </w:p>
        </w:tc>
        <w:tc>
          <w:tcPr>
            <w:tcW w:w="992" w:type="dxa"/>
            <w:tcBorders>
              <w:left w:val="single" w:sz="4" w:space="0" w:color="auto"/>
              <w:right w:val="single" w:sz="4" w:space="0" w:color="auto"/>
            </w:tcBorders>
            <w:shd w:val="clear" w:color="auto" w:fill="F2F2F2" w:themeFill="background1" w:themeFillShade="F2"/>
            <w:vAlign w:val="center"/>
          </w:tcPr>
          <w:p w14:paraId="7D05EA2C"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0.145</w:t>
            </w:r>
          </w:p>
        </w:tc>
      </w:tr>
      <w:tr w:rsidR="002C5ED6" w:rsidRPr="003B54F7" w14:paraId="5C0DCAAC" w14:textId="77777777" w:rsidTr="002C5ED6">
        <w:trPr>
          <w:trHeight w:val="415"/>
        </w:trPr>
        <w:tc>
          <w:tcPr>
            <w:tcW w:w="4282" w:type="dxa"/>
            <w:tcBorders>
              <w:left w:val="single" w:sz="4" w:space="0" w:color="auto"/>
              <w:right w:val="single" w:sz="4" w:space="0" w:color="auto"/>
            </w:tcBorders>
            <w:shd w:val="clear" w:color="auto" w:fill="FFFFFF" w:themeFill="background1"/>
            <w:vAlign w:val="center"/>
          </w:tcPr>
          <w:p w14:paraId="73B39D04" w14:textId="25A4BA0F" w:rsidR="002C5ED6" w:rsidRPr="003B54F7" w:rsidRDefault="002C5ED6" w:rsidP="002C5ED6">
            <w:pPr>
              <w:rPr>
                <w:rFonts w:ascii="Times New Roman" w:hAnsi="Times New Roman" w:cs="Times New Roman"/>
                <w:color w:val="000000" w:themeColor="text1"/>
                <w:sz w:val="20"/>
                <w:szCs w:val="20"/>
                <w:lang w:val="en-US"/>
              </w:rPr>
            </w:pPr>
            <w:r w:rsidRPr="003A38C6">
              <w:rPr>
                <w:color w:val="000000" w:themeColor="text1"/>
                <w:sz w:val="20"/>
                <w:szCs w:val="20"/>
                <w:lang w:val="en-US"/>
              </w:rPr>
              <w:t xml:space="preserve">Age at </w:t>
            </w:r>
            <w:r>
              <w:rPr>
                <w:color w:val="000000" w:themeColor="text1"/>
                <w:sz w:val="20"/>
                <w:szCs w:val="20"/>
                <w:lang w:val="en-US"/>
              </w:rPr>
              <w:t>diagnosis</w:t>
            </w:r>
            <w:r w:rsidRPr="003A38C6">
              <w:rPr>
                <w:color w:val="000000" w:themeColor="text1"/>
                <w:sz w:val="20"/>
                <w:szCs w:val="20"/>
                <w:lang w:val="en-US"/>
              </w:rPr>
              <w:t xml:space="preserve"> (years)</w:t>
            </w:r>
          </w:p>
        </w:tc>
        <w:tc>
          <w:tcPr>
            <w:tcW w:w="1559" w:type="dxa"/>
            <w:tcBorders>
              <w:left w:val="single" w:sz="4" w:space="0" w:color="auto"/>
            </w:tcBorders>
            <w:shd w:val="clear" w:color="auto" w:fill="FFFFFF" w:themeFill="background1"/>
            <w:vAlign w:val="center"/>
          </w:tcPr>
          <w:p w14:paraId="4C9B861B"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 xml:space="preserve">49 </w:t>
            </w:r>
            <w:r w:rsidRPr="003B54F7">
              <w:rPr>
                <w:rFonts w:ascii="Times New Roman" w:hAnsi="Times New Roman" w:cs="Times New Roman"/>
                <w:color w:val="000000" w:themeColor="text1"/>
                <w:sz w:val="20"/>
                <w:szCs w:val="20"/>
                <w:lang w:val="en-US"/>
              </w:rPr>
              <w:sym w:font="Symbol" w:char="F0B1"/>
            </w:r>
            <w:r w:rsidRPr="003B54F7">
              <w:rPr>
                <w:rFonts w:ascii="Times New Roman" w:hAnsi="Times New Roman" w:cs="Times New Roman"/>
                <w:color w:val="000000" w:themeColor="text1"/>
                <w:sz w:val="20"/>
                <w:szCs w:val="20"/>
                <w:lang w:val="en-US"/>
              </w:rPr>
              <w:t xml:space="preserve"> 9.5  </w:t>
            </w:r>
          </w:p>
        </w:tc>
        <w:tc>
          <w:tcPr>
            <w:tcW w:w="1560" w:type="dxa"/>
            <w:shd w:val="clear" w:color="auto" w:fill="FFFFFF" w:themeFill="background1"/>
            <w:vAlign w:val="center"/>
          </w:tcPr>
          <w:p w14:paraId="0574AA21"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 xml:space="preserve">49 </w:t>
            </w:r>
            <w:r w:rsidRPr="003B54F7">
              <w:rPr>
                <w:rFonts w:ascii="Times New Roman" w:hAnsi="Times New Roman" w:cs="Times New Roman"/>
                <w:color w:val="000000" w:themeColor="text1"/>
                <w:sz w:val="20"/>
                <w:szCs w:val="20"/>
                <w:lang w:val="en-US"/>
              </w:rPr>
              <w:sym w:font="Symbol" w:char="F0B1"/>
            </w:r>
            <w:r w:rsidRPr="003B54F7">
              <w:rPr>
                <w:rFonts w:ascii="Times New Roman" w:hAnsi="Times New Roman" w:cs="Times New Roman"/>
                <w:color w:val="000000" w:themeColor="text1"/>
                <w:sz w:val="20"/>
                <w:szCs w:val="20"/>
                <w:lang w:val="en-US"/>
              </w:rPr>
              <w:t xml:space="preserve"> 9.5</w:t>
            </w:r>
          </w:p>
        </w:tc>
        <w:tc>
          <w:tcPr>
            <w:tcW w:w="1559" w:type="dxa"/>
            <w:tcBorders>
              <w:right w:val="single" w:sz="4" w:space="0" w:color="auto"/>
            </w:tcBorders>
            <w:shd w:val="clear" w:color="auto" w:fill="FFFFFF" w:themeFill="background1"/>
            <w:vAlign w:val="center"/>
          </w:tcPr>
          <w:p w14:paraId="67AF722D"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 xml:space="preserve">50 </w:t>
            </w:r>
            <w:r w:rsidRPr="003B54F7">
              <w:rPr>
                <w:rFonts w:ascii="Times New Roman" w:hAnsi="Times New Roman" w:cs="Times New Roman"/>
                <w:color w:val="000000" w:themeColor="text1"/>
                <w:sz w:val="20"/>
                <w:szCs w:val="20"/>
                <w:lang w:val="en-US"/>
              </w:rPr>
              <w:sym w:font="Symbol" w:char="F0B1"/>
            </w:r>
            <w:r w:rsidRPr="003B54F7">
              <w:rPr>
                <w:rFonts w:ascii="Times New Roman" w:hAnsi="Times New Roman" w:cs="Times New Roman"/>
                <w:color w:val="000000" w:themeColor="text1"/>
                <w:sz w:val="20"/>
                <w:szCs w:val="20"/>
                <w:lang w:val="en-US"/>
              </w:rPr>
              <w:t xml:space="preserve"> 9.7</w:t>
            </w:r>
          </w:p>
        </w:tc>
        <w:tc>
          <w:tcPr>
            <w:tcW w:w="992" w:type="dxa"/>
            <w:tcBorders>
              <w:left w:val="single" w:sz="4" w:space="0" w:color="auto"/>
              <w:right w:val="single" w:sz="4" w:space="0" w:color="auto"/>
            </w:tcBorders>
            <w:shd w:val="clear" w:color="auto" w:fill="FFFFFF" w:themeFill="background1"/>
            <w:vAlign w:val="center"/>
          </w:tcPr>
          <w:p w14:paraId="50BC1F68"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0.383</w:t>
            </w:r>
          </w:p>
        </w:tc>
      </w:tr>
      <w:tr w:rsidR="002C5ED6" w:rsidRPr="003B54F7" w14:paraId="1FEA9B5B" w14:textId="77777777" w:rsidTr="002C5ED6">
        <w:trPr>
          <w:trHeight w:val="421"/>
        </w:trPr>
        <w:tc>
          <w:tcPr>
            <w:tcW w:w="4282" w:type="dxa"/>
            <w:tcBorders>
              <w:left w:val="single" w:sz="4" w:space="0" w:color="auto"/>
              <w:right w:val="single" w:sz="4" w:space="0" w:color="auto"/>
            </w:tcBorders>
            <w:shd w:val="clear" w:color="auto" w:fill="F2F2F2" w:themeFill="background1" w:themeFillShade="F2"/>
            <w:vAlign w:val="center"/>
          </w:tcPr>
          <w:p w14:paraId="182505EC" w14:textId="1D5CB9CB" w:rsidR="002C5ED6" w:rsidRPr="003B54F7" w:rsidRDefault="002C5ED6" w:rsidP="002C5ED6">
            <w:pPr>
              <w:rPr>
                <w:rFonts w:ascii="Times New Roman" w:hAnsi="Times New Roman" w:cs="Times New Roman"/>
                <w:color w:val="000000" w:themeColor="text1"/>
                <w:sz w:val="20"/>
                <w:szCs w:val="20"/>
                <w:lang w:val="en-US"/>
              </w:rPr>
            </w:pPr>
            <w:r w:rsidRPr="003A38C6">
              <w:rPr>
                <w:color w:val="000000" w:themeColor="text1"/>
                <w:sz w:val="20"/>
                <w:szCs w:val="20"/>
                <w:lang w:val="en-US"/>
              </w:rPr>
              <w:t>Duration of HTN (months)</w:t>
            </w:r>
          </w:p>
        </w:tc>
        <w:tc>
          <w:tcPr>
            <w:tcW w:w="1559" w:type="dxa"/>
            <w:tcBorders>
              <w:left w:val="single" w:sz="4" w:space="0" w:color="auto"/>
            </w:tcBorders>
            <w:shd w:val="clear" w:color="auto" w:fill="F2F2F2" w:themeFill="background1" w:themeFillShade="F2"/>
            <w:vAlign w:val="center"/>
          </w:tcPr>
          <w:p w14:paraId="5F60F59D"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68 [27; 128]</w:t>
            </w:r>
          </w:p>
        </w:tc>
        <w:tc>
          <w:tcPr>
            <w:tcW w:w="1560" w:type="dxa"/>
            <w:shd w:val="clear" w:color="auto" w:fill="F2F2F2" w:themeFill="background1" w:themeFillShade="F2"/>
            <w:vAlign w:val="center"/>
          </w:tcPr>
          <w:p w14:paraId="25BB81CC"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67 [27; 128]</w:t>
            </w:r>
          </w:p>
        </w:tc>
        <w:tc>
          <w:tcPr>
            <w:tcW w:w="1559" w:type="dxa"/>
            <w:tcBorders>
              <w:right w:val="single" w:sz="4" w:space="0" w:color="auto"/>
            </w:tcBorders>
            <w:shd w:val="clear" w:color="auto" w:fill="F2F2F2" w:themeFill="background1" w:themeFillShade="F2"/>
            <w:vAlign w:val="center"/>
          </w:tcPr>
          <w:p w14:paraId="256F28F5"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73 [27; 160]</w:t>
            </w:r>
          </w:p>
        </w:tc>
        <w:tc>
          <w:tcPr>
            <w:tcW w:w="992" w:type="dxa"/>
            <w:tcBorders>
              <w:left w:val="single" w:sz="4" w:space="0" w:color="auto"/>
              <w:right w:val="single" w:sz="4" w:space="0" w:color="auto"/>
            </w:tcBorders>
            <w:shd w:val="clear" w:color="auto" w:fill="F2F2F2" w:themeFill="background1" w:themeFillShade="F2"/>
            <w:vAlign w:val="center"/>
          </w:tcPr>
          <w:p w14:paraId="3482FB2C"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0.843</w:t>
            </w:r>
          </w:p>
        </w:tc>
      </w:tr>
      <w:tr w:rsidR="002C5ED6" w:rsidRPr="003B54F7" w14:paraId="051C61A8" w14:textId="77777777" w:rsidTr="002C5ED6">
        <w:trPr>
          <w:trHeight w:val="413"/>
        </w:trPr>
        <w:tc>
          <w:tcPr>
            <w:tcW w:w="4282" w:type="dxa"/>
            <w:tcBorders>
              <w:left w:val="single" w:sz="4" w:space="0" w:color="auto"/>
              <w:right w:val="single" w:sz="4" w:space="0" w:color="auto"/>
            </w:tcBorders>
            <w:shd w:val="clear" w:color="auto" w:fill="FFFFFF" w:themeFill="background1"/>
            <w:vAlign w:val="center"/>
          </w:tcPr>
          <w:p w14:paraId="0656B9C5" w14:textId="6A823774" w:rsidR="002C5ED6" w:rsidRPr="003B54F7" w:rsidRDefault="002C5ED6" w:rsidP="002C5ED6">
            <w:pPr>
              <w:rPr>
                <w:rFonts w:ascii="Times New Roman" w:hAnsi="Times New Roman" w:cs="Times New Roman"/>
                <w:color w:val="000000" w:themeColor="text1"/>
                <w:sz w:val="20"/>
                <w:szCs w:val="20"/>
                <w:lang w:val="en-US"/>
              </w:rPr>
            </w:pPr>
            <w:r w:rsidRPr="003A38C6">
              <w:rPr>
                <w:color w:val="000000" w:themeColor="text1"/>
                <w:sz w:val="20"/>
                <w:szCs w:val="20"/>
                <w:lang w:val="en-US"/>
              </w:rPr>
              <w:t>Systolic BP (mmHg)</w:t>
            </w:r>
          </w:p>
        </w:tc>
        <w:tc>
          <w:tcPr>
            <w:tcW w:w="1559" w:type="dxa"/>
            <w:tcBorders>
              <w:left w:val="single" w:sz="4" w:space="0" w:color="auto"/>
            </w:tcBorders>
            <w:shd w:val="clear" w:color="auto" w:fill="FFFFFF" w:themeFill="background1"/>
            <w:vAlign w:val="center"/>
          </w:tcPr>
          <w:p w14:paraId="48216786"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 xml:space="preserve">164 </w:t>
            </w:r>
            <w:r w:rsidRPr="003B54F7">
              <w:rPr>
                <w:rFonts w:ascii="Times New Roman" w:hAnsi="Times New Roman" w:cs="Times New Roman"/>
                <w:color w:val="000000" w:themeColor="text1"/>
                <w:sz w:val="20"/>
                <w:szCs w:val="20"/>
                <w:lang w:val="en-US"/>
              </w:rPr>
              <w:sym w:font="Symbol" w:char="F0B1"/>
            </w:r>
            <w:r w:rsidRPr="003B54F7">
              <w:rPr>
                <w:rFonts w:ascii="Times New Roman" w:hAnsi="Times New Roman" w:cs="Times New Roman"/>
                <w:color w:val="000000" w:themeColor="text1"/>
                <w:sz w:val="20"/>
                <w:szCs w:val="20"/>
                <w:lang w:val="en-US"/>
              </w:rPr>
              <w:t xml:space="preserve"> 23.3</w:t>
            </w:r>
          </w:p>
        </w:tc>
        <w:tc>
          <w:tcPr>
            <w:tcW w:w="1560" w:type="dxa"/>
            <w:shd w:val="clear" w:color="auto" w:fill="FFFFFF" w:themeFill="background1"/>
            <w:vAlign w:val="center"/>
          </w:tcPr>
          <w:p w14:paraId="448D58EB"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 xml:space="preserve">164 </w:t>
            </w:r>
            <w:r w:rsidRPr="003B54F7">
              <w:rPr>
                <w:rFonts w:ascii="Times New Roman" w:hAnsi="Times New Roman" w:cs="Times New Roman"/>
                <w:color w:val="000000" w:themeColor="text1"/>
                <w:sz w:val="20"/>
                <w:szCs w:val="20"/>
                <w:lang w:val="en-US"/>
              </w:rPr>
              <w:sym w:font="Symbol" w:char="F0B1"/>
            </w:r>
            <w:r w:rsidRPr="003B54F7">
              <w:rPr>
                <w:rFonts w:ascii="Times New Roman" w:hAnsi="Times New Roman" w:cs="Times New Roman"/>
                <w:color w:val="000000" w:themeColor="text1"/>
                <w:sz w:val="20"/>
                <w:szCs w:val="20"/>
                <w:lang w:val="en-US"/>
              </w:rPr>
              <w:t xml:space="preserve"> 23.8</w:t>
            </w:r>
          </w:p>
        </w:tc>
        <w:tc>
          <w:tcPr>
            <w:tcW w:w="1559" w:type="dxa"/>
            <w:tcBorders>
              <w:right w:val="single" w:sz="4" w:space="0" w:color="auto"/>
            </w:tcBorders>
            <w:shd w:val="clear" w:color="auto" w:fill="FFFFFF" w:themeFill="background1"/>
            <w:vAlign w:val="center"/>
          </w:tcPr>
          <w:p w14:paraId="7D991605"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 xml:space="preserve">164 </w:t>
            </w:r>
            <w:r w:rsidRPr="003B54F7">
              <w:rPr>
                <w:rFonts w:ascii="Times New Roman" w:hAnsi="Times New Roman" w:cs="Times New Roman"/>
                <w:color w:val="000000" w:themeColor="text1"/>
                <w:sz w:val="20"/>
                <w:szCs w:val="20"/>
                <w:lang w:val="en-US"/>
              </w:rPr>
              <w:sym w:font="Symbol" w:char="F0B1"/>
            </w:r>
            <w:r w:rsidRPr="003B54F7">
              <w:rPr>
                <w:rFonts w:ascii="Times New Roman" w:hAnsi="Times New Roman" w:cs="Times New Roman"/>
                <w:color w:val="000000" w:themeColor="text1"/>
                <w:sz w:val="20"/>
                <w:szCs w:val="20"/>
                <w:lang w:val="en-US"/>
              </w:rPr>
              <w:t xml:space="preserve"> 22.3</w:t>
            </w:r>
          </w:p>
        </w:tc>
        <w:tc>
          <w:tcPr>
            <w:tcW w:w="992" w:type="dxa"/>
            <w:tcBorders>
              <w:left w:val="single" w:sz="4" w:space="0" w:color="auto"/>
              <w:right w:val="single" w:sz="4" w:space="0" w:color="auto"/>
            </w:tcBorders>
            <w:shd w:val="clear" w:color="auto" w:fill="FFFFFF" w:themeFill="background1"/>
            <w:vAlign w:val="center"/>
          </w:tcPr>
          <w:p w14:paraId="74EEB82C"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0.936</w:t>
            </w:r>
          </w:p>
        </w:tc>
      </w:tr>
      <w:tr w:rsidR="002C5ED6" w:rsidRPr="003B54F7" w14:paraId="525DA1E0" w14:textId="77777777" w:rsidTr="002C5ED6">
        <w:trPr>
          <w:trHeight w:val="419"/>
        </w:trPr>
        <w:tc>
          <w:tcPr>
            <w:tcW w:w="4282" w:type="dxa"/>
            <w:tcBorders>
              <w:left w:val="single" w:sz="4" w:space="0" w:color="auto"/>
              <w:right w:val="single" w:sz="4" w:space="0" w:color="auto"/>
            </w:tcBorders>
            <w:shd w:val="clear" w:color="auto" w:fill="F2F2F2" w:themeFill="background1" w:themeFillShade="F2"/>
            <w:vAlign w:val="center"/>
          </w:tcPr>
          <w:p w14:paraId="2CDB0C46" w14:textId="411806B4" w:rsidR="002C5ED6" w:rsidRPr="003B54F7" w:rsidRDefault="002C5ED6" w:rsidP="002C5ED6">
            <w:pPr>
              <w:rPr>
                <w:rFonts w:ascii="Times New Roman" w:hAnsi="Times New Roman" w:cs="Times New Roman"/>
                <w:color w:val="000000" w:themeColor="text1"/>
                <w:sz w:val="20"/>
                <w:szCs w:val="20"/>
                <w:lang w:val="en-US"/>
              </w:rPr>
            </w:pPr>
            <w:r w:rsidRPr="003A38C6">
              <w:rPr>
                <w:color w:val="000000" w:themeColor="text1"/>
                <w:sz w:val="20"/>
                <w:szCs w:val="20"/>
                <w:lang w:val="en-US"/>
              </w:rPr>
              <w:t>Diastolic BP (mmHg)</w:t>
            </w:r>
          </w:p>
        </w:tc>
        <w:tc>
          <w:tcPr>
            <w:tcW w:w="1559" w:type="dxa"/>
            <w:tcBorders>
              <w:left w:val="single" w:sz="4" w:space="0" w:color="auto"/>
            </w:tcBorders>
            <w:shd w:val="clear" w:color="auto" w:fill="F2F2F2" w:themeFill="background1" w:themeFillShade="F2"/>
            <w:vAlign w:val="center"/>
          </w:tcPr>
          <w:p w14:paraId="6A72B3A4"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 xml:space="preserve">99 </w:t>
            </w:r>
            <w:r w:rsidRPr="003B54F7">
              <w:rPr>
                <w:rFonts w:ascii="Times New Roman" w:hAnsi="Times New Roman" w:cs="Times New Roman"/>
                <w:color w:val="000000" w:themeColor="text1"/>
                <w:sz w:val="20"/>
                <w:szCs w:val="20"/>
                <w:lang w:val="en-US"/>
              </w:rPr>
              <w:sym w:font="Symbol" w:char="F0B1"/>
            </w:r>
            <w:r w:rsidRPr="003B54F7">
              <w:rPr>
                <w:rFonts w:ascii="Times New Roman" w:hAnsi="Times New Roman" w:cs="Times New Roman"/>
                <w:color w:val="000000" w:themeColor="text1"/>
                <w:sz w:val="20"/>
                <w:szCs w:val="20"/>
                <w:lang w:val="en-US"/>
              </w:rPr>
              <w:t xml:space="preserve"> 13.4</w:t>
            </w:r>
          </w:p>
        </w:tc>
        <w:tc>
          <w:tcPr>
            <w:tcW w:w="1560" w:type="dxa"/>
            <w:shd w:val="clear" w:color="auto" w:fill="F2F2F2" w:themeFill="background1" w:themeFillShade="F2"/>
            <w:vAlign w:val="center"/>
          </w:tcPr>
          <w:p w14:paraId="4D628F17"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 xml:space="preserve">100 </w:t>
            </w:r>
            <w:r w:rsidRPr="003B54F7">
              <w:rPr>
                <w:rFonts w:ascii="Times New Roman" w:hAnsi="Times New Roman" w:cs="Times New Roman"/>
                <w:color w:val="000000" w:themeColor="text1"/>
                <w:sz w:val="20"/>
                <w:szCs w:val="20"/>
                <w:lang w:val="en-US"/>
              </w:rPr>
              <w:sym w:font="Symbol" w:char="F0B1"/>
            </w:r>
            <w:r w:rsidRPr="003B54F7">
              <w:rPr>
                <w:rFonts w:ascii="Times New Roman" w:hAnsi="Times New Roman" w:cs="Times New Roman"/>
                <w:color w:val="000000" w:themeColor="text1"/>
                <w:sz w:val="20"/>
                <w:szCs w:val="20"/>
                <w:lang w:val="en-US"/>
              </w:rPr>
              <w:t xml:space="preserve"> 13.0</w:t>
            </w:r>
          </w:p>
        </w:tc>
        <w:tc>
          <w:tcPr>
            <w:tcW w:w="1559" w:type="dxa"/>
            <w:tcBorders>
              <w:right w:val="single" w:sz="4" w:space="0" w:color="auto"/>
            </w:tcBorders>
            <w:shd w:val="clear" w:color="auto" w:fill="F2F2F2" w:themeFill="background1" w:themeFillShade="F2"/>
            <w:vAlign w:val="center"/>
          </w:tcPr>
          <w:p w14:paraId="59185080"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 xml:space="preserve">98 </w:t>
            </w:r>
            <w:r w:rsidRPr="003B54F7">
              <w:rPr>
                <w:rFonts w:ascii="Times New Roman" w:hAnsi="Times New Roman" w:cs="Times New Roman"/>
                <w:color w:val="000000" w:themeColor="text1"/>
                <w:sz w:val="20"/>
                <w:szCs w:val="20"/>
                <w:lang w:val="en-US"/>
              </w:rPr>
              <w:sym w:font="Symbol" w:char="F0B1"/>
            </w:r>
            <w:r w:rsidRPr="003B54F7">
              <w:rPr>
                <w:rFonts w:ascii="Times New Roman" w:hAnsi="Times New Roman" w:cs="Times New Roman"/>
                <w:color w:val="000000" w:themeColor="text1"/>
                <w:sz w:val="20"/>
                <w:szCs w:val="20"/>
                <w:lang w:val="en-US"/>
              </w:rPr>
              <w:t xml:space="preserve"> 14.5</w:t>
            </w:r>
          </w:p>
        </w:tc>
        <w:tc>
          <w:tcPr>
            <w:tcW w:w="992" w:type="dxa"/>
            <w:tcBorders>
              <w:left w:val="single" w:sz="4" w:space="0" w:color="auto"/>
              <w:right w:val="single" w:sz="4" w:space="0" w:color="auto"/>
            </w:tcBorders>
            <w:shd w:val="clear" w:color="auto" w:fill="F2F2F2" w:themeFill="background1" w:themeFillShade="F2"/>
            <w:vAlign w:val="center"/>
          </w:tcPr>
          <w:p w14:paraId="14D534F7"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0.557</w:t>
            </w:r>
          </w:p>
        </w:tc>
      </w:tr>
      <w:tr w:rsidR="002C5ED6" w:rsidRPr="003B54F7" w14:paraId="746AAE92" w14:textId="77777777" w:rsidTr="002C5ED6">
        <w:trPr>
          <w:trHeight w:val="411"/>
        </w:trPr>
        <w:tc>
          <w:tcPr>
            <w:tcW w:w="4282" w:type="dxa"/>
            <w:tcBorders>
              <w:left w:val="single" w:sz="4" w:space="0" w:color="auto"/>
              <w:right w:val="single" w:sz="4" w:space="0" w:color="auto"/>
            </w:tcBorders>
            <w:shd w:val="clear" w:color="auto" w:fill="FFFFFF" w:themeFill="background1"/>
            <w:vAlign w:val="center"/>
          </w:tcPr>
          <w:p w14:paraId="6D17E66A" w14:textId="35E1D252" w:rsidR="002C5ED6" w:rsidRPr="003B54F7" w:rsidRDefault="002C5ED6" w:rsidP="002C5ED6">
            <w:pPr>
              <w:rPr>
                <w:rFonts w:ascii="Times New Roman" w:hAnsi="Times New Roman" w:cs="Times New Roman"/>
                <w:color w:val="000000" w:themeColor="text1"/>
                <w:sz w:val="20"/>
                <w:szCs w:val="20"/>
                <w:lang w:val="en-US"/>
              </w:rPr>
            </w:pPr>
            <w:r w:rsidRPr="003A38C6">
              <w:rPr>
                <w:color w:val="000000" w:themeColor="text1"/>
                <w:sz w:val="20"/>
                <w:szCs w:val="20"/>
                <w:lang w:val="en-US"/>
              </w:rPr>
              <w:t>Antihypertensive medication (DDD)</w:t>
            </w:r>
          </w:p>
        </w:tc>
        <w:tc>
          <w:tcPr>
            <w:tcW w:w="1559" w:type="dxa"/>
            <w:tcBorders>
              <w:left w:val="single" w:sz="4" w:space="0" w:color="auto"/>
            </w:tcBorders>
            <w:shd w:val="clear" w:color="auto" w:fill="FFFFFF" w:themeFill="background1"/>
            <w:vAlign w:val="center"/>
          </w:tcPr>
          <w:p w14:paraId="48EF5AC2"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3.3 [2.0; 5.0]</w:t>
            </w:r>
          </w:p>
        </w:tc>
        <w:tc>
          <w:tcPr>
            <w:tcW w:w="1560" w:type="dxa"/>
            <w:shd w:val="clear" w:color="auto" w:fill="FFFFFF" w:themeFill="background1"/>
            <w:vAlign w:val="center"/>
          </w:tcPr>
          <w:p w14:paraId="21798DD5"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3.4 [2.1; 5.1]</w:t>
            </w:r>
          </w:p>
        </w:tc>
        <w:tc>
          <w:tcPr>
            <w:tcW w:w="1559" w:type="dxa"/>
            <w:tcBorders>
              <w:right w:val="single" w:sz="4" w:space="0" w:color="auto"/>
            </w:tcBorders>
            <w:shd w:val="clear" w:color="auto" w:fill="FFFFFF" w:themeFill="background1"/>
            <w:vAlign w:val="center"/>
          </w:tcPr>
          <w:p w14:paraId="4F42F78C"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3.0 [1.5; 4.6]</w:t>
            </w:r>
          </w:p>
        </w:tc>
        <w:tc>
          <w:tcPr>
            <w:tcW w:w="992" w:type="dxa"/>
            <w:tcBorders>
              <w:left w:val="single" w:sz="4" w:space="0" w:color="auto"/>
              <w:right w:val="single" w:sz="4" w:space="0" w:color="auto"/>
            </w:tcBorders>
            <w:shd w:val="clear" w:color="auto" w:fill="FFFFFF" w:themeFill="background1"/>
            <w:vAlign w:val="center"/>
          </w:tcPr>
          <w:p w14:paraId="571FA786"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0.311</w:t>
            </w:r>
          </w:p>
        </w:tc>
      </w:tr>
      <w:tr w:rsidR="002C5ED6" w:rsidRPr="003B54F7" w14:paraId="0578D902" w14:textId="77777777" w:rsidTr="002C5ED6">
        <w:trPr>
          <w:trHeight w:val="417"/>
        </w:trPr>
        <w:tc>
          <w:tcPr>
            <w:tcW w:w="4282" w:type="dxa"/>
            <w:tcBorders>
              <w:left w:val="single" w:sz="4" w:space="0" w:color="auto"/>
              <w:right w:val="single" w:sz="4" w:space="0" w:color="auto"/>
            </w:tcBorders>
            <w:shd w:val="clear" w:color="auto" w:fill="F2F2F2" w:themeFill="background1" w:themeFillShade="F2"/>
            <w:vAlign w:val="center"/>
          </w:tcPr>
          <w:p w14:paraId="3BB810A6" w14:textId="603E48C6" w:rsidR="002C5ED6" w:rsidRPr="003B54F7" w:rsidRDefault="002C5ED6" w:rsidP="002C5ED6">
            <w:pPr>
              <w:rPr>
                <w:rFonts w:ascii="Times New Roman" w:hAnsi="Times New Roman" w:cs="Times New Roman"/>
                <w:color w:val="000000" w:themeColor="text1"/>
                <w:sz w:val="20"/>
                <w:szCs w:val="20"/>
                <w:lang w:val="en-US"/>
              </w:rPr>
            </w:pPr>
            <w:r w:rsidRPr="003A38C6">
              <w:rPr>
                <w:color w:val="000000" w:themeColor="text1"/>
                <w:sz w:val="20"/>
                <w:szCs w:val="20"/>
                <w:lang w:val="en-US"/>
              </w:rPr>
              <w:t>eGFR (mL/min)</w:t>
            </w:r>
          </w:p>
        </w:tc>
        <w:tc>
          <w:tcPr>
            <w:tcW w:w="1559" w:type="dxa"/>
            <w:tcBorders>
              <w:left w:val="single" w:sz="4" w:space="0" w:color="auto"/>
            </w:tcBorders>
            <w:shd w:val="clear" w:color="auto" w:fill="F2F2F2" w:themeFill="background1" w:themeFillShade="F2"/>
            <w:vAlign w:val="center"/>
          </w:tcPr>
          <w:p w14:paraId="1F6382A7" w14:textId="15E254C6" w:rsidR="002C5ED6" w:rsidRPr="003B54F7" w:rsidRDefault="002C5ED6" w:rsidP="002C5ED6">
            <w:pPr>
              <w:jc w:val="center"/>
              <w:rPr>
                <w:rFonts w:ascii="Times New Roman" w:hAnsi="Times New Roman" w:cs="Times New Roman"/>
                <w:color w:val="FF0000"/>
                <w:sz w:val="20"/>
                <w:szCs w:val="20"/>
                <w:lang w:val="en-US"/>
              </w:rPr>
            </w:pPr>
            <w:r w:rsidRPr="003B54F7">
              <w:rPr>
                <w:rFonts w:ascii="Times New Roman" w:hAnsi="Times New Roman" w:cs="Times New Roman"/>
                <w:color w:val="000000" w:themeColor="text1"/>
                <w:sz w:val="20"/>
                <w:szCs w:val="20"/>
                <w:lang w:val="en-US"/>
              </w:rPr>
              <w:t>96 [81; 106]</w:t>
            </w:r>
          </w:p>
        </w:tc>
        <w:tc>
          <w:tcPr>
            <w:tcW w:w="1560" w:type="dxa"/>
            <w:shd w:val="clear" w:color="auto" w:fill="F2F2F2" w:themeFill="background1" w:themeFillShade="F2"/>
            <w:vAlign w:val="center"/>
          </w:tcPr>
          <w:p w14:paraId="47980C0C" w14:textId="1CE3FB50" w:rsidR="002C5ED6" w:rsidRPr="003B54F7" w:rsidRDefault="002C5ED6" w:rsidP="002C5ED6">
            <w:pPr>
              <w:jc w:val="center"/>
              <w:rPr>
                <w:rFonts w:ascii="Times New Roman" w:hAnsi="Times New Roman" w:cs="Times New Roman"/>
                <w:color w:val="FF0000"/>
                <w:sz w:val="20"/>
                <w:szCs w:val="20"/>
                <w:lang w:val="en-US"/>
              </w:rPr>
            </w:pPr>
            <w:r w:rsidRPr="003B54F7">
              <w:rPr>
                <w:rFonts w:ascii="Times New Roman" w:hAnsi="Times New Roman" w:cs="Times New Roman"/>
                <w:color w:val="000000" w:themeColor="text1"/>
                <w:sz w:val="20"/>
                <w:szCs w:val="20"/>
                <w:lang w:val="en-US"/>
              </w:rPr>
              <w:t>94 [82; 106]</w:t>
            </w:r>
          </w:p>
        </w:tc>
        <w:tc>
          <w:tcPr>
            <w:tcW w:w="1559" w:type="dxa"/>
            <w:tcBorders>
              <w:right w:val="single" w:sz="4" w:space="0" w:color="auto"/>
            </w:tcBorders>
            <w:shd w:val="clear" w:color="auto" w:fill="F2F2F2" w:themeFill="background1" w:themeFillShade="F2"/>
            <w:vAlign w:val="center"/>
          </w:tcPr>
          <w:p w14:paraId="2F12F7DC" w14:textId="617A2373" w:rsidR="002C5ED6" w:rsidRPr="003B54F7" w:rsidRDefault="002C5ED6" w:rsidP="002C5ED6">
            <w:pPr>
              <w:jc w:val="center"/>
              <w:rPr>
                <w:rFonts w:ascii="Times New Roman" w:hAnsi="Times New Roman" w:cs="Times New Roman"/>
                <w:color w:val="FF0000"/>
                <w:sz w:val="20"/>
                <w:szCs w:val="20"/>
                <w:lang w:val="en-US"/>
              </w:rPr>
            </w:pPr>
            <w:r w:rsidRPr="003B54F7">
              <w:rPr>
                <w:rFonts w:ascii="Times New Roman" w:hAnsi="Times New Roman" w:cs="Times New Roman"/>
                <w:color w:val="000000" w:themeColor="text1"/>
                <w:sz w:val="20"/>
                <w:szCs w:val="20"/>
                <w:lang w:val="en-US"/>
              </w:rPr>
              <w:t>98 [79; 108]</w:t>
            </w:r>
          </w:p>
        </w:tc>
        <w:tc>
          <w:tcPr>
            <w:tcW w:w="992" w:type="dxa"/>
            <w:tcBorders>
              <w:left w:val="single" w:sz="4" w:space="0" w:color="auto"/>
              <w:right w:val="single" w:sz="4" w:space="0" w:color="auto"/>
            </w:tcBorders>
            <w:shd w:val="clear" w:color="auto" w:fill="F2F2F2" w:themeFill="background1" w:themeFillShade="F2"/>
            <w:vAlign w:val="center"/>
          </w:tcPr>
          <w:p w14:paraId="05BB820D" w14:textId="4B81AEA5" w:rsidR="002C5ED6" w:rsidRPr="003B54F7" w:rsidRDefault="002C5ED6" w:rsidP="002C5ED6">
            <w:pPr>
              <w:jc w:val="center"/>
              <w:rPr>
                <w:rFonts w:ascii="Times New Roman" w:hAnsi="Times New Roman" w:cs="Times New Roman"/>
                <w:color w:val="FF0000"/>
                <w:sz w:val="20"/>
                <w:szCs w:val="20"/>
                <w:lang w:val="en-US"/>
              </w:rPr>
            </w:pPr>
            <w:r w:rsidRPr="003B54F7">
              <w:rPr>
                <w:rFonts w:ascii="Times New Roman" w:hAnsi="Times New Roman" w:cs="Times New Roman"/>
                <w:color w:val="000000" w:themeColor="text1"/>
                <w:sz w:val="20"/>
                <w:szCs w:val="20"/>
                <w:lang w:val="en-US"/>
              </w:rPr>
              <w:t>0.639</w:t>
            </w:r>
          </w:p>
        </w:tc>
      </w:tr>
      <w:tr w:rsidR="002C5ED6" w:rsidRPr="003B54F7" w14:paraId="61814E65" w14:textId="77777777" w:rsidTr="002C5ED6">
        <w:trPr>
          <w:trHeight w:val="409"/>
        </w:trPr>
        <w:tc>
          <w:tcPr>
            <w:tcW w:w="4282" w:type="dxa"/>
            <w:tcBorders>
              <w:left w:val="single" w:sz="4" w:space="0" w:color="auto"/>
              <w:right w:val="single" w:sz="4" w:space="0" w:color="auto"/>
            </w:tcBorders>
            <w:shd w:val="clear" w:color="auto" w:fill="FFFFFF" w:themeFill="background1"/>
            <w:vAlign w:val="center"/>
          </w:tcPr>
          <w:p w14:paraId="0829E29E" w14:textId="10CA6950" w:rsidR="002C5ED6" w:rsidRPr="003B54F7" w:rsidRDefault="002C5ED6" w:rsidP="002C5ED6">
            <w:pPr>
              <w:rPr>
                <w:rFonts w:ascii="Times New Roman" w:hAnsi="Times New Roman" w:cs="Times New Roman"/>
                <w:color w:val="000000" w:themeColor="text1"/>
                <w:sz w:val="20"/>
                <w:szCs w:val="20"/>
                <w:lang w:val="en-US"/>
              </w:rPr>
            </w:pPr>
            <w:r w:rsidRPr="003A38C6">
              <w:rPr>
                <w:color w:val="000000" w:themeColor="text1"/>
                <w:sz w:val="20"/>
                <w:szCs w:val="20"/>
                <w:lang w:val="en-US"/>
              </w:rPr>
              <w:t>Lowest Potassium (mEq/L)</w:t>
            </w:r>
          </w:p>
        </w:tc>
        <w:tc>
          <w:tcPr>
            <w:tcW w:w="1559" w:type="dxa"/>
            <w:tcBorders>
              <w:left w:val="single" w:sz="4" w:space="0" w:color="auto"/>
            </w:tcBorders>
            <w:shd w:val="clear" w:color="auto" w:fill="FFFFFF" w:themeFill="background1"/>
            <w:vAlign w:val="center"/>
          </w:tcPr>
          <w:p w14:paraId="49E7866A" w14:textId="77777777" w:rsidR="002C5ED6" w:rsidRPr="003B54F7" w:rsidRDefault="002C5ED6" w:rsidP="002C5ED6">
            <w:pPr>
              <w:jc w:val="center"/>
              <w:rPr>
                <w:rFonts w:ascii="Times New Roman" w:hAnsi="Times New Roman" w:cs="Times New Roman"/>
                <w:color w:val="FF0000"/>
                <w:sz w:val="20"/>
                <w:szCs w:val="20"/>
                <w:lang w:val="en-US"/>
              </w:rPr>
            </w:pPr>
            <w:r w:rsidRPr="003B54F7">
              <w:rPr>
                <w:rFonts w:ascii="Times New Roman" w:hAnsi="Times New Roman" w:cs="Times New Roman"/>
                <w:color w:val="000000" w:themeColor="text1"/>
                <w:sz w:val="20"/>
                <w:szCs w:val="20"/>
                <w:lang w:val="en-US"/>
              </w:rPr>
              <w:t xml:space="preserve">3.4 </w:t>
            </w:r>
            <w:r w:rsidRPr="003B54F7">
              <w:rPr>
                <w:rFonts w:ascii="Times New Roman" w:hAnsi="Times New Roman" w:cs="Times New Roman"/>
                <w:color w:val="000000" w:themeColor="text1"/>
                <w:sz w:val="20"/>
                <w:szCs w:val="20"/>
                <w:lang w:val="en-US"/>
              </w:rPr>
              <w:sym w:font="Symbol" w:char="F0B1"/>
            </w:r>
            <w:r w:rsidRPr="003B54F7">
              <w:rPr>
                <w:rFonts w:ascii="Times New Roman" w:hAnsi="Times New Roman" w:cs="Times New Roman"/>
                <w:color w:val="000000" w:themeColor="text1"/>
                <w:sz w:val="20"/>
                <w:szCs w:val="20"/>
                <w:lang w:val="en-US"/>
              </w:rPr>
              <w:t xml:space="preserve"> 0.7</w:t>
            </w:r>
          </w:p>
        </w:tc>
        <w:tc>
          <w:tcPr>
            <w:tcW w:w="1560" w:type="dxa"/>
            <w:shd w:val="clear" w:color="auto" w:fill="FFFFFF" w:themeFill="background1"/>
            <w:vAlign w:val="center"/>
          </w:tcPr>
          <w:p w14:paraId="521C6121"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 xml:space="preserve">3.4 </w:t>
            </w:r>
            <w:r w:rsidRPr="003B54F7">
              <w:rPr>
                <w:rFonts w:ascii="Times New Roman" w:hAnsi="Times New Roman" w:cs="Times New Roman"/>
                <w:color w:val="000000" w:themeColor="text1"/>
                <w:sz w:val="20"/>
                <w:szCs w:val="20"/>
                <w:lang w:val="en-US"/>
              </w:rPr>
              <w:sym w:font="Symbol" w:char="F0B1"/>
            </w:r>
            <w:r w:rsidRPr="003B54F7">
              <w:rPr>
                <w:rFonts w:ascii="Times New Roman" w:hAnsi="Times New Roman" w:cs="Times New Roman"/>
                <w:color w:val="000000" w:themeColor="text1"/>
                <w:sz w:val="20"/>
                <w:szCs w:val="20"/>
                <w:lang w:val="en-US"/>
              </w:rPr>
              <w:t xml:space="preserve"> 0.7</w:t>
            </w:r>
          </w:p>
        </w:tc>
        <w:tc>
          <w:tcPr>
            <w:tcW w:w="1559" w:type="dxa"/>
            <w:tcBorders>
              <w:right w:val="single" w:sz="4" w:space="0" w:color="auto"/>
            </w:tcBorders>
            <w:shd w:val="clear" w:color="auto" w:fill="FFFFFF" w:themeFill="background1"/>
            <w:vAlign w:val="center"/>
          </w:tcPr>
          <w:p w14:paraId="25C719EA"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 xml:space="preserve">3.4 </w:t>
            </w:r>
            <w:r w:rsidRPr="003B54F7">
              <w:rPr>
                <w:rFonts w:ascii="Times New Roman" w:hAnsi="Times New Roman" w:cs="Times New Roman"/>
                <w:color w:val="000000" w:themeColor="text1"/>
                <w:sz w:val="20"/>
                <w:szCs w:val="20"/>
                <w:lang w:val="en-US"/>
              </w:rPr>
              <w:sym w:font="Symbol" w:char="F0B1"/>
            </w:r>
            <w:r w:rsidRPr="003B54F7">
              <w:rPr>
                <w:rFonts w:ascii="Times New Roman" w:hAnsi="Times New Roman" w:cs="Times New Roman"/>
                <w:color w:val="000000" w:themeColor="text1"/>
                <w:sz w:val="20"/>
                <w:szCs w:val="20"/>
                <w:lang w:val="en-US"/>
              </w:rPr>
              <w:t xml:space="preserve"> 0.5</w:t>
            </w:r>
          </w:p>
        </w:tc>
        <w:tc>
          <w:tcPr>
            <w:tcW w:w="992" w:type="dxa"/>
            <w:tcBorders>
              <w:left w:val="single" w:sz="4" w:space="0" w:color="auto"/>
              <w:right w:val="single" w:sz="4" w:space="0" w:color="auto"/>
            </w:tcBorders>
            <w:shd w:val="clear" w:color="auto" w:fill="FFFFFF" w:themeFill="background1"/>
            <w:vAlign w:val="center"/>
          </w:tcPr>
          <w:p w14:paraId="6239E133" w14:textId="16182993"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0.576</w:t>
            </w:r>
          </w:p>
        </w:tc>
      </w:tr>
      <w:tr w:rsidR="002C5ED6" w:rsidRPr="003B54F7" w14:paraId="7169A095" w14:textId="77777777" w:rsidTr="002C5ED6">
        <w:trPr>
          <w:trHeight w:val="429"/>
        </w:trPr>
        <w:tc>
          <w:tcPr>
            <w:tcW w:w="4282" w:type="dxa"/>
            <w:tcBorders>
              <w:left w:val="single" w:sz="4" w:space="0" w:color="auto"/>
              <w:right w:val="single" w:sz="4" w:space="0" w:color="auto"/>
            </w:tcBorders>
            <w:shd w:val="clear" w:color="auto" w:fill="F2F2F2" w:themeFill="background1" w:themeFillShade="F2"/>
            <w:vAlign w:val="center"/>
          </w:tcPr>
          <w:p w14:paraId="581F9FE8" w14:textId="166DD57C" w:rsidR="002C5ED6" w:rsidRPr="003B54F7" w:rsidRDefault="002C5ED6" w:rsidP="002C5ED6">
            <w:pPr>
              <w:rPr>
                <w:rFonts w:ascii="Times New Roman" w:hAnsi="Times New Roman" w:cs="Times New Roman"/>
                <w:color w:val="000000" w:themeColor="text1"/>
                <w:sz w:val="20"/>
                <w:szCs w:val="20"/>
                <w:lang w:val="en-US"/>
              </w:rPr>
            </w:pPr>
            <w:r w:rsidRPr="003A38C6">
              <w:rPr>
                <w:color w:val="000000" w:themeColor="text1"/>
                <w:sz w:val="20"/>
                <w:szCs w:val="20"/>
                <w:lang w:val="en-US"/>
              </w:rPr>
              <w:t>PRA at screening (ng/mL/h)</w:t>
            </w:r>
          </w:p>
        </w:tc>
        <w:tc>
          <w:tcPr>
            <w:tcW w:w="1559" w:type="dxa"/>
            <w:tcBorders>
              <w:left w:val="single" w:sz="4" w:space="0" w:color="auto"/>
            </w:tcBorders>
            <w:shd w:val="clear" w:color="auto" w:fill="F2F2F2" w:themeFill="background1" w:themeFillShade="F2"/>
            <w:vAlign w:val="center"/>
          </w:tcPr>
          <w:p w14:paraId="504667F0" w14:textId="6E27C6DA" w:rsidR="002C5ED6" w:rsidRPr="003B54F7" w:rsidRDefault="002C5ED6" w:rsidP="002C5ED6">
            <w:pPr>
              <w:jc w:val="center"/>
              <w:rPr>
                <w:rFonts w:ascii="Times New Roman" w:hAnsi="Times New Roman" w:cs="Times New Roman"/>
                <w:color w:val="FF0000"/>
                <w:sz w:val="20"/>
                <w:szCs w:val="20"/>
                <w:lang w:val="en-US"/>
              </w:rPr>
            </w:pPr>
            <w:r w:rsidRPr="003B54F7">
              <w:rPr>
                <w:rFonts w:ascii="Times New Roman" w:hAnsi="Times New Roman" w:cs="Times New Roman"/>
                <w:color w:val="000000" w:themeColor="text1"/>
                <w:sz w:val="20"/>
                <w:szCs w:val="20"/>
                <w:lang w:val="en-US"/>
              </w:rPr>
              <w:t>0.25 [0.18; 0.40]</w:t>
            </w:r>
          </w:p>
        </w:tc>
        <w:tc>
          <w:tcPr>
            <w:tcW w:w="1560" w:type="dxa"/>
            <w:shd w:val="clear" w:color="auto" w:fill="F2F2F2" w:themeFill="background1" w:themeFillShade="F2"/>
            <w:vAlign w:val="center"/>
          </w:tcPr>
          <w:p w14:paraId="380E482A"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0.20 [0.20; 0.40]</w:t>
            </w:r>
          </w:p>
        </w:tc>
        <w:tc>
          <w:tcPr>
            <w:tcW w:w="1559" w:type="dxa"/>
            <w:tcBorders>
              <w:right w:val="single" w:sz="4" w:space="0" w:color="auto"/>
            </w:tcBorders>
            <w:shd w:val="clear" w:color="auto" w:fill="F2F2F2" w:themeFill="background1" w:themeFillShade="F2"/>
            <w:vAlign w:val="center"/>
          </w:tcPr>
          <w:p w14:paraId="16F35544" w14:textId="716F62C5" w:rsidR="002C5ED6" w:rsidRPr="003B54F7" w:rsidRDefault="002C5ED6" w:rsidP="002C5ED6">
            <w:pPr>
              <w:jc w:val="center"/>
              <w:rPr>
                <w:rFonts w:ascii="Times New Roman" w:hAnsi="Times New Roman" w:cs="Times New Roman"/>
                <w:color w:val="FF0000"/>
                <w:sz w:val="20"/>
                <w:szCs w:val="20"/>
                <w:lang w:val="en-US"/>
              </w:rPr>
            </w:pPr>
            <w:r w:rsidRPr="003B54F7">
              <w:rPr>
                <w:rFonts w:ascii="Times New Roman" w:hAnsi="Times New Roman" w:cs="Times New Roman"/>
                <w:color w:val="000000" w:themeColor="text1"/>
                <w:sz w:val="20"/>
                <w:szCs w:val="20"/>
                <w:lang w:val="en-US"/>
              </w:rPr>
              <w:t>0.30 [0.13; 0.40]</w:t>
            </w:r>
          </w:p>
        </w:tc>
        <w:tc>
          <w:tcPr>
            <w:tcW w:w="992" w:type="dxa"/>
            <w:tcBorders>
              <w:left w:val="single" w:sz="4" w:space="0" w:color="auto"/>
              <w:right w:val="single" w:sz="4" w:space="0" w:color="auto"/>
            </w:tcBorders>
            <w:shd w:val="clear" w:color="auto" w:fill="F2F2F2" w:themeFill="background1" w:themeFillShade="F2"/>
            <w:vAlign w:val="center"/>
          </w:tcPr>
          <w:p w14:paraId="101ADBA9" w14:textId="69437B29" w:rsidR="002C5ED6" w:rsidRPr="003B54F7" w:rsidRDefault="002C5ED6" w:rsidP="002C5ED6">
            <w:pPr>
              <w:jc w:val="center"/>
              <w:rPr>
                <w:rFonts w:ascii="Times New Roman" w:hAnsi="Times New Roman" w:cs="Times New Roman"/>
                <w:color w:val="FF0000"/>
                <w:sz w:val="20"/>
                <w:szCs w:val="20"/>
                <w:lang w:val="en-US"/>
              </w:rPr>
            </w:pPr>
            <w:r w:rsidRPr="003B54F7">
              <w:rPr>
                <w:rFonts w:ascii="Times New Roman" w:hAnsi="Times New Roman" w:cs="Times New Roman"/>
                <w:color w:val="000000" w:themeColor="text1"/>
                <w:sz w:val="20"/>
                <w:szCs w:val="20"/>
                <w:lang w:val="en-US"/>
              </w:rPr>
              <w:t>0.721</w:t>
            </w:r>
          </w:p>
        </w:tc>
      </w:tr>
      <w:tr w:rsidR="002C5ED6" w:rsidRPr="003B54F7" w14:paraId="2021FBFB" w14:textId="77777777" w:rsidTr="002C5ED6">
        <w:trPr>
          <w:trHeight w:val="407"/>
        </w:trPr>
        <w:tc>
          <w:tcPr>
            <w:tcW w:w="4282" w:type="dxa"/>
            <w:tcBorders>
              <w:left w:val="single" w:sz="4" w:space="0" w:color="auto"/>
              <w:right w:val="single" w:sz="4" w:space="0" w:color="auto"/>
            </w:tcBorders>
            <w:shd w:val="clear" w:color="auto" w:fill="FFFFFF" w:themeFill="background1"/>
            <w:vAlign w:val="center"/>
          </w:tcPr>
          <w:p w14:paraId="1B170268" w14:textId="37AE2B39" w:rsidR="002C5ED6" w:rsidRPr="003B54F7" w:rsidRDefault="002C5ED6" w:rsidP="002C5ED6">
            <w:pPr>
              <w:rPr>
                <w:rFonts w:ascii="Times New Roman" w:hAnsi="Times New Roman" w:cs="Times New Roman"/>
                <w:color w:val="000000" w:themeColor="text1"/>
                <w:sz w:val="20"/>
                <w:szCs w:val="20"/>
                <w:lang w:val="en-US"/>
              </w:rPr>
            </w:pPr>
            <w:r w:rsidRPr="003A38C6">
              <w:rPr>
                <w:color w:val="000000" w:themeColor="text1"/>
                <w:sz w:val="20"/>
                <w:szCs w:val="20"/>
                <w:lang w:val="en-US"/>
              </w:rPr>
              <w:t>Aldosterone at screening (ng/dL)</w:t>
            </w:r>
          </w:p>
        </w:tc>
        <w:tc>
          <w:tcPr>
            <w:tcW w:w="1559" w:type="dxa"/>
            <w:tcBorders>
              <w:left w:val="single" w:sz="4" w:space="0" w:color="auto"/>
            </w:tcBorders>
            <w:shd w:val="clear" w:color="auto" w:fill="FFFFFF" w:themeFill="background1"/>
            <w:vAlign w:val="center"/>
          </w:tcPr>
          <w:p w14:paraId="5CC40DE5" w14:textId="5D1BED89" w:rsidR="002C5ED6" w:rsidRPr="003B54F7" w:rsidRDefault="002C5ED6" w:rsidP="002C5ED6">
            <w:pPr>
              <w:jc w:val="center"/>
              <w:rPr>
                <w:rFonts w:ascii="Times New Roman" w:hAnsi="Times New Roman" w:cs="Times New Roman"/>
                <w:color w:val="FF0000"/>
                <w:sz w:val="20"/>
                <w:szCs w:val="20"/>
                <w:lang w:val="en-US"/>
              </w:rPr>
            </w:pPr>
            <w:r w:rsidRPr="003B54F7">
              <w:rPr>
                <w:rFonts w:ascii="Times New Roman" w:hAnsi="Times New Roman" w:cs="Times New Roman"/>
                <w:color w:val="000000" w:themeColor="text1"/>
                <w:sz w:val="20"/>
                <w:szCs w:val="20"/>
                <w:lang w:val="en-US"/>
              </w:rPr>
              <w:t>33.4 [23.5; 45.6]</w:t>
            </w:r>
          </w:p>
        </w:tc>
        <w:tc>
          <w:tcPr>
            <w:tcW w:w="1560" w:type="dxa"/>
            <w:shd w:val="clear" w:color="auto" w:fill="FFFFFF" w:themeFill="background1"/>
            <w:vAlign w:val="center"/>
          </w:tcPr>
          <w:p w14:paraId="6855FA48" w14:textId="266A3520" w:rsidR="002C5ED6" w:rsidRPr="003B54F7" w:rsidRDefault="002C5ED6" w:rsidP="002C5ED6">
            <w:pPr>
              <w:jc w:val="center"/>
              <w:rPr>
                <w:rFonts w:ascii="Times New Roman" w:hAnsi="Times New Roman" w:cs="Times New Roman"/>
                <w:color w:val="FF0000"/>
                <w:sz w:val="20"/>
                <w:szCs w:val="20"/>
                <w:lang w:val="en-US"/>
              </w:rPr>
            </w:pPr>
            <w:r w:rsidRPr="003B54F7">
              <w:rPr>
                <w:rFonts w:ascii="Times New Roman" w:hAnsi="Times New Roman" w:cs="Times New Roman"/>
                <w:color w:val="000000" w:themeColor="text1"/>
                <w:sz w:val="20"/>
                <w:szCs w:val="20"/>
                <w:lang w:val="en-US"/>
              </w:rPr>
              <w:t>33.3 [23.3; 46.2]</w:t>
            </w:r>
          </w:p>
        </w:tc>
        <w:tc>
          <w:tcPr>
            <w:tcW w:w="1559" w:type="dxa"/>
            <w:tcBorders>
              <w:right w:val="single" w:sz="4" w:space="0" w:color="auto"/>
            </w:tcBorders>
            <w:shd w:val="clear" w:color="auto" w:fill="FFFFFF" w:themeFill="background1"/>
            <w:vAlign w:val="center"/>
          </w:tcPr>
          <w:p w14:paraId="456F922B" w14:textId="5D8A9EE3" w:rsidR="002C5ED6" w:rsidRPr="003B54F7" w:rsidRDefault="002C5ED6" w:rsidP="002C5ED6">
            <w:pPr>
              <w:jc w:val="center"/>
              <w:rPr>
                <w:rFonts w:ascii="Times New Roman" w:hAnsi="Times New Roman" w:cs="Times New Roman"/>
                <w:color w:val="FF0000"/>
                <w:sz w:val="20"/>
                <w:szCs w:val="20"/>
                <w:lang w:val="en-US"/>
              </w:rPr>
            </w:pPr>
            <w:r w:rsidRPr="003B54F7">
              <w:rPr>
                <w:rFonts w:ascii="Times New Roman" w:hAnsi="Times New Roman" w:cs="Times New Roman"/>
                <w:color w:val="000000" w:themeColor="text1"/>
                <w:sz w:val="20"/>
                <w:szCs w:val="20"/>
                <w:lang w:val="en-US"/>
              </w:rPr>
              <w:t>34.5 [23.6; 44.0]</w:t>
            </w:r>
          </w:p>
        </w:tc>
        <w:tc>
          <w:tcPr>
            <w:tcW w:w="992" w:type="dxa"/>
            <w:tcBorders>
              <w:left w:val="single" w:sz="4" w:space="0" w:color="auto"/>
              <w:right w:val="single" w:sz="4" w:space="0" w:color="auto"/>
            </w:tcBorders>
            <w:shd w:val="clear" w:color="auto" w:fill="FFFFFF" w:themeFill="background1"/>
            <w:vAlign w:val="center"/>
          </w:tcPr>
          <w:p w14:paraId="644758AE" w14:textId="14A8B916" w:rsidR="002C5ED6" w:rsidRPr="003B54F7" w:rsidRDefault="002C5ED6" w:rsidP="002C5ED6">
            <w:pPr>
              <w:jc w:val="center"/>
              <w:rPr>
                <w:rFonts w:ascii="Times New Roman" w:hAnsi="Times New Roman" w:cs="Times New Roman"/>
                <w:color w:val="FF0000"/>
                <w:sz w:val="20"/>
                <w:szCs w:val="20"/>
                <w:lang w:val="en-US"/>
              </w:rPr>
            </w:pPr>
            <w:r w:rsidRPr="003B54F7">
              <w:rPr>
                <w:rFonts w:ascii="Times New Roman" w:hAnsi="Times New Roman" w:cs="Times New Roman"/>
                <w:color w:val="000000" w:themeColor="text1"/>
                <w:sz w:val="20"/>
                <w:szCs w:val="20"/>
                <w:lang w:val="en-US"/>
              </w:rPr>
              <w:t>0.954</w:t>
            </w:r>
          </w:p>
        </w:tc>
      </w:tr>
      <w:tr w:rsidR="002C5ED6" w:rsidRPr="003B54F7" w14:paraId="53CBA5C7" w14:textId="77777777" w:rsidTr="002C5ED6">
        <w:trPr>
          <w:trHeight w:val="422"/>
        </w:trPr>
        <w:tc>
          <w:tcPr>
            <w:tcW w:w="4282" w:type="dxa"/>
            <w:tcBorders>
              <w:left w:val="single" w:sz="4" w:space="0" w:color="auto"/>
              <w:right w:val="single" w:sz="4" w:space="0" w:color="auto"/>
            </w:tcBorders>
            <w:shd w:val="clear" w:color="auto" w:fill="F2F2F2" w:themeFill="background1" w:themeFillShade="F2"/>
            <w:vAlign w:val="center"/>
          </w:tcPr>
          <w:p w14:paraId="52CC8DD2" w14:textId="008E8B6D" w:rsidR="002C5ED6" w:rsidRPr="003B54F7" w:rsidRDefault="002C5ED6" w:rsidP="002C5ED6">
            <w:pPr>
              <w:rPr>
                <w:rFonts w:ascii="Times New Roman" w:hAnsi="Times New Roman" w:cs="Times New Roman"/>
                <w:color w:val="000000" w:themeColor="text1"/>
                <w:sz w:val="20"/>
                <w:szCs w:val="20"/>
                <w:lang w:val="en-US"/>
              </w:rPr>
            </w:pPr>
            <w:r w:rsidRPr="003A38C6">
              <w:rPr>
                <w:color w:val="000000" w:themeColor="text1"/>
                <w:sz w:val="20"/>
                <w:szCs w:val="20"/>
                <w:lang w:val="en-US"/>
              </w:rPr>
              <w:t>PRA post-confirmatory test (ng/mL/h)</w:t>
            </w:r>
          </w:p>
        </w:tc>
        <w:tc>
          <w:tcPr>
            <w:tcW w:w="1559" w:type="dxa"/>
            <w:tcBorders>
              <w:left w:val="single" w:sz="4" w:space="0" w:color="auto"/>
            </w:tcBorders>
            <w:shd w:val="clear" w:color="auto" w:fill="F2F2F2" w:themeFill="background1" w:themeFillShade="F2"/>
            <w:vAlign w:val="center"/>
          </w:tcPr>
          <w:p w14:paraId="0C698FA1" w14:textId="44E7E68D" w:rsidR="002C5ED6" w:rsidRPr="003B54F7" w:rsidRDefault="002C5ED6" w:rsidP="002C5ED6">
            <w:pPr>
              <w:jc w:val="center"/>
              <w:rPr>
                <w:rFonts w:ascii="Times New Roman" w:hAnsi="Times New Roman" w:cs="Times New Roman"/>
                <w:color w:val="FF0000"/>
                <w:sz w:val="20"/>
                <w:szCs w:val="20"/>
                <w:lang w:val="en-US"/>
              </w:rPr>
            </w:pPr>
            <w:r w:rsidRPr="003B54F7">
              <w:rPr>
                <w:rFonts w:ascii="Times New Roman" w:hAnsi="Times New Roman" w:cs="Times New Roman"/>
                <w:color w:val="000000" w:themeColor="text1"/>
                <w:sz w:val="20"/>
                <w:szCs w:val="20"/>
                <w:lang w:val="en-US"/>
              </w:rPr>
              <w:t>0.15 [0.10; 0.20]</w:t>
            </w:r>
          </w:p>
        </w:tc>
        <w:tc>
          <w:tcPr>
            <w:tcW w:w="1560" w:type="dxa"/>
            <w:shd w:val="clear" w:color="auto" w:fill="F2F2F2" w:themeFill="background1" w:themeFillShade="F2"/>
            <w:vAlign w:val="center"/>
          </w:tcPr>
          <w:p w14:paraId="48B7BAE6" w14:textId="376CC90D" w:rsidR="002C5ED6" w:rsidRPr="003B54F7" w:rsidRDefault="002C5ED6" w:rsidP="002C5ED6">
            <w:pPr>
              <w:jc w:val="center"/>
              <w:rPr>
                <w:rFonts w:ascii="Times New Roman" w:hAnsi="Times New Roman" w:cs="Times New Roman"/>
                <w:color w:val="FF0000"/>
                <w:sz w:val="20"/>
                <w:szCs w:val="20"/>
                <w:lang w:val="en-US"/>
              </w:rPr>
            </w:pPr>
            <w:r w:rsidRPr="003B54F7">
              <w:rPr>
                <w:rFonts w:ascii="Times New Roman" w:hAnsi="Times New Roman" w:cs="Times New Roman"/>
                <w:color w:val="000000" w:themeColor="text1"/>
                <w:sz w:val="20"/>
                <w:szCs w:val="20"/>
                <w:lang w:val="en-US"/>
              </w:rPr>
              <w:t>0.15 [0.10; 0.20]</w:t>
            </w:r>
          </w:p>
        </w:tc>
        <w:tc>
          <w:tcPr>
            <w:tcW w:w="1559" w:type="dxa"/>
            <w:tcBorders>
              <w:right w:val="single" w:sz="4" w:space="0" w:color="auto"/>
            </w:tcBorders>
            <w:shd w:val="clear" w:color="auto" w:fill="F2F2F2" w:themeFill="background1" w:themeFillShade="F2"/>
            <w:vAlign w:val="center"/>
          </w:tcPr>
          <w:p w14:paraId="4B89F839" w14:textId="5019BBF6" w:rsidR="002C5ED6" w:rsidRPr="003B54F7" w:rsidRDefault="002C5ED6" w:rsidP="002C5ED6">
            <w:pPr>
              <w:jc w:val="center"/>
              <w:rPr>
                <w:rFonts w:ascii="Times New Roman" w:hAnsi="Times New Roman" w:cs="Times New Roman"/>
                <w:color w:val="FF0000"/>
                <w:sz w:val="20"/>
                <w:szCs w:val="20"/>
                <w:lang w:val="en-US"/>
              </w:rPr>
            </w:pPr>
            <w:r w:rsidRPr="003B54F7">
              <w:rPr>
                <w:rFonts w:ascii="Times New Roman" w:hAnsi="Times New Roman" w:cs="Times New Roman"/>
                <w:color w:val="000000" w:themeColor="text1"/>
                <w:sz w:val="20"/>
                <w:szCs w:val="20"/>
                <w:lang w:val="en-US"/>
              </w:rPr>
              <w:t>0.15 [0.10; 0.21]</w:t>
            </w:r>
          </w:p>
        </w:tc>
        <w:tc>
          <w:tcPr>
            <w:tcW w:w="992" w:type="dxa"/>
            <w:tcBorders>
              <w:left w:val="single" w:sz="4" w:space="0" w:color="auto"/>
              <w:right w:val="single" w:sz="4" w:space="0" w:color="auto"/>
            </w:tcBorders>
            <w:shd w:val="clear" w:color="auto" w:fill="F2F2F2" w:themeFill="background1" w:themeFillShade="F2"/>
            <w:vAlign w:val="center"/>
          </w:tcPr>
          <w:p w14:paraId="0704876A" w14:textId="134224A3" w:rsidR="002C5ED6" w:rsidRPr="003B54F7" w:rsidRDefault="002C5ED6" w:rsidP="002C5ED6">
            <w:pPr>
              <w:jc w:val="center"/>
              <w:rPr>
                <w:rFonts w:ascii="Times New Roman" w:hAnsi="Times New Roman" w:cs="Times New Roman"/>
                <w:color w:val="FF0000"/>
                <w:sz w:val="20"/>
                <w:szCs w:val="20"/>
                <w:lang w:val="en-US"/>
              </w:rPr>
            </w:pPr>
            <w:r w:rsidRPr="003B54F7">
              <w:rPr>
                <w:rFonts w:ascii="Times New Roman" w:hAnsi="Times New Roman" w:cs="Times New Roman"/>
                <w:color w:val="000000" w:themeColor="text1"/>
                <w:sz w:val="20"/>
                <w:szCs w:val="20"/>
                <w:lang w:val="en-US"/>
              </w:rPr>
              <w:t>0.174</w:t>
            </w:r>
          </w:p>
        </w:tc>
      </w:tr>
      <w:tr w:rsidR="002C5ED6" w:rsidRPr="003B54F7" w14:paraId="059E8ABE" w14:textId="77777777" w:rsidTr="002C5ED6">
        <w:trPr>
          <w:trHeight w:val="429"/>
        </w:trPr>
        <w:tc>
          <w:tcPr>
            <w:tcW w:w="4282" w:type="dxa"/>
            <w:tcBorders>
              <w:left w:val="single" w:sz="4" w:space="0" w:color="auto"/>
              <w:right w:val="single" w:sz="4" w:space="0" w:color="auto"/>
            </w:tcBorders>
            <w:shd w:val="clear" w:color="auto" w:fill="FFFFFF" w:themeFill="background1"/>
            <w:vAlign w:val="center"/>
          </w:tcPr>
          <w:p w14:paraId="46A3ACF1" w14:textId="22D890F8" w:rsidR="002C5ED6" w:rsidRPr="003B54F7" w:rsidRDefault="002C5ED6" w:rsidP="002C5ED6">
            <w:pPr>
              <w:rPr>
                <w:rFonts w:ascii="Times New Roman" w:hAnsi="Times New Roman" w:cs="Times New Roman"/>
                <w:color w:val="000000" w:themeColor="text1"/>
                <w:sz w:val="20"/>
                <w:szCs w:val="20"/>
                <w:lang w:val="en-US"/>
              </w:rPr>
            </w:pPr>
            <w:r w:rsidRPr="003A38C6">
              <w:rPr>
                <w:color w:val="000000" w:themeColor="text1"/>
                <w:sz w:val="20"/>
                <w:szCs w:val="20"/>
                <w:lang w:val="en-US"/>
              </w:rPr>
              <w:t>Aldosterone post-confirmatory test (ng/dL)</w:t>
            </w:r>
          </w:p>
        </w:tc>
        <w:tc>
          <w:tcPr>
            <w:tcW w:w="1559" w:type="dxa"/>
            <w:tcBorders>
              <w:left w:val="single" w:sz="4" w:space="0" w:color="auto"/>
            </w:tcBorders>
            <w:shd w:val="clear" w:color="auto" w:fill="FFFFFF" w:themeFill="background1"/>
            <w:vAlign w:val="center"/>
          </w:tcPr>
          <w:p w14:paraId="102E77BD" w14:textId="77D20AB2" w:rsidR="002C5ED6" w:rsidRPr="00176F38" w:rsidRDefault="002C5ED6" w:rsidP="002C5ED6">
            <w:pPr>
              <w:jc w:val="center"/>
              <w:rPr>
                <w:rFonts w:ascii="Times New Roman" w:hAnsi="Times New Roman" w:cs="Times New Roman"/>
                <w:color w:val="FF0000"/>
                <w:sz w:val="20"/>
                <w:szCs w:val="20"/>
                <w:lang w:val="en-US"/>
              </w:rPr>
            </w:pPr>
            <w:r w:rsidRPr="00176F38">
              <w:rPr>
                <w:rFonts w:ascii="Times New Roman" w:hAnsi="Times New Roman" w:cs="Times New Roman"/>
                <w:color w:val="000000" w:themeColor="text1"/>
                <w:sz w:val="20"/>
                <w:szCs w:val="20"/>
                <w:lang w:val="en-US"/>
              </w:rPr>
              <w:t>16.4 [10.5; 27.2]</w:t>
            </w:r>
          </w:p>
        </w:tc>
        <w:tc>
          <w:tcPr>
            <w:tcW w:w="1560" w:type="dxa"/>
            <w:shd w:val="clear" w:color="auto" w:fill="FFFFFF" w:themeFill="background1"/>
            <w:vAlign w:val="center"/>
          </w:tcPr>
          <w:p w14:paraId="61B44D7F" w14:textId="2C162A74" w:rsidR="002C5ED6" w:rsidRPr="00176F38" w:rsidRDefault="002C5ED6" w:rsidP="002C5ED6">
            <w:pPr>
              <w:jc w:val="center"/>
              <w:rPr>
                <w:rFonts w:ascii="Times New Roman" w:hAnsi="Times New Roman" w:cs="Times New Roman"/>
                <w:color w:val="000000" w:themeColor="text1"/>
                <w:sz w:val="20"/>
                <w:szCs w:val="20"/>
                <w:lang w:val="en-US"/>
              </w:rPr>
            </w:pPr>
            <w:r w:rsidRPr="00176F38">
              <w:rPr>
                <w:rFonts w:ascii="Times New Roman" w:hAnsi="Times New Roman" w:cs="Times New Roman"/>
                <w:color w:val="000000" w:themeColor="text1"/>
                <w:sz w:val="20"/>
                <w:szCs w:val="20"/>
                <w:lang w:val="en-US"/>
              </w:rPr>
              <w:t>16.1 [9.8; 27.4]</w:t>
            </w:r>
          </w:p>
        </w:tc>
        <w:tc>
          <w:tcPr>
            <w:tcW w:w="1559" w:type="dxa"/>
            <w:tcBorders>
              <w:right w:val="single" w:sz="4" w:space="0" w:color="auto"/>
            </w:tcBorders>
            <w:shd w:val="clear" w:color="auto" w:fill="FFFFFF" w:themeFill="background1"/>
            <w:vAlign w:val="center"/>
          </w:tcPr>
          <w:p w14:paraId="5D0DF80C" w14:textId="43EC190B" w:rsidR="002C5ED6" w:rsidRPr="00176F38" w:rsidRDefault="002C5ED6" w:rsidP="002C5ED6">
            <w:pPr>
              <w:jc w:val="center"/>
              <w:rPr>
                <w:rFonts w:ascii="Times New Roman" w:hAnsi="Times New Roman" w:cs="Times New Roman"/>
                <w:color w:val="000000" w:themeColor="text1"/>
                <w:sz w:val="20"/>
                <w:szCs w:val="20"/>
                <w:lang w:val="en-US"/>
              </w:rPr>
            </w:pPr>
            <w:r w:rsidRPr="00176F38">
              <w:rPr>
                <w:rFonts w:ascii="Times New Roman" w:hAnsi="Times New Roman" w:cs="Times New Roman"/>
                <w:color w:val="000000" w:themeColor="text1"/>
                <w:sz w:val="20"/>
                <w:szCs w:val="20"/>
                <w:lang w:val="en-US"/>
              </w:rPr>
              <w:t>17.4 [11.1; 27.3]</w:t>
            </w:r>
          </w:p>
        </w:tc>
        <w:tc>
          <w:tcPr>
            <w:tcW w:w="992" w:type="dxa"/>
            <w:tcBorders>
              <w:left w:val="single" w:sz="4" w:space="0" w:color="auto"/>
              <w:right w:val="single" w:sz="4" w:space="0" w:color="auto"/>
            </w:tcBorders>
            <w:shd w:val="clear" w:color="auto" w:fill="FFFFFF" w:themeFill="background1"/>
            <w:vAlign w:val="center"/>
          </w:tcPr>
          <w:p w14:paraId="7BF1C84F" w14:textId="778A78CE" w:rsidR="002C5ED6" w:rsidRPr="003B54F7" w:rsidRDefault="002C5ED6" w:rsidP="002C5ED6">
            <w:pPr>
              <w:jc w:val="center"/>
              <w:rPr>
                <w:rFonts w:ascii="Times New Roman" w:hAnsi="Times New Roman" w:cs="Times New Roman"/>
                <w:color w:val="FF0000"/>
                <w:sz w:val="20"/>
                <w:szCs w:val="20"/>
                <w:lang w:val="en-US"/>
              </w:rPr>
            </w:pPr>
            <w:r w:rsidRPr="003B54F7">
              <w:rPr>
                <w:rFonts w:ascii="Times New Roman" w:hAnsi="Times New Roman" w:cs="Times New Roman"/>
                <w:color w:val="000000" w:themeColor="text1"/>
                <w:sz w:val="20"/>
                <w:szCs w:val="20"/>
                <w:lang w:val="en-US"/>
              </w:rPr>
              <w:t>0.461</w:t>
            </w:r>
          </w:p>
        </w:tc>
      </w:tr>
      <w:tr w:rsidR="002C5ED6" w:rsidRPr="003B54F7" w14:paraId="7A5B595B" w14:textId="77777777" w:rsidTr="002C5ED6">
        <w:trPr>
          <w:trHeight w:val="431"/>
        </w:trPr>
        <w:tc>
          <w:tcPr>
            <w:tcW w:w="4282" w:type="dxa"/>
            <w:tcBorders>
              <w:left w:val="single" w:sz="4" w:space="0" w:color="auto"/>
              <w:right w:val="single" w:sz="4" w:space="0" w:color="auto"/>
            </w:tcBorders>
            <w:shd w:val="clear" w:color="auto" w:fill="F2F2F2" w:themeFill="background1" w:themeFillShade="F2"/>
            <w:vAlign w:val="center"/>
          </w:tcPr>
          <w:p w14:paraId="03C7F5D8" w14:textId="147AA847" w:rsidR="002C5ED6" w:rsidRPr="003B54F7" w:rsidRDefault="002C5ED6" w:rsidP="002C5ED6">
            <w:pPr>
              <w:rPr>
                <w:rFonts w:ascii="Times New Roman" w:hAnsi="Times New Roman" w:cs="Times New Roman"/>
                <w:color w:val="000000" w:themeColor="text1"/>
                <w:sz w:val="20"/>
                <w:szCs w:val="20"/>
                <w:lang w:val="en-US"/>
              </w:rPr>
            </w:pPr>
            <w:r w:rsidRPr="003A38C6">
              <w:rPr>
                <w:color w:val="000000" w:themeColor="text1"/>
                <w:sz w:val="20"/>
                <w:szCs w:val="20"/>
                <w:lang w:val="en-US"/>
              </w:rPr>
              <w:t>Microalbuminuria</w:t>
            </w:r>
            <w:r>
              <w:rPr>
                <w:color w:val="000000" w:themeColor="text1"/>
                <w:sz w:val="20"/>
                <w:szCs w:val="20"/>
                <w:lang w:val="en-US"/>
              </w:rPr>
              <w:t>, n (%)</w:t>
            </w:r>
          </w:p>
        </w:tc>
        <w:tc>
          <w:tcPr>
            <w:tcW w:w="1559" w:type="dxa"/>
            <w:tcBorders>
              <w:left w:val="single" w:sz="4" w:space="0" w:color="auto"/>
            </w:tcBorders>
            <w:shd w:val="clear" w:color="auto" w:fill="F2F2F2" w:themeFill="background1" w:themeFillShade="F2"/>
            <w:vAlign w:val="center"/>
          </w:tcPr>
          <w:p w14:paraId="292F180B" w14:textId="46B905F1" w:rsidR="002C5ED6" w:rsidRPr="00176F38" w:rsidRDefault="001B4FBE" w:rsidP="002C5ED6">
            <w:pPr>
              <w:jc w:val="center"/>
              <w:rPr>
                <w:rFonts w:ascii="Times New Roman" w:hAnsi="Times New Roman" w:cs="Times New Roman"/>
                <w:color w:val="000000" w:themeColor="text1"/>
                <w:sz w:val="20"/>
                <w:szCs w:val="20"/>
                <w:lang w:val="en-US"/>
              </w:rPr>
            </w:pPr>
            <w:r w:rsidRPr="00176F38">
              <w:rPr>
                <w:rFonts w:ascii="Times New Roman" w:hAnsi="Times New Roman" w:cs="Times New Roman"/>
                <w:color w:val="000000" w:themeColor="text1"/>
                <w:sz w:val="20"/>
                <w:szCs w:val="20"/>
                <w:lang w:val="en-US"/>
              </w:rPr>
              <w:t>66</w:t>
            </w:r>
            <w:r w:rsidR="002C5ED6" w:rsidRPr="00176F38">
              <w:rPr>
                <w:rFonts w:ascii="Times New Roman" w:hAnsi="Times New Roman" w:cs="Times New Roman"/>
                <w:color w:val="000000" w:themeColor="text1"/>
                <w:sz w:val="20"/>
                <w:szCs w:val="20"/>
                <w:lang w:val="en-US"/>
              </w:rPr>
              <w:t xml:space="preserve"> (</w:t>
            </w:r>
            <w:r w:rsidRPr="00176F38">
              <w:rPr>
                <w:rFonts w:ascii="Times New Roman" w:hAnsi="Times New Roman" w:cs="Times New Roman"/>
                <w:color w:val="000000" w:themeColor="text1"/>
                <w:sz w:val="20"/>
                <w:szCs w:val="20"/>
                <w:lang w:val="en-US"/>
              </w:rPr>
              <w:t>30</w:t>
            </w:r>
            <w:r w:rsidR="002C5ED6" w:rsidRPr="00176F38">
              <w:rPr>
                <w:rFonts w:ascii="Times New Roman" w:hAnsi="Times New Roman" w:cs="Times New Roman"/>
                <w:color w:val="000000" w:themeColor="text1"/>
                <w:sz w:val="20"/>
                <w:szCs w:val="20"/>
                <w:lang w:val="en-US"/>
              </w:rPr>
              <w:t>.</w:t>
            </w:r>
            <w:r w:rsidRPr="00176F38">
              <w:rPr>
                <w:rFonts w:ascii="Times New Roman" w:hAnsi="Times New Roman" w:cs="Times New Roman"/>
                <w:color w:val="000000" w:themeColor="text1"/>
                <w:sz w:val="20"/>
                <w:szCs w:val="20"/>
                <w:lang w:val="en-US"/>
              </w:rPr>
              <w:t>7</w:t>
            </w:r>
            <w:r w:rsidR="002C5ED6" w:rsidRPr="00176F38">
              <w:rPr>
                <w:rFonts w:ascii="Times New Roman" w:hAnsi="Times New Roman" w:cs="Times New Roman"/>
                <w:color w:val="000000" w:themeColor="text1"/>
                <w:sz w:val="20"/>
                <w:szCs w:val="20"/>
                <w:lang w:val="en-US"/>
              </w:rPr>
              <w:t>)</w:t>
            </w:r>
          </w:p>
        </w:tc>
        <w:tc>
          <w:tcPr>
            <w:tcW w:w="1560" w:type="dxa"/>
            <w:shd w:val="clear" w:color="auto" w:fill="F2F2F2" w:themeFill="background1" w:themeFillShade="F2"/>
            <w:vAlign w:val="center"/>
          </w:tcPr>
          <w:p w14:paraId="0EBA16CC" w14:textId="379BAAC2" w:rsidR="002C5ED6" w:rsidRPr="00176F38" w:rsidRDefault="001B4FBE" w:rsidP="002C5ED6">
            <w:pPr>
              <w:jc w:val="center"/>
              <w:rPr>
                <w:rFonts w:ascii="Times New Roman" w:hAnsi="Times New Roman" w:cs="Times New Roman"/>
                <w:color w:val="000000" w:themeColor="text1"/>
                <w:sz w:val="20"/>
                <w:szCs w:val="20"/>
                <w:lang w:val="en-US"/>
              </w:rPr>
            </w:pPr>
            <w:r w:rsidRPr="00176F38">
              <w:rPr>
                <w:rFonts w:ascii="Times New Roman" w:hAnsi="Times New Roman" w:cs="Times New Roman"/>
                <w:color w:val="000000" w:themeColor="text1"/>
                <w:sz w:val="20"/>
                <w:szCs w:val="20"/>
                <w:lang w:val="en-US"/>
              </w:rPr>
              <w:t>40</w:t>
            </w:r>
            <w:r w:rsidR="002C5ED6" w:rsidRPr="00176F38">
              <w:rPr>
                <w:rFonts w:ascii="Times New Roman" w:hAnsi="Times New Roman" w:cs="Times New Roman"/>
                <w:color w:val="000000" w:themeColor="text1"/>
                <w:sz w:val="20"/>
                <w:szCs w:val="20"/>
                <w:lang w:val="en-US"/>
              </w:rPr>
              <w:t xml:space="preserve"> (</w:t>
            </w:r>
            <w:r w:rsidRPr="00176F38">
              <w:rPr>
                <w:rFonts w:ascii="Times New Roman" w:hAnsi="Times New Roman" w:cs="Times New Roman"/>
                <w:color w:val="000000" w:themeColor="text1"/>
                <w:sz w:val="20"/>
                <w:szCs w:val="20"/>
                <w:lang w:val="en-US"/>
              </w:rPr>
              <w:t>26</w:t>
            </w:r>
            <w:r w:rsidR="002C5ED6" w:rsidRPr="00176F38">
              <w:rPr>
                <w:rFonts w:ascii="Times New Roman" w:hAnsi="Times New Roman" w:cs="Times New Roman"/>
                <w:color w:val="000000" w:themeColor="text1"/>
                <w:sz w:val="20"/>
                <w:szCs w:val="20"/>
                <w:lang w:val="en-US"/>
              </w:rPr>
              <w:t>.5)</w:t>
            </w:r>
          </w:p>
        </w:tc>
        <w:tc>
          <w:tcPr>
            <w:tcW w:w="1559" w:type="dxa"/>
            <w:tcBorders>
              <w:right w:val="single" w:sz="4" w:space="0" w:color="auto"/>
            </w:tcBorders>
            <w:shd w:val="clear" w:color="auto" w:fill="F2F2F2" w:themeFill="background1" w:themeFillShade="F2"/>
            <w:vAlign w:val="center"/>
          </w:tcPr>
          <w:p w14:paraId="14093773" w14:textId="777D440C" w:rsidR="002C5ED6" w:rsidRPr="00176F38" w:rsidRDefault="002C5ED6" w:rsidP="002C5ED6">
            <w:pPr>
              <w:jc w:val="center"/>
              <w:rPr>
                <w:rFonts w:ascii="Times New Roman" w:hAnsi="Times New Roman" w:cs="Times New Roman"/>
                <w:color w:val="000000" w:themeColor="text1"/>
                <w:sz w:val="20"/>
                <w:szCs w:val="20"/>
                <w:lang w:val="en-US"/>
              </w:rPr>
            </w:pPr>
            <w:r w:rsidRPr="00176F38">
              <w:rPr>
                <w:rFonts w:ascii="Times New Roman" w:hAnsi="Times New Roman" w:cs="Times New Roman"/>
                <w:color w:val="000000" w:themeColor="text1"/>
                <w:sz w:val="20"/>
                <w:szCs w:val="20"/>
                <w:lang w:val="en-US"/>
              </w:rPr>
              <w:t>2</w:t>
            </w:r>
            <w:r w:rsidR="00F23159" w:rsidRPr="00176F38">
              <w:rPr>
                <w:rFonts w:ascii="Times New Roman" w:hAnsi="Times New Roman" w:cs="Times New Roman"/>
                <w:color w:val="000000" w:themeColor="text1"/>
                <w:sz w:val="20"/>
                <w:szCs w:val="20"/>
                <w:lang w:val="en-US"/>
              </w:rPr>
              <w:t>6</w:t>
            </w:r>
            <w:r w:rsidRPr="00176F38">
              <w:rPr>
                <w:rFonts w:ascii="Times New Roman" w:hAnsi="Times New Roman" w:cs="Times New Roman"/>
                <w:color w:val="000000" w:themeColor="text1"/>
                <w:sz w:val="20"/>
                <w:szCs w:val="20"/>
                <w:lang w:val="en-US"/>
              </w:rPr>
              <w:t xml:space="preserve"> (</w:t>
            </w:r>
            <w:r w:rsidR="00F23159" w:rsidRPr="00176F38">
              <w:rPr>
                <w:rFonts w:ascii="Times New Roman" w:hAnsi="Times New Roman" w:cs="Times New Roman"/>
                <w:color w:val="000000" w:themeColor="text1"/>
                <w:sz w:val="20"/>
                <w:szCs w:val="20"/>
                <w:lang w:val="en-US"/>
              </w:rPr>
              <w:t>40</w:t>
            </w:r>
            <w:r w:rsidRPr="00176F38">
              <w:rPr>
                <w:rFonts w:ascii="Times New Roman" w:hAnsi="Times New Roman" w:cs="Times New Roman"/>
                <w:color w:val="000000" w:themeColor="text1"/>
                <w:sz w:val="20"/>
                <w:szCs w:val="20"/>
                <w:lang w:val="en-US"/>
              </w:rPr>
              <w:t>.5)</w:t>
            </w:r>
          </w:p>
        </w:tc>
        <w:tc>
          <w:tcPr>
            <w:tcW w:w="992" w:type="dxa"/>
            <w:tcBorders>
              <w:left w:val="single" w:sz="4" w:space="0" w:color="auto"/>
              <w:right w:val="single" w:sz="4" w:space="0" w:color="auto"/>
            </w:tcBorders>
            <w:shd w:val="clear" w:color="auto" w:fill="F2F2F2" w:themeFill="background1" w:themeFillShade="F2"/>
            <w:vAlign w:val="center"/>
          </w:tcPr>
          <w:p w14:paraId="40A0F81D"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0.101</w:t>
            </w:r>
          </w:p>
        </w:tc>
      </w:tr>
      <w:tr w:rsidR="002C5ED6" w:rsidRPr="003B54F7" w14:paraId="42B2EF9B" w14:textId="77777777" w:rsidTr="002C5ED6">
        <w:trPr>
          <w:trHeight w:val="409"/>
        </w:trPr>
        <w:tc>
          <w:tcPr>
            <w:tcW w:w="4282" w:type="dxa"/>
            <w:tcBorders>
              <w:left w:val="single" w:sz="4" w:space="0" w:color="auto"/>
              <w:right w:val="single" w:sz="4" w:space="0" w:color="auto"/>
            </w:tcBorders>
            <w:shd w:val="clear" w:color="auto" w:fill="FFFFFF" w:themeFill="background1"/>
            <w:vAlign w:val="center"/>
          </w:tcPr>
          <w:p w14:paraId="520D8C88" w14:textId="67020702" w:rsidR="002C5ED6" w:rsidRPr="003B54F7" w:rsidRDefault="002C5ED6" w:rsidP="002C5ED6">
            <w:pPr>
              <w:rPr>
                <w:rFonts w:ascii="Times New Roman" w:hAnsi="Times New Roman" w:cs="Times New Roman"/>
                <w:color w:val="000000" w:themeColor="text1"/>
                <w:sz w:val="20"/>
                <w:szCs w:val="20"/>
                <w:lang w:val="en-US"/>
              </w:rPr>
            </w:pPr>
            <w:r w:rsidRPr="003A38C6">
              <w:rPr>
                <w:color w:val="000000" w:themeColor="text1"/>
                <w:sz w:val="20"/>
                <w:szCs w:val="20"/>
                <w:lang w:val="en-US"/>
              </w:rPr>
              <w:t>LVH at Echo</w:t>
            </w:r>
            <w:r>
              <w:rPr>
                <w:color w:val="000000" w:themeColor="text1"/>
                <w:sz w:val="20"/>
                <w:szCs w:val="20"/>
                <w:lang w:val="en-US"/>
              </w:rPr>
              <w:t>, n (%)</w:t>
            </w:r>
          </w:p>
        </w:tc>
        <w:tc>
          <w:tcPr>
            <w:tcW w:w="1559" w:type="dxa"/>
            <w:tcBorders>
              <w:left w:val="single" w:sz="4" w:space="0" w:color="auto"/>
            </w:tcBorders>
            <w:shd w:val="clear" w:color="auto" w:fill="FFFFFF" w:themeFill="background1"/>
            <w:vAlign w:val="center"/>
          </w:tcPr>
          <w:p w14:paraId="6CD517C4" w14:textId="1C70BD10" w:rsidR="002C5ED6" w:rsidRPr="00176F38" w:rsidRDefault="001B4FBE" w:rsidP="001B4FBE">
            <w:pPr>
              <w:jc w:val="center"/>
              <w:rPr>
                <w:rFonts w:ascii="Times New Roman" w:hAnsi="Times New Roman" w:cs="Times New Roman"/>
                <w:color w:val="000000" w:themeColor="text1"/>
                <w:sz w:val="20"/>
                <w:szCs w:val="20"/>
                <w:lang w:val="en-US"/>
              </w:rPr>
            </w:pPr>
            <w:r w:rsidRPr="00176F38">
              <w:rPr>
                <w:rFonts w:ascii="Times New Roman" w:hAnsi="Times New Roman" w:cs="Times New Roman"/>
                <w:color w:val="000000" w:themeColor="text1"/>
                <w:sz w:val="20"/>
                <w:szCs w:val="20"/>
                <w:lang w:val="en-US"/>
              </w:rPr>
              <w:t>129</w:t>
            </w:r>
            <w:r w:rsidR="002C5ED6" w:rsidRPr="00176F38">
              <w:rPr>
                <w:rFonts w:ascii="Times New Roman" w:hAnsi="Times New Roman" w:cs="Times New Roman"/>
                <w:color w:val="000000" w:themeColor="text1"/>
                <w:sz w:val="20"/>
                <w:szCs w:val="20"/>
                <w:lang w:val="en-US"/>
              </w:rPr>
              <w:t xml:space="preserve"> (</w:t>
            </w:r>
            <w:r w:rsidRPr="00176F38">
              <w:rPr>
                <w:rFonts w:ascii="Times New Roman" w:hAnsi="Times New Roman" w:cs="Times New Roman"/>
                <w:color w:val="000000" w:themeColor="text1"/>
                <w:sz w:val="20"/>
                <w:szCs w:val="20"/>
                <w:lang w:val="en-US"/>
              </w:rPr>
              <w:t>60</w:t>
            </w:r>
            <w:r w:rsidR="002C5ED6" w:rsidRPr="00176F38">
              <w:rPr>
                <w:rFonts w:ascii="Times New Roman" w:hAnsi="Times New Roman" w:cs="Times New Roman"/>
                <w:color w:val="000000" w:themeColor="text1"/>
                <w:sz w:val="20"/>
                <w:szCs w:val="20"/>
                <w:lang w:val="en-US"/>
              </w:rPr>
              <w:t>.</w:t>
            </w:r>
            <w:r w:rsidRPr="00176F38">
              <w:rPr>
                <w:rFonts w:ascii="Times New Roman" w:hAnsi="Times New Roman" w:cs="Times New Roman"/>
                <w:color w:val="000000" w:themeColor="text1"/>
                <w:sz w:val="20"/>
                <w:szCs w:val="20"/>
                <w:lang w:val="en-US"/>
              </w:rPr>
              <w:t>1</w:t>
            </w:r>
            <w:r w:rsidR="002C5ED6" w:rsidRPr="00176F38">
              <w:rPr>
                <w:rFonts w:ascii="Times New Roman" w:hAnsi="Times New Roman" w:cs="Times New Roman"/>
                <w:color w:val="000000" w:themeColor="text1"/>
                <w:sz w:val="20"/>
                <w:szCs w:val="20"/>
                <w:lang w:val="en-US"/>
              </w:rPr>
              <w:t>)</w:t>
            </w:r>
          </w:p>
        </w:tc>
        <w:tc>
          <w:tcPr>
            <w:tcW w:w="1560" w:type="dxa"/>
            <w:shd w:val="clear" w:color="auto" w:fill="FFFFFF" w:themeFill="background1"/>
            <w:vAlign w:val="center"/>
          </w:tcPr>
          <w:p w14:paraId="45FDBCA7" w14:textId="3619609A" w:rsidR="002C5ED6" w:rsidRPr="00176F38" w:rsidRDefault="001B4FBE" w:rsidP="002C5ED6">
            <w:pPr>
              <w:jc w:val="center"/>
              <w:rPr>
                <w:rFonts w:ascii="Times New Roman" w:hAnsi="Times New Roman" w:cs="Times New Roman"/>
                <w:color w:val="000000" w:themeColor="text1"/>
                <w:sz w:val="20"/>
                <w:szCs w:val="20"/>
                <w:lang w:val="en-US"/>
              </w:rPr>
            </w:pPr>
            <w:r w:rsidRPr="00176F38">
              <w:rPr>
                <w:rFonts w:ascii="Times New Roman" w:hAnsi="Times New Roman" w:cs="Times New Roman"/>
                <w:color w:val="000000" w:themeColor="text1"/>
                <w:sz w:val="20"/>
                <w:szCs w:val="20"/>
                <w:lang w:val="en-US"/>
              </w:rPr>
              <w:t>88</w:t>
            </w:r>
            <w:r w:rsidR="002C5ED6" w:rsidRPr="00176F38">
              <w:rPr>
                <w:rFonts w:ascii="Times New Roman" w:hAnsi="Times New Roman" w:cs="Times New Roman"/>
                <w:color w:val="000000" w:themeColor="text1"/>
                <w:sz w:val="20"/>
                <w:szCs w:val="20"/>
                <w:lang w:val="en-US"/>
              </w:rPr>
              <w:t xml:space="preserve"> (</w:t>
            </w:r>
            <w:r w:rsidRPr="00176F38">
              <w:rPr>
                <w:rFonts w:ascii="Times New Roman" w:hAnsi="Times New Roman" w:cs="Times New Roman"/>
                <w:color w:val="000000" w:themeColor="text1"/>
                <w:sz w:val="20"/>
                <w:szCs w:val="20"/>
                <w:lang w:val="en-US"/>
              </w:rPr>
              <w:t>58</w:t>
            </w:r>
            <w:r w:rsidR="002C5ED6" w:rsidRPr="00176F38">
              <w:rPr>
                <w:rFonts w:ascii="Times New Roman" w:hAnsi="Times New Roman" w:cs="Times New Roman"/>
                <w:color w:val="000000" w:themeColor="text1"/>
                <w:sz w:val="20"/>
                <w:szCs w:val="20"/>
                <w:lang w:val="en-US"/>
              </w:rPr>
              <w:t>.</w:t>
            </w:r>
            <w:r w:rsidRPr="00176F38">
              <w:rPr>
                <w:rFonts w:ascii="Times New Roman" w:hAnsi="Times New Roman" w:cs="Times New Roman"/>
                <w:color w:val="000000" w:themeColor="text1"/>
                <w:sz w:val="20"/>
                <w:szCs w:val="20"/>
                <w:lang w:val="en-US"/>
              </w:rPr>
              <w:t>7</w:t>
            </w:r>
            <w:r w:rsidR="002C5ED6" w:rsidRPr="00176F38">
              <w:rPr>
                <w:rFonts w:ascii="Times New Roman" w:hAnsi="Times New Roman" w:cs="Times New Roman"/>
                <w:color w:val="000000" w:themeColor="text1"/>
                <w:sz w:val="20"/>
                <w:szCs w:val="20"/>
                <w:lang w:val="en-US"/>
              </w:rPr>
              <w:t>)</w:t>
            </w:r>
          </w:p>
        </w:tc>
        <w:tc>
          <w:tcPr>
            <w:tcW w:w="1559" w:type="dxa"/>
            <w:tcBorders>
              <w:right w:val="single" w:sz="4" w:space="0" w:color="auto"/>
            </w:tcBorders>
            <w:shd w:val="clear" w:color="auto" w:fill="FFFFFF" w:themeFill="background1"/>
            <w:vAlign w:val="center"/>
          </w:tcPr>
          <w:p w14:paraId="323B35A6" w14:textId="56C5D71D" w:rsidR="002C5ED6" w:rsidRPr="00176F38" w:rsidRDefault="00F23159" w:rsidP="002C5ED6">
            <w:pPr>
              <w:jc w:val="center"/>
              <w:rPr>
                <w:rFonts w:ascii="Times New Roman" w:hAnsi="Times New Roman" w:cs="Times New Roman"/>
                <w:color w:val="000000" w:themeColor="text1"/>
                <w:sz w:val="20"/>
                <w:szCs w:val="20"/>
                <w:lang w:val="en-US"/>
              </w:rPr>
            </w:pPr>
            <w:r w:rsidRPr="00176F38">
              <w:rPr>
                <w:rFonts w:ascii="Times New Roman" w:hAnsi="Times New Roman" w:cs="Times New Roman"/>
                <w:color w:val="000000" w:themeColor="text1"/>
                <w:sz w:val="20"/>
                <w:szCs w:val="20"/>
                <w:lang w:val="en-US"/>
              </w:rPr>
              <w:t>41</w:t>
            </w:r>
            <w:r w:rsidR="002C5ED6" w:rsidRPr="00176F38">
              <w:rPr>
                <w:rFonts w:ascii="Times New Roman" w:hAnsi="Times New Roman" w:cs="Times New Roman"/>
                <w:color w:val="000000" w:themeColor="text1"/>
                <w:sz w:val="20"/>
                <w:szCs w:val="20"/>
                <w:lang w:val="en-US"/>
              </w:rPr>
              <w:t xml:space="preserve"> (</w:t>
            </w:r>
            <w:r w:rsidRPr="00176F38">
              <w:rPr>
                <w:rFonts w:ascii="Times New Roman" w:hAnsi="Times New Roman" w:cs="Times New Roman"/>
                <w:color w:val="000000" w:themeColor="text1"/>
                <w:sz w:val="20"/>
                <w:szCs w:val="20"/>
                <w:lang w:val="en-US"/>
              </w:rPr>
              <w:t>63</w:t>
            </w:r>
            <w:r w:rsidR="002C5ED6" w:rsidRPr="00176F38">
              <w:rPr>
                <w:rFonts w:ascii="Times New Roman" w:hAnsi="Times New Roman" w:cs="Times New Roman"/>
                <w:color w:val="000000" w:themeColor="text1"/>
                <w:sz w:val="20"/>
                <w:szCs w:val="20"/>
                <w:lang w:val="en-US"/>
              </w:rPr>
              <w:t>.5)</w:t>
            </w:r>
          </w:p>
        </w:tc>
        <w:tc>
          <w:tcPr>
            <w:tcW w:w="992" w:type="dxa"/>
            <w:tcBorders>
              <w:left w:val="single" w:sz="4" w:space="0" w:color="auto"/>
              <w:right w:val="single" w:sz="4" w:space="0" w:color="auto"/>
            </w:tcBorders>
            <w:shd w:val="clear" w:color="auto" w:fill="FFFFFF" w:themeFill="background1"/>
            <w:vAlign w:val="center"/>
          </w:tcPr>
          <w:p w14:paraId="2485F91F"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0.558</w:t>
            </w:r>
          </w:p>
        </w:tc>
      </w:tr>
      <w:tr w:rsidR="002C5ED6" w:rsidRPr="003B54F7" w14:paraId="2B45B227" w14:textId="77777777" w:rsidTr="002C5ED6">
        <w:trPr>
          <w:trHeight w:val="401"/>
        </w:trPr>
        <w:tc>
          <w:tcPr>
            <w:tcW w:w="4282" w:type="dxa"/>
            <w:tcBorders>
              <w:left w:val="single" w:sz="4" w:space="0" w:color="auto"/>
              <w:right w:val="single" w:sz="4" w:space="0" w:color="auto"/>
            </w:tcBorders>
            <w:shd w:val="clear" w:color="auto" w:fill="F2F2F2" w:themeFill="background1" w:themeFillShade="F2"/>
            <w:vAlign w:val="center"/>
          </w:tcPr>
          <w:p w14:paraId="1B7295DA" w14:textId="7E12F988" w:rsidR="002C5ED6" w:rsidRPr="003B54F7" w:rsidRDefault="002C5ED6" w:rsidP="002C5ED6">
            <w:pPr>
              <w:rPr>
                <w:rFonts w:ascii="Times New Roman" w:hAnsi="Times New Roman" w:cs="Times New Roman"/>
                <w:color w:val="000000" w:themeColor="text1"/>
                <w:sz w:val="20"/>
                <w:szCs w:val="20"/>
                <w:lang w:val="en-US"/>
              </w:rPr>
            </w:pPr>
            <w:r w:rsidRPr="003A38C6">
              <w:rPr>
                <w:color w:val="000000" w:themeColor="text1"/>
                <w:sz w:val="20"/>
                <w:szCs w:val="20"/>
                <w:lang w:val="en-US"/>
              </w:rPr>
              <w:t>CV events</w:t>
            </w:r>
            <w:r>
              <w:rPr>
                <w:color w:val="000000" w:themeColor="text1"/>
                <w:sz w:val="20"/>
                <w:szCs w:val="20"/>
                <w:lang w:val="en-US"/>
              </w:rPr>
              <w:t>, n (%)</w:t>
            </w:r>
          </w:p>
        </w:tc>
        <w:tc>
          <w:tcPr>
            <w:tcW w:w="1559" w:type="dxa"/>
            <w:tcBorders>
              <w:left w:val="single" w:sz="4" w:space="0" w:color="auto"/>
            </w:tcBorders>
            <w:shd w:val="clear" w:color="auto" w:fill="F2F2F2" w:themeFill="background1" w:themeFillShade="F2"/>
            <w:vAlign w:val="center"/>
          </w:tcPr>
          <w:p w14:paraId="15EB83F2" w14:textId="1749A272" w:rsidR="002C5ED6" w:rsidRPr="00176F38" w:rsidRDefault="001B4FBE" w:rsidP="002C5ED6">
            <w:pPr>
              <w:jc w:val="center"/>
              <w:rPr>
                <w:rFonts w:ascii="Times New Roman" w:hAnsi="Times New Roman" w:cs="Times New Roman"/>
                <w:color w:val="000000" w:themeColor="text1"/>
                <w:sz w:val="20"/>
                <w:szCs w:val="20"/>
                <w:lang w:val="en-US"/>
              </w:rPr>
            </w:pPr>
            <w:r w:rsidRPr="00176F38">
              <w:rPr>
                <w:rFonts w:ascii="Times New Roman" w:hAnsi="Times New Roman" w:cs="Times New Roman"/>
                <w:color w:val="000000" w:themeColor="text1"/>
                <w:sz w:val="20"/>
                <w:szCs w:val="20"/>
                <w:lang w:val="en-US"/>
              </w:rPr>
              <w:t>32</w:t>
            </w:r>
            <w:r w:rsidR="002C5ED6" w:rsidRPr="00176F38">
              <w:rPr>
                <w:rFonts w:ascii="Times New Roman" w:hAnsi="Times New Roman" w:cs="Times New Roman"/>
                <w:color w:val="000000" w:themeColor="text1"/>
                <w:sz w:val="20"/>
                <w:szCs w:val="20"/>
                <w:lang w:val="en-US"/>
              </w:rPr>
              <w:t xml:space="preserve"> (</w:t>
            </w:r>
            <w:r w:rsidRPr="00176F38">
              <w:rPr>
                <w:rFonts w:ascii="Times New Roman" w:hAnsi="Times New Roman" w:cs="Times New Roman"/>
                <w:color w:val="000000" w:themeColor="text1"/>
                <w:sz w:val="20"/>
                <w:szCs w:val="20"/>
                <w:lang w:val="en-US"/>
              </w:rPr>
              <w:t>14.9</w:t>
            </w:r>
            <w:r w:rsidR="002C5ED6" w:rsidRPr="00176F38">
              <w:rPr>
                <w:rFonts w:ascii="Times New Roman" w:hAnsi="Times New Roman" w:cs="Times New Roman"/>
                <w:color w:val="000000" w:themeColor="text1"/>
                <w:sz w:val="20"/>
                <w:szCs w:val="20"/>
                <w:lang w:val="en-US"/>
              </w:rPr>
              <w:t>)</w:t>
            </w:r>
          </w:p>
        </w:tc>
        <w:tc>
          <w:tcPr>
            <w:tcW w:w="1560" w:type="dxa"/>
            <w:shd w:val="clear" w:color="auto" w:fill="F2F2F2" w:themeFill="background1" w:themeFillShade="F2"/>
            <w:vAlign w:val="center"/>
          </w:tcPr>
          <w:p w14:paraId="073193CA" w14:textId="0455AF5E" w:rsidR="002C5ED6" w:rsidRPr="00176F38" w:rsidRDefault="001B4FBE" w:rsidP="002C5ED6">
            <w:pPr>
              <w:jc w:val="center"/>
              <w:rPr>
                <w:rFonts w:ascii="Times New Roman" w:hAnsi="Times New Roman" w:cs="Times New Roman"/>
                <w:color w:val="000000" w:themeColor="text1"/>
                <w:sz w:val="20"/>
                <w:szCs w:val="20"/>
                <w:lang w:val="en-US"/>
              </w:rPr>
            </w:pPr>
            <w:r w:rsidRPr="00176F38">
              <w:rPr>
                <w:rFonts w:ascii="Times New Roman" w:hAnsi="Times New Roman" w:cs="Times New Roman"/>
                <w:color w:val="000000" w:themeColor="text1"/>
                <w:sz w:val="20"/>
                <w:szCs w:val="20"/>
                <w:lang w:val="en-US"/>
              </w:rPr>
              <w:t>23</w:t>
            </w:r>
            <w:r w:rsidR="002C5ED6" w:rsidRPr="00176F38">
              <w:rPr>
                <w:rFonts w:ascii="Times New Roman" w:hAnsi="Times New Roman" w:cs="Times New Roman"/>
                <w:color w:val="000000" w:themeColor="text1"/>
                <w:sz w:val="20"/>
                <w:szCs w:val="20"/>
                <w:lang w:val="en-US"/>
              </w:rPr>
              <w:t xml:space="preserve"> (</w:t>
            </w:r>
            <w:r w:rsidRPr="00176F38">
              <w:rPr>
                <w:rFonts w:ascii="Times New Roman" w:hAnsi="Times New Roman" w:cs="Times New Roman"/>
                <w:color w:val="000000" w:themeColor="text1"/>
                <w:sz w:val="20"/>
                <w:szCs w:val="20"/>
                <w:lang w:val="en-US"/>
              </w:rPr>
              <w:t>15</w:t>
            </w:r>
            <w:r w:rsidR="002C5ED6" w:rsidRPr="00176F38">
              <w:rPr>
                <w:rFonts w:ascii="Times New Roman" w:hAnsi="Times New Roman" w:cs="Times New Roman"/>
                <w:color w:val="000000" w:themeColor="text1"/>
                <w:sz w:val="20"/>
                <w:szCs w:val="20"/>
                <w:lang w:val="en-US"/>
              </w:rPr>
              <w:t>.</w:t>
            </w:r>
            <w:r w:rsidRPr="00176F38">
              <w:rPr>
                <w:rFonts w:ascii="Times New Roman" w:hAnsi="Times New Roman" w:cs="Times New Roman"/>
                <w:color w:val="000000" w:themeColor="text1"/>
                <w:sz w:val="20"/>
                <w:szCs w:val="20"/>
                <w:lang w:val="en-US"/>
              </w:rPr>
              <w:t>3</w:t>
            </w:r>
            <w:r w:rsidR="002C5ED6" w:rsidRPr="00176F38">
              <w:rPr>
                <w:rFonts w:ascii="Times New Roman" w:hAnsi="Times New Roman" w:cs="Times New Roman"/>
                <w:color w:val="000000" w:themeColor="text1"/>
                <w:sz w:val="20"/>
                <w:szCs w:val="20"/>
                <w:lang w:val="en-US"/>
              </w:rPr>
              <w:t>)</w:t>
            </w:r>
          </w:p>
        </w:tc>
        <w:tc>
          <w:tcPr>
            <w:tcW w:w="1559" w:type="dxa"/>
            <w:tcBorders>
              <w:right w:val="single" w:sz="4" w:space="0" w:color="auto"/>
            </w:tcBorders>
            <w:shd w:val="clear" w:color="auto" w:fill="F2F2F2" w:themeFill="background1" w:themeFillShade="F2"/>
            <w:vAlign w:val="center"/>
          </w:tcPr>
          <w:p w14:paraId="13FF5AB1" w14:textId="2EA583EE" w:rsidR="002C5ED6" w:rsidRPr="00176F38" w:rsidRDefault="00F23159" w:rsidP="002C5ED6">
            <w:pPr>
              <w:jc w:val="center"/>
              <w:rPr>
                <w:rFonts w:ascii="Times New Roman" w:hAnsi="Times New Roman" w:cs="Times New Roman"/>
                <w:color w:val="000000" w:themeColor="text1"/>
                <w:sz w:val="20"/>
                <w:szCs w:val="20"/>
                <w:lang w:val="en-US"/>
              </w:rPr>
            </w:pPr>
            <w:r w:rsidRPr="00176F38">
              <w:rPr>
                <w:rFonts w:ascii="Times New Roman" w:hAnsi="Times New Roman" w:cs="Times New Roman"/>
                <w:color w:val="000000" w:themeColor="text1"/>
                <w:sz w:val="20"/>
                <w:szCs w:val="20"/>
                <w:lang w:val="en-US"/>
              </w:rPr>
              <w:t>9</w:t>
            </w:r>
            <w:r w:rsidR="002C5ED6" w:rsidRPr="00176F38">
              <w:rPr>
                <w:rFonts w:ascii="Times New Roman" w:hAnsi="Times New Roman" w:cs="Times New Roman"/>
                <w:color w:val="000000" w:themeColor="text1"/>
                <w:sz w:val="20"/>
                <w:szCs w:val="20"/>
                <w:lang w:val="en-US"/>
              </w:rPr>
              <w:t xml:space="preserve"> (</w:t>
            </w:r>
            <w:r w:rsidRPr="00176F38">
              <w:rPr>
                <w:rFonts w:ascii="Times New Roman" w:hAnsi="Times New Roman" w:cs="Times New Roman"/>
                <w:color w:val="000000" w:themeColor="text1"/>
                <w:sz w:val="20"/>
                <w:szCs w:val="20"/>
                <w:lang w:val="en-US"/>
              </w:rPr>
              <w:t>13</w:t>
            </w:r>
            <w:r w:rsidR="002C5ED6" w:rsidRPr="00176F38">
              <w:rPr>
                <w:rFonts w:ascii="Times New Roman" w:hAnsi="Times New Roman" w:cs="Times New Roman"/>
                <w:color w:val="000000" w:themeColor="text1"/>
                <w:sz w:val="20"/>
                <w:szCs w:val="20"/>
                <w:lang w:val="en-US"/>
              </w:rPr>
              <w:t>.</w:t>
            </w:r>
            <w:r w:rsidRPr="00176F38">
              <w:rPr>
                <w:rFonts w:ascii="Times New Roman" w:hAnsi="Times New Roman" w:cs="Times New Roman"/>
                <w:color w:val="000000" w:themeColor="text1"/>
                <w:sz w:val="20"/>
                <w:szCs w:val="20"/>
                <w:lang w:val="en-US"/>
              </w:rPr>
              <w:t>7</w:t>
            </w:r>
            <w:r w:rsidR="002C5ED6" w:rsidRPr="00176F38">
              <w:rPr>
                <w:rFonts w:ascii="Times New Roman" w:hAnsi="Times New Roman" w:cs="Times New Roman"/>
                <w:color w:val="000000" w:themeColor="text1"/>
                <w:sz w:val="20"/>
                <w:szCs w:val="20"/>
                <w:lang w:val="en-US"/>
              </w:rPr>
              <w:t>)</w:t>
            </w:r>
          </w:p>
        </w:tc>
        <w:tc>
          <w:tcPr>
            <w:tcW w:w="992" w:type="dxa"/>
            <w:tcBorders>
              <w:left w:val="single" w:sz="4" w:space="0" w:color="auto"/>
              <w:right w:val="single" w:sz="4" w:space="0" w:color="auto"/>
            </w:tcBorders>
            <w:shd w:val="clear" w:color="auto" w:fill="F2F2F2" w:themeFill="background1" w:themeFillShade="F2"/>
            <w:vAlign w:val="center"/>
          </w:tcPr>
          <w:p w14:paraId="4646F584"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0.787</w:t>
            </w:r>
          </w:p>
        </w:tc>
      </w:tr>
      <w:tr w:rsidR="002C5ED6" w:rsidRPr="003B54F7" w14:paraId="4F43077F" w14:textId="77777777" w:rsidTr="002C5ED6">
        <w:trPr>
          <w:trHeight w:val="421"/>
        </w:trPr>
        <w:tc>
          <w:tcPr>
            <w:tcW w:w="4282" w:type="dxa"/>
            <w:tcBorders>
              <w:left w:val="single" w:sz="4" w:space="0" w:color="auto"/>
              <w:right w:val="single" w:sz="4" w:space="0" w:color="auto"/>
            </w:tcBorders>
            <w:shd w:val="clear" w:color="auto" w:fill="FFFFFF" w:themeFill="background1"/>
            <w:vAlign w:val="center"/>
          </w:tcPr>
          <w:p w14:paraId="2BD05CE8" w14:textId="2DE10D64" w:rsidR="002C5ED6" w:rsidRPr="003B54F7" w:rsidRDefault="002C5ED6" w:rsidP="002C5ED6">
            <w:pPr>
              <w:rPr>
                <w:rFonts w:ascii="Times New Roman" w:hAnsi="Times New Roman" w:cs="Times New Roman"/>
                <w:color w:val="000000" w:themeColor="text1"/>
                <w:sz w:val="20"/>
                <w:szCs w:val="20"/>
                <w:lang w:val="en-US"/>
              </w:rPr>
            </w:pPr>
            <w:r>
              <w:rPr>
                <w:color w:val="000000" w:themeColor="text1"/>
                <w:sz w:val="20"/>
                <w:szCs w:val="20"/>
                <w:lang w:val="en-US"/>
              </w:rPr>
              <w:t>Presence of n</w:t>
            </w:r>
            <w:r w:rsidRPr="003A38C6">
              <w:rPr>
                <w:color w:val="000000" w:themeColor="text1"/>
                <w:sz w:val="20"/>
                <w:szCs w:val="20"/>
                <w:lang w:val="en-US"/>
              </w:rPr>
              <w:t>odule</w:t>
            </w:r>
            <w:r>
              <w:rPr>
                <w:color w:val="000000" w:themeColor="text1"/>
                <w:sz w:val="20"/>
                <w:szCs w:val="20"/>
                <w:lang w:val="en-US"/>
              </w:rPr>
              <w:t xml:space="preserve"> at CT scanning, n (%)</w:t>
            </w:r>
          </w:p>
        </w:tc>
        <w:tc>
          <w:tcPr>
            <w:tcW w:w="1559" w:type="dxa"/>
            <w:tcBorders>
              <w:left w:val="single" w:sz="4" w:space="0" w:color="auto"/>
            </w:tcBorders>
            <w:shd w:val="clear" w:color="auto" w:fill="FFFFFF" w:themeFill="background1"/>
            <w:vAlign w:val="center"/>
          </w:tcPr>
          <w:p w14:paraId="738908D8" w14:textId="05797B50" w:rsidR="002C5ED6" w:rsidRPr="00176F38" w:rsidRDefault="001B4FBE" w:rsidP="002C5ED6">
            <w:pPr>
              <w:jc w:val="center"/>
              <w:rPr>
                <w:rFonts w:ascii="Times New Roman" w:hAnsi="Times New Roman" w:cs="Times New Roman"/>
                <w:color w:val="000000" w:themeColor="text1"/>
                <w:sz w:val="20"/>
                <w:szCs w:val="20"/>
                <w:lang w:val="en-US"/>
              </w:rPr>
            </w:pPr>
            <w:r w:rsidRPr="00176F38">
              <w:rPr>
                <w:rFonts w:ascii="Times New Roman" w:hAnsi="Times New Roman" w:cs="Times New Roman"/>
                <w:color w:val="000000" w:themeColor="text1"/>
                <w:sz w:val="20"/>
                <w:szCs w:val="20"/>
                <w:lang w:val="en-US"/>
              </w:rPr>
              <w:t>148</w:t>
            </w:r>
            <w:r w:rsidR="002C5ED6" w:rsidRPr="00176F38">
              <w:rPr>
                <w:rFonts w:ascii="Times New Roman" w:hAnsi="Times New Roman" w:cs="Times New Roman"/>
                <w:color w:val="000000" w:themeColor="text1"/>
                <w:sz w:val="20"/>
                <w:szCs w:val="20"/>
                <w:lang w:val="en-US"/>
              </w:rPr>
              <w:t xml:space="preserve"> (</w:t>
            </w:r>
            <w:r w:rsidRPr="00176F38">
              <w:rPr>
                <w:rFonts w:ascii="Times New Roman" w:hAnsi="Times New Roman" w:cs="Times New Roman"/>
                <w:color w:val="000000" w:themeColor="text1"/>
                <w:sz w:val="20"/>
                <w:szCs w:val="20"/>
                <w:lang w:val="en-US"/>
              </w:rPr>
              <w:t>68.8</w:t>
            </w:r>
            <w:r w:rsidR="002C5ED6" w:rsidRPr="00176F38">
              <w:rPr>
                <w:rFonts w:ascii="Times New Roman" w:hAnsi="Times New Roman" w:cs="Times New Roman"/>
                <w:color w:val="000000" w:themeColor="text1"/>
                <w:sz w:val="20"/>
                <w:szCs w:val="20"/>
                <w:lang w:val="en-US"/>
              </w:rPr>
              <w:t>)</w:t>
            </w:r>
          </w:p>
        </w:tc>
        <w:tc>
          <w:tcPr>
            <w:tcW w:w="1560" w:type="dxa"/>
            <w:shd w:val="clear" w:color="auto" w:fill="FFFFFF" w:themeFill="background1"/>
            <w:vAlign w:val="center"/>
          </w:tcPr>
          <w:p w14:paraId="6B253B21" w14:textId="31C221C7" w:rsidR="002C5ED6" w:rsidRPr="00176F38" w:rsidRDefault="001B4FBE" w:rsidP="002C5ED6">
            <w:pPr>
              <w:jc w:val="center"/>
              <w:rPr>
                <w:rFonts w:ascii="Times New Roman" w:hAnsi="Times New Roman" w:cs="Times New Roman"/>
                <w:color w:val="000000" w:themeColor="text1"/>
                <w:sz w:val="20"/>
                <w:szCs w:val="20"/>
                <w:lang w:val="en-US"/>
              </w:rPr>
            </w:pPr>
            <w:r w:rsidRPr="00176F38">
              <w:rPr>
                <w:rFonts w:ascii="Times New Roman" w:hAnsi="Times New Roman" w:cs="Times New Roman"/>
                <w:color w:val="000000" w:themeColor="text1"/>
                <w:sz w:val="20"/>
                <w:szCs w:val="20"/>
                <w:lang w:val="en-US"/>
              </w:rPr>
              <w:t>103</w:t>
            </w:r>
            <w:r w:rsidR="002C5ED6" w:rsidRPr="00176F38">
              <w:rPr>
                <w:rFonts w:ascii="Times New Roman" w:hAnsi="Times New Roman" w:cs="Times New Roman"/>
                <w:color w:val="000000" w:themeColor="text1"/>
                <w:sz w:val="20"/>
                <w:szCs w:val="20"/>
                <w:lang w:val="en-US"/>
              </w:rPr>
              <w:t xml:space="preserve"> (</w:t>
            </w:r>
            <w:r w:rsidRPr="00176F38">
              <w:rPr>
                <w:rFonts w:ascii="Times New Roman" w:hAnsi="Times New Roman" w:cs="Times New Roman"/>
                <w:color w:val="000000" w:themeColor="text1"/>
                <w:sz w:val="20"/>
                <w:szCs w:val="20"/>
                <w:lang w:val="en-US"/>
              </w:rPr>
              <w:t>68.9</w:t>
            </w:r>
            <w:r w:rsidR="002C5ED6" w:rsidRPr="00176F38">
              <w:rPr>
                <w:rFonts w:ascii="Times New Roman" w:hAnsi="Times New Roman" w:cs="Times New Roman"/>
                <w:color w:val="000000" w:themeColor="text1"/>
                <w:sz w:val="20"/>
                <w:szCs w:val="20"/>
                <w:lang w:val="en-US"/>
              </w:rPr>
              <w:t>)</w:t>
            </w:r>
          </w:p>
        </w:tc>
        <w:tc>
          <w:tcPr>
            <w:tcW w:w="1559" w:type="dxa"/>
            <w:tcBorders>
              <w:right w:val="single" w:sz="4" w:space="0" w:color="auto"/>
            </w:tcBorders>
            <w:shd w:val="clear" w:color="auto" w:fill="FFFFFF" w:themeFill="background1"/>
            <w:vAlign w:val="center"/>
          </w:tcPr>
          <w:p w14:paraId="0E5A5A27" w14:textId="3C35EFEF" w:rsidR="002C5ED6" w:rsidRPr="00176F38" w:rsidRDefault="00F23159" w:rsidP="002C5ED6">
            <w:pPr>
              <w:jc w:val="center"/>
              <w:rPr>
                <w:rFonts w:ascii="Times New Roman" w:hAnsi="Times New Roman" w:cs="Times New Roman"/>
                <w:color w:val="000000" w:themeColor="text1"/>
                <w:sz w:val="20"/>
                <w:szCs w:val="20"/>
                <w:lang w:val="en-US"/>
              </w:rPr>
            </w:pPr>
            <w:r w:rsidRPr="00176F38">
              <w:rPr>
                <w:rFonts w:ascii="Times New Roman" w:hAnsi="Times New Roman" w:cs="Times New Roman"/>
                <w:color w:val="000000" w:themeColor="text1"/>
                <w:sz w:val="20"/>
                <w:szCs w:val="20"/>
                <w:lang w:val="en-US"/>
              </w:rPr>
              <w:t>45</w:t>
            </w:r>
            <w:r w:rsidR="002C5ED6" w:rsidRPr="00176F38">
              <w:rPr>
                <w:rFonts w:ascii="Times New Roman" w:hAnsi="Times New Roman" w:cs="Times New Roman"/>
                <w:color w:val="000000" w:themeColor="text1"/>
                <w:sz w:val="20"/>
                <w:szCs w:val="20"/>
                <w:lang w:val="en-US"/>
              </w:rPr>
              <w:t xml:space="preserve"> (</w:t>
            </w:r>
            <w:r w:rsidRPr="00176F38">
              <w:rPr>
                <w:rFonts w:ascii="Times New Roman" w:hAnsi="Times New Roman" w:cs="Times New Roman"/>
                <w:color w:val="000000" w:themeColor="text1"/>
                <w:sz w:val="20"/>
                <w:szCs w:val="20"/>
                <w:lang w:val="en-US"/>
              </w:rPr>
              <w:t>69</w:t>
            </w:r>
            <w:r w:rsidR="002C5ED6" w:rsidRPr="00176F38">
              <w:rPr>
                <w:rFonts w:ascii="Times New Roman" w:hAnsi="Times New Roman" w:cs="Times New Roman"/>
                <w:color w:val="000000" w:themeColor="text1"/>
                <w:sz w:val="20"/>
                <w:szCs w:val="20"/>
                <w:lang w:val="en-US"/>
              </w:rPr>
              <w:t>.</w:t>
            </w:r>
            <w:r w:rsidRPr="00176F38">
              <w:rPr>
                <w:rFonts w:ascii="Times New Roman" w:hAnsi="Times New Roman" w:cs="Times New Roman"/>
                <w:color w:val="000000" w:themeColor="text1"/>
                <w:sz w:val="20"/>
                <w:szCs w:val="20"/>
                <w:lang w:val="en-US"/>
              </w:rPr>
              <w:t>2</w:t>
            </w:r>
            <w:r w:rsidR="002C5ED6" w:rsidRPr="00176F38">
              <w:rPr>
                <w:rFonts w:ascii="Times New Roman" w:hAnsi="Times New Roman" w:cs="Times New Roman"/>
                <w:color w:val="000000" w:themeColor="text1"/>
                <w:sz w:val="20"/>
                <w:szCs w:val="20"/>
                <w:lang w:val="en-US"/>
              </w:rPr>
              <w:t>)</w:t>
            </w:r>
          </w:p>
        </w:tc>
        <w:tc>
          <w:tcPr>
            <w:tcW w:w="992" w:type="dxa"/>
            <w:tcBorders>
              <w:left w:val="single" w:sz="4" w:space="0" w:color="auto"/>
              <w:right w:val="single" w:sz="4" w:space="0" w:color="auto"/>
            </w:tcBorders>
            <w:shd w:val="clear" w:color="auto" w:fill="FFFFFF" w:themeFill="background1"/>
            <w:vAlign w:val="center"/>
          </w:tcPr>
          <w:p w14:paraId="3B4132B4"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0.935</w:t>
            </w:r>
          </w:p>
        </w:tc>
      </w:tr>
      <w:tr w:rsidR="002C5ED6" w:rsidRPr="003B54F7" w14:paraId="48DF882B" w14:textId="77777777" w:rsidTr="002C5ED6">
        <w:trPr>
          <w:trHeight w:val="403"/>
        </w:trPr>
        <w:tc>
          <w:tcPr>
            <w:tcW w:w="4282" w:type="dxa"/>
            <w:tcBorders>
              <w:left w:val="single" w:sz="4" w:space="0" w:color="auto"/>
              <w:bottom w:val="single" w:sz="4" w:space="0" w:color="BFBFBF" w:themeColor="background1" w:themeShade="BF"/>
              <w:right w:val="single" w:sz="4" w:space="0" w:color="auto"/>
            </w:tcBorders>
            <w:shd w:val="clear" w:color="auto" w:fill="F2F2F2" w:themeFill="background1" w:themeFillShade="F2"/>
            <w:vAlign w:val="center"/>
          </w:tcPr>
          <w:p w14:paraId="59836063" w14:textId="70D6891E" w:rsidR="002C5ED6" w:rsidRPr="003B54F7" w:rsidRDefault="002C5ED6" w:rsidP="002C5ED6">
            <w:pPr>
              <w:rPr>
                <w:rFonts w:ascii="Times New Roman" w:hAnsi="Times New Roman" w:cs="Times New Roman"/>
                <w:color w:val="000000" w:themeColor="text1"/>
                <w:sz w:val="20"/>
                <w:szCs w:val="20"/>
                <w:lang w:val="en-US"/>
              </w:rPr>
            </w:pPr>
            <w:r w:rsidRPr="003A38C6">
              <w:rPr>
                <w:color w:val="000000" w:themeColor="text1"/>
                <w:sz w:val="20"/>
                <w:szCs w:val="20"/>
                <w:lang w:val="en-US"/>
              </w:rPr>
              <w:t>Largest nodule at CT scanning (diameter, mm)</w:t>
            </w:r>
          </w:p>
        </w:tc>
        <w:tc>
          <w:tcPr>
            <w:tcW w:w="1559" w:type="dxa"/>
            <w:tcBorders>
              <w:left w:val="single" w:sz="4" w:space="0" w:color="auto"/>
              <w:bottom w:val="single" w:sz="4" w:space="0" w:color="BFBFBF" w:themeColor="background1" w:themeShade="BF"/>
            </w:tcBorders>
            <w:shd w:val="clear" w:color="auto" w:fill="F2F2F2" w:themeFill="background1" w:themeFillShade="F2"/>
            <w:vAlign w:val="center"/>
          </w:tcPr>
          <w:p w14:paraId="20159A39"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13 [10; 20]</w:t>
            </w:r>
          </w:p>
        </w:tc>
        <w:tc>
          <w:tcPr>
            <w:tcW w:w="1560" w:type="dxa"/>
            <w:tcBorders>
              <w:bottom w:val="single" w:sz="4" w:space="0" w:color="BFBFBF" w:themeColor="background1" w:themeShade="BF"/>
            </w:tcBorders>
            <w:shd w:val="clear" w:color="auto" w:fill="F2F2F2" w:themeFill="background1" w:themeFillShade="F2"/>
            <w:vAlign w:val="center"/>
          </w:tcPr>
          <w:p w14:paraId="77CA3187"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13 [10; 18]</w:t>
            </w:r>
          </w:p>
        </w:tc>
        <w:tc>
          <w:tcPr>
            <w:tcW w:w="1559" w:type="dxa"/>
            <w:tcBorders>
              <w:bottom w:val="single" w:sz="4" w:space="0" w:color="BFBFBF" w:themeColor="background1" w:themeShade="BF"/>
              <w:right w:val="single" w:sz="4" w:space="0" w:color="auto"/>
            </w:tcBorders>
            <w:shd w:val="clear" w:color="auto" w:fill="F2F2F2" w:themeFill="background1" w:themeFillShade="F2"/>
            <w:vAlign w:val="center"/>
          </w:tcPr>
          <w:p w14:paraId="22DB0A6C"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13 [10; 20]</w:t>
            </w:r>
          </w:p>
        </w:tc>
        <w:tc>
          <w:tcPr>
            <w:tcW w:w="992" w:type="dxa"/>
            <w:tcBorders>
              <w:left w:val="single" w:sz="4" w:space="0" w:color="auto"/>
              <w:bottom w:val="single" w:sz="4" w:space="0" w:color="BFBFBF" w:themeColor="background1" w:themeShade="BF"/>
              <w:right w:val="single" w:sz="4" w:space="0" w:color="auto"/>
            </w:tcBorders>
            <w:shd w:val="clear" w:color="auto" w:fill="F2F2F2" w:themeFill="background1" w:themeFillShade="F2"/>
            <w:vAlign w:val="center"/>
          </w:tcPr>
          <w:p w14:paraId="482B86CF"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0.689</w:t>
            </w:r>
          </w:p>
        </w:tc>
      </w:tr>
      <w:tr w:rsidR="002C5ED6" w:rsidRPr="003B54F7" w14:paraId="168D837F" w14:textId="77777777" w:rsidTr="002C5ED6">
        <w:trPr>
          <w:trHeight w:val="978"/>
        </w:trPr>
        <w:tc>
          <w:tcPr>
            <w:tcW w:w="4282" w:type="dxa"/>
            <w:tcBorders>
              <w:left w:val="single" w:sz="4" w:space="0" w:color="auto"/>
              <w:bottom w:val="single" w:sz="4" w:space="0" w:color="auto"/>
              <w:right w:val="single" w:sz="4" w:space="0" w:color="auto"/>
            </w:tcBorders>
            <w:shd w:val="clear" w:color="auto" w:fill="FFFFFF" w:themeFill="background1"/>
            <w:vAlign w:val="center"/>
          </w:tcPr>
          <w:p w14:paraId="374A7FC1" w14:textId="77777777" w:rsidR="002C5ED6" w:rsidRPr="003A38C6" w:rsidRDefault="002C5ED6" w:rsidP="002C5ED6">
            <w:pPr>
              <w:rPr>
                <w:color w:val="000000" w:themeColor="text1"/>
                <w:sz w:val="20"/>
                <w:szCs w:val="20"/>
                <w:lang w:val="en-US"/>
              </w:rPr>
            </w:pPr>
            <w:r w:rsidRPr="003A38C6">
              <w:rPr>
                <w:color w:val="000000" w:themeColor="text1"/>
                <w:sz w:val="20"/>
                <w:szCs w:val="20"/>
                <w:lang w:val="en-US"/>
              </w:rPr>
              <w:t>CT scan</w:t>
            </w:r>
            <w:r>
              <w:rPr>
                <w:color w:val="000000" w:themeColor="text1"/>
                <w:sz w:val="20"/>
                <w:szCs w:val="20"/>
                <w:lang w:val="en-US"/>
              </w:rPr>
              <w:t>ning</w:t>
            </w:r>
            <w:r w:rsidRPr="003A38C6">
              <w:rPr>
                <w:color w:val="000000" w:themeColor="text1"/>
                <w:sz w:val="20"/>
                <w:szCs w:val="20"/>
                <w:lang w:val="en-US"/>
              </w:rPr>
              <w:t xml:space="preserve"> findings</w:t>
            </w:r>
          </w:p>
          <w:p w14:paraId="4013DDDD" w14:textId="77777777" w:rsidR="002C5ED6" w:rsidRPr="003A38C6" w:rsidRDefault="002C5ED6" w:rsidP="002C5ED6">
            <w:pPr>
              <w:tabs>
                <w:tab w:val="left" w:pos="0"/>
              </w:tabs>
              <w:rPr>
                <w:color w:val="000000" w:themeColor="text1"/>
                <w:sz w:val="20"/>
                <w:szCs w:val="20"/>
                <w:lang w:val="en-US"/>
              </w:rPr>
            </w:pPr>
            <w:r w:rsidRPr="003A38C6">
              <w:rPr>
                <w:color w:val="000000" w:themeColor="text1"/>
                <w:sz w:val="20"/>
                <w:szCs w:val="20"/>
                <w:lang w:val="en-US"/>
              </w:rPr>
              <w:t xml:space="preserve">  Bilaterally Normal</w:t>
            </w:r>
          </w:p>
          <w:p w14:paraId="55333D74" w14:textId="77777777" w:rsidR="002C5ED6" w:rsidRPr="003A38C6" w:rsidRDefault="002C5ED6" w:rsidP="002C5ED6">
            <w:pPr>
              <w:tabs>
                <w:tab w:val="left" w:pos="0"/>
              </w:tabs>
              <w:rPr>
                <w:color w:val="000000" w:themeColor="text1"/>
                <w:sz w:val="20"/>
                <w:szCs w:val="20"/>
                <w:lang w:val="en-US"/>
              </w:rPr>
            </w:pPr>
            <w:r w:rsidRPr="003A38C6">
              <w:rPr>
                <w:color w:val="000000" w:themeColor="text1"/>
                <w:sz w:val="20"/>
                <w:szCs w:val="20"/>
                <w:lang w:val="en-US"/>
              </w:rPr>
              <w:t xml:space="preserve">  Bilaterally Abnormal</w:t>
            </w:r>
          </w:p>
          <w:p w14:paraId="77FECAE0" w14:textId="29C960A3" w:rsidR="002C5ED6" w:rsidRPr="003B54F7" w:rsidRDefault="002C5ED6" w:rsidP="002C5ED6">
            <w:pPr>
              <w:tabs>
                <w:tab w:val="left" w:pos="0"/>
              </w:tabs>
              <w:rPr>
                <w:rFonts w:ascii="Times New Roman" w:hAnsi="Times New Roman" w:cs="Times New Roman"/>
                <w:color w:val="000000" w:themeColor="text1"/>
                <w:sz w:val="20"/>
                <w:szCs w:val="20"/>
                <w:lang w:val="en-US"/>
              </w:rPr>
            </w:pPr>
            <w:r w:rsidRPr="003A38C6">
              <w:rPr>
                <w:color w:val="000000" w:themeColor="text1"/>
                <w:sz w:val="20"/>
                <w:szCs w:val="20"/>
                <w:lang w:val="en-US"/>
              </w:rPr>
              <w:t xml:space="preserve">  Unilateral Abnormality</w:t>
            </w:r>
          </w:p>
        </w:tc>
        <w:tc>
          <w:tcPr>
            <w:tcW w:w="1559" w:type="dxa"/>
            <w:tcBorders>
              <w:left w:val="single" w:sz="4" w:space="0" w:color="auto"/>
              <w:bottom w:val="single" w:sz="4" w:space="0" w:color="auto"/>
            </w:tcBorders>
            <w:shd w:val="clear" w:color="auto" w:fill="FFFFFF" w:themeFill="background1"/>
            <w:vAlign w:val="center"/>
          </w:tcPr>
          <w:p w14:paraId="04B9E259" w14:textId="77777777" w:rsidR="002C5ED6" w:rsidRPr="003B54F7" w:rsidRDefault="002C5ED6" w:rsidP="002C5ED6">
            <w:pPr>
              <w:jc w:val="center"/>
              <w:rPr>
                <w:rFonts w:ascii="Times New Roman" w:hAnsi="Times New Roman" w:cs="Times New Roman"/>
                <w:color w:val="000000" w:themeColor="text1"/>
                <w:sz w:val="20"/>
                <w:szCs w:val="20"/>
                <w:lang w:val="en-US"/>
              </w:rPr>
            </w:pPr>
          </w:p>
          <w:p w14:paraId="6A2D2441"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25 (11.6)</w:t>
            </w:r>
          </w:p>
          <w:p w14:paraId="60D4CD18"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37 (17.2)</w:t>
            </w:r>
          </w:p>
          <w:p w14:paraId="5ECCF8BE"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153 (71.2)</w:t>
            </w:r>
          </w:p>
        </w:tc>
        <w:tc>
          <w:tcPr>
            <w:tcW w:w="1560" w:type="dxa"/>
            <w:tcBorders>
              <w:bottom w:val="single" w:sz="4" w:space="0" w:color="auto"/>
            </w:tcBorders>
            <w:shd w:val="clear" w:color="auto" w:fill="FFFFFF" w:themeFill="background1"/>
            <w:vAlign w:val="center"/>
          </w:tcPr>
          <w:p w14:paraId="786F87DB" w14:textId="77777777" w:rsidR="002C5ED6" w:rsidRPr="003B54F7" w:rsidRDefault="002C5ED6" w:rsidP="002C5ED6">
            <w:pPr>
              <w:contextualSpacing/>
              <w:jc w:val="center"/>
              <w:rPr>
                <w:rFonts w:ascii="Times New Roman" w:hAnsi="Times New Roman" w:cs="Times New Roman"/>
                <w:color w:val="000000" w:themeColor="text1"/>
                <w:sz w:val="20"/>
                <w:szCs w:val="20"/>
                <w:lang w:val="en-US"/>
              </w:rPr>
            </w:pPr>
          </w:p>
          <w:p w14:paraId="69BBDFE8" w14:textId="77777777" w:rsidR="002C5ED6" w:rsidRPr="003B54F7" w:rsidRDefault="002C5ED6" w:rsidP="002C5ED6">
            <w:pPr>
              <w:contextualSpacing/>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17 (11.3)</w:t>
            </w:r>
          </w:p>
          <w:p w14:paraId="6789B127" w14:textId="77777777" w:rsidR="002C5ED6" w:rsidRPr="003B54F7" w:rsidRDefault="002C5ED6" w:rsidP="002C5ED6">
            <w:pPr>
              <w:contextualSpacing/>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22 (14.7)</w:t>
            </w:r>
          </w:p>
          <w:p w14:paraId="285E1842" w14:textId="77777777" w:rsidR="002C5ED6" w:rsidRPr="003B54F7" w:rsidRDefault="002C5ED6" w:rsidP="002C5ED6">
            <w:pPr>
              <w:contextualSpacing/>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111 (74.0)</w:t>
            </w:r>
          </w:p>
        </w:tc>
        <w:tc>
          <w:tcPr>
            <w:tcW w:w="1559" w:type="dxa"/>
            <w:tcBorders>
              <w:bottom w:val="single" w:sz="4" w:space="0" w:color="auto"/>
              <w:right w:val="single" w:sz="4" w:space="0" w:color="auto"/>
            </w:tcBorders>
            <w:shd w:val="clear" w:color="auto" w:fill="FFFFFF" w:themeFill="background1"/>
            <w:vAlign w:val="center"/>
          </w:tcPr>
          <w:p w14:paraId="3CD575D1" w14:textId="77777777" w:rsidR="002C5ED6" w:rsidRPr="003B54F7" w:rsidRDefault="002C5ED6" w:rsidP="002C5ED6">
            <w:pPr>
              <w:jc w:val="center"/>
              <w:rPr>
                <w:rFonts w:ascii="Times New Roman" w:hAnsi="Times New Roman" w:cs="Times New Roman"/>
                <w:color w:val="000000" w:themeColor="text1"/>
                <w:sz w:val="20"/>
                <w:szCs w:val="20"/>
                <w:lang w:val="en-US"/>
              </w:rPr>
            </w:pPr>
          </w:p>
          <w:p w14:paraId="6415A499"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8 (12.3)</w:t>
            </w:r>
          </w:p>
          <w:p w14:paraId="2D585AF9"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15 (23.1)</w:t>
            </w:r>
          </w:p>
          <w:p w14:paraId="31A6D0AF"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42 (64.6)</w:t>
            </w:r>
          </w:p>
        </w:tc>
        <w:tc>
          <w:tcPr>
            <w:tcW w:w="992" w:type="dxa"/>
            <w:tcBorders>
              <w:left w:val="single" w:sz="4" w:space="0" w:color="auto"/>
              <w:bottom w:val="single" w:sz="4" w:space="0" w:color="auto"/>
              <w:right w:val="single" w:sz="4" w:space="0" w:color="auto"/>
            </w:tcBorders>
            <w:shd w:val="clear" w:color="auto" w:fill="FFFFFF" w:themeFill="background1"/>
            <w:vAlign w:val="center"/>
          </w:tcPr>
          <w:p w14:paraId="67A09553" w14:textId="77777777" w:rsidR="002C5ED6" w:rsidRPr="003B54F7" w:rsidRDefault="002C5ED6" w:rsidP="002C5ED6">
            <w:pPr>
              <w:jc w:val="center"/>
              <w:rPr>
                <w:rFonts w:ascii="Times New Roman" w:hAnsi="Times New Roman" w:cs="Times New Roman"/>
                <w:color w:val="000000" w:themeColor="text1"/>
                <w:sz w:val="20"/>
                <w:szCs w:val="20"/>
                <w:lang w:val="en-US"/>
              </w:rPr>
            </w:pPr>
            <w:r w:rsidRPr="003B54F7">
              <w:rPr>
                <w:rFonts w:ascii="Times New Roman" w:hAnsi="Times New Roman" w:cs="Times New Roman"/>
                <w:color w:val="000000" w:themeColor="text1"/>
                <w:sz w:val="20"/>
                <w:szCs w:val="20"/>
                <w:lang w:val="en-US"/>
              </w:rPr>
              <w:t>0.292</w:t>
            </w:r>
          </w:p>
        </w:tc>
      </w:tr>
    </w:tbl>
    <w:p w14:paraId="6AA93378" w14:textId="77777777" w:rsidR="00EC1DCD" w:rsidRPr="00171434" w:rsidRDefault="00EC1DCD" w:rsidP="00EC1DCD">
      <w:pPr>
        <w:pStyle w:val="Corpo"/>
        <w:tabs>
          <w:tab w:val="left" w:pos="5529"/>
        </w:tabs>
        <w:spacing w:line="480" w:lineRule="auto"/>
        <w:jc w:val="both"/>
        <w:outlineLvl w:val="0"/>
        <w:rPr>
          <w:rFonts w:hAnsi="Times New Roman" w:cs="Times New Roman"/>
          <w:i/>
          <w:iCs/>
          <w:sz w:val="12"/>
          <w:szCs w:val="12"/>
        </w:rPr>
      </w:pPr>
    </w:p>
    <w:p w14:paraId="782866D8" w14:textId="71C08424" w:rsidR="00EC1DCD" w:rsidRDefault="00EC1DCD" w:rsidP="004D751F">
      <w:pPr>
        <w:pStyle w:val="Corpo"/>
        <w:tabs>
          <w:tab w:val="left" w:pos="5529"/>
        </w:tabs>
        <w:jc w:val="both"/>
        <w:outlineLvl w:val="0"/>
        <w:rPr>
          <w:rFonts w:hAnsi="Times New Roman" w:cs="Times New Roman"/>
        </w:rPr>
      </w:pPr>
      <w:r>
        <w:rPr>
          <w:rFonts w:hAnsi="Times New Roman" w:cs="Times New Roman"/>
        </w:rPr>
        <w:t>Clinical characteristics of patients included in the analysis</w:t>
      </w:r>
      <w:r w:rsidR="00062F64">
        <w:rPr>
          <w:rFonts w:hAnsi="Times New Roman" w:cs="Times New Roman"/>
        </w:rPr>
        <w:t xml:space="preserve">: patients from the combined cohort (N = 215) were randomly assigned to training cohort (N = 150), or validation cohort (N = 65). </w:t>
      </w:r>
      <w:r w:rsidRPr="00FF3493">
        <w:rPr>
          <w:rFonts w:hAnsi="Times New Roman" w:cs="Times New Roman"/>
        </w:rPr>
        <w:t>The DDD is the assumed average maintenance dose per day for a drug used for its main indication in adults</w:t>
      </w:r>
      <w:r w:rsidR="00CF7413">
        <w:rPr>
          <w:rFonts w:hAnsi="Times New Roman" w:cs="Times New Roman"/>
        </w:rPr>
        <w:t xml:space="preserve">. </w:t>
      </w:r>
      <w:r w:rsidR="009C392A">
        <w:rPr>
          <w:rFonts w:hAnsi="Times New Roman" w:cs="Times New Roman"/>
        </w:rPr>
        <w:t xml:space="preserve">UPA, Unilateral Primary Aldosteronism; </w:t>
      </w:r>
      <w:r>
        <w:rPr>
          <w:rFonts w:hAnsi="Times New Roman" w:cs="Times New Roman"/>
        </w:rPr>
        <w:t>AVS, Adrenal Venous Sampling; HTN, Hypertension; BP, Blood Pressure; DDD, Defined Daily Dose; eGFR, estimated Glomerular Filtration Rate; PRA, Plasma Renin Activity; LVH, Left Ventricular Hypertrophy; Echo, Echocardiography; CV, Cardiovascular; CT, Computed Tomography.</w:t>
      </w:r>
      <w:r w:rsidR="0022457C">
        <w:rPr>
          <w:rFonts w:hAnsi="Times New Roman" w:cs="Times New Roman"/>
        </w:rPr>
        <w:t xml:space="preserve"> Normally and non-normally distributed variables were reported as mean </w:t>
      </w:r>
      <w:r w:rsidR="0022457C" w:rsidRPr="00B20357">
        <w:rPr>
          <w:rFonts w:hAnsi="Times New Roman" w:cs="Times New Roman"/>
        </w:rPr>
        <w:t xml:space="preserve">± </w:t>
      </w:r>
      <w:r w:rsidR="0022457C">
        <w:rPr>
          <w:rFonts w:hAnsi="Times New Roman" w:cs="Times New Roman"/>
        </w:rPr>
        <w:t>standard deviation or median [interquartile range], respectively. Categorical variables were reported as absolute number (n) and proportion (%).</w:t>
      </w:r>
    </w:p>
    <w:p w14:paraId="16B738DA" w14:textId="77777777" w:rsidR="004D751F" w:rsidRDefault="004D751F">
      <w:pPr>
        <w:rPr>
          <w:rFonts w:eastAsia="Arial Unicode MS"/>
          <w:b/>
          <w:bCs/>
          <w:i/>
          <w:iCs/>
          <w:color w:val="000000"/>
          <w:u w:color="000000"/>
          <w:bdr w:val="nil"/>
          <w:lang w:val="en-US" w:eastAsia="en-US"/>
        </w:rPr>
      </w:pPr>
      <w:r w:rsidRPr="00B7162A">
        <w:rPr>
          <w:b/>
          <w:bCs/>
          <w:i/>
          <w:iCs/>
          <w:lang w:val="en-US"/>
        </w:rPr>
        <w:br w:type="page"/>
      </w:r>
    </w:p>
    <w:p w14:paraId="6DFA9F43" w14:textId="06D37042" w:rsidR="006D0B5A" w:rsidRPr="00256938" w:rsidRDefault="003606D4" w:rsidP="006D0B5A">
      <w:pPr>
        <w:pStyle w:val="Corpo"/>
        <w:tabs>
          <w:tab w:val="left" w:pos="5529"/>
        </w:tabs>
        <w:spacing w:line="480" w:lineRule="auto"/>
        <w:jc w:val="both"/>
        <w:outlineLvl w:val="0"/>
        <w:rPr>
          <w:rFonts w:hAnsi="Times New Roman" w:cs="Times New Roman"/>
          <w:b/>
          <w:bCs/>
          <w:shd w:val="clear" w:color="auto" w:fill="FFFF00"/>
        </w:rPr>
      </w:pPr>
      <w:r w:rsidRPr="008F2D54">
        <w:rPr>
          <w:rFonts w:hAnsi="Times New Roman" w:cs="Times New Roman"/>
          <w:b/>
          <w:bCs/>
        </w:rPr>
        <w:lastRenderedPageBreak/>
        <w:t>Supplementa</w:t>
      </w:r>
      <w:r>
        <w:rPr>
          <w:rFonts w:hAnsi="Times New Roman" w:cs="Times New Roman"/>
          <w:b/>
          <w:bCs/>
        </w:rPr>
        <w:t xml:space="preserve">ry </w:t>
      </w:r>
      <w:r w:rsidRPr="008F2D54">
        <w:rPr>
          <w:rFonts w:hAnsi="Times New Roman" w:cs="Times New Roman"/>
          <w:b/>
          <w:bCs/>
        </w:rPr>
        <w:t xml:space="preserve">Table </w:t>
      </w:r>
      <w:r>
        <w:rPr>
          <w:rFonts w:hAnsi="Times New Roman" w:cs="Times New Roman"/>
          <w:b/>
          <w:bCs/>
        </w:rPr>
        <w:t>4</w:t>
      </w:r>
      <w:r w:rsidR="00256938" w:rsidRPr="00256938">
        <w:rPr>
          <w:rFonts w:hAnsi="Times New Roman" w:cs="Times New Roman"/>
          <w:b/>
          <w:bCs/>
        </w:rPr>
        <w:t>.</w:t>
      </w:r>
      <w:r w:rsidR="006D0B5A" w:rsidRPr="00256938">
        <w:rPr>
          <w:rFonts w:hAnsi="Times New Roman" w:cs="Times New Roman"/>
          <w:b/>
          <w:bCs/>
        </w:rPr>
        <w:t xml:space="preserve"> </w:t>
      </w:r>
      <w:r w:rsidR="00516CD9" w:rsidRPr="00256938">
        <w:rPr>
          <w:rFonts w:hAnsi="Times New Roman" w:cs="Times New Roman"/>
          <w:b/>
          <w:bCs/>
        </w:rPr>
        <w:t>Score development and validation</w:t>
      </w:r>
    </w:p>
    <w:tbl>
      <w:tblPr>
        <w:tblStyle w:val="Grigliatabella"/>
        <w:tblW w:w="7886"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2571"/>
        <w:gridCol w:w="1363"/>
        <w:gridCol w:w="1019"/>
        <w:gridCol w:w="70"/>
        <w:gridCol w:w="1469"/>
        <w:gridCol w:w="822"/>
      </w:tblGrid>
      <w:tr w:rsidR="00366C4F" w:rsidRPr="00C60D82" w14:paraId="595AAE17" w14:textId="77777777" w:rsidTr="0017246C">
        <w:trPr>
          <w:trHeight w:val="488"/>
        </w:trPr>
        <w:tc>
          <w:tcPr>
            <w:tcW w:w="3143" w:type="dxa"/>
            <w:gridSpan w:val="2"/>
            <w:tcBorders>
              <w:top w:val="single" w:sz="4" w:space="0" w:color="auto"/>
              <w:left w:val="single" w:sz="4" w:space="0" w:color="auto"/>
              <w:bottom w:val="single" w:sz="4" w:space="0" w:color="auto"/>
            </w:tcBorders>
            <w:shd w:val="clear" w:color="auto" w:fill="D9D9D9" w:themeFill="background1" w:themeFillShade="D9"/>
            <w:vAlign w:val="center"/>
          </w:tcPr>
          <w:p w14:paraId="2E8B9683" w14:textId="1585E5A5" w:rsidR="00A92993" w:rsidRPr="00C60D82" w:rsidRDefault="00A92993" w:rsidP="008F5BE8">
            <w:pPr>
              <w:jc w:val="center"/>
              <w:rPr>
                <w:b/>
                <w:sz w:val="20"/>
                <w:szCs w:val="20"/>
                <w:lang w:val="en-GB"/>
              </w:rPr>
            </w:pPr>
            <w:r>
              <w:rPr>
                <w:b/>
                <w:sz w:val="20"/>
                <w:szCs w:val="20"/>
                <w:lang w:val="en-GB"/>
              </w:rPr>
              <w:t>AVS</w:t>
            </w:r>
            <w:r w:rsidRPr="00C60D82">
              <w:rPr>
                <w:b/>
                <w:sz w:val="20"/>
                <w:szCs w:val="20"/>
                <w:lang w:val="en-GB"/>
              </w:rPr>
              <w:t xml:space="preserve"> Score Accuracy</w:t>
            </w:r>
          </w:p>
        </w:tc>
        <w:tc>
          <w:tcPr>
            <w:tcW w:w="2452" w:type="dxa"/>
            <w:gridSpan w:val="3"/>
            <w:tcBorders>
              <w:top w:val="single" w:sz="4" w:space="0" w:color="auto"/>
              <w:bottom w:val="single" w:sz="4" w:space="0" w:color="auto"/>
            </w:tcBorders>
            <w:shd w:val="clear" w:color="auto" w:fill="D9D9D9" w:themeFill="background1" w:themeFillShade="D9"/>
            <w:vAlign w:val="center"/>
          </w:tcPr>
          <w:p w14:paraId="3C19E4F9" w14:textId="43A4BC14" w:rsidR="00A92993" w:rsidRPr="00C60D82" w:rsidRDefault="00A92993" w:rsidP="008F5BE8">
            <w:pPr>
              <w:jc w:val="center"/>
              <w:rPr>
                <w:b/>
                <w:sz w:val="20"/>
                <w:szCs w:val="20"/>
                <w:lang w:val="en-GB"/>
              </w:rPr>
            </w:pPr>
            <w:r w:rsidRPr="00C60D82">
              <w:rPr>
                <w:b/>
                <w:sz w:val="20"/>
                <w:szCs w:val="20"/>
                <w:lang w:val="en-GB"/>
              </w:rPr>
              <w:t xml:space="preserve">Predicted </w:t>
            </w:r>
            <w:r w:rsidR="00366C4F">
              <w:rPr>
                <w:b/>
                <w:sz w:val="20"/>
                <w:szCs w:val="20"/>
                <w:lang w:val="en-GB"/>
              </w:rPr>
              <w:t>Diagnosis</w:t>
            </w:r>
          </w:p>
        </w:tc>
        <w:tc>
          <w:tcPr>
            <w:tcW w:w="2291" w:type="dxa"/>
            <w:gridSpan w:val="2"/>
            <w:tcBorders>
              <w:top w:val="single" w:sz="4" w:space="0" w:color="auto"/>
              <w:bottom w:val="single" w:sz="4" w:space="0" w:color="auto"/>
              <w:right w:val="single" w:sz="4" w:space="0" w:color="auto"/>
            </w:tcBorders>
            <w:shd w:val="clear" w:color="auto" w:fill="D9D9D9" w:themeFill="background1" w:themeFillShade="D9"/>
            <w:vAlign w:val="center"/>
          </w:tcPr>
          <w:p w14:paraId="487205F0" w14:textId="77777777" w:rsidR="00A92993" w:rsidRPr="00C60D82" w:rsidRDefault="00A92993" w:rsidP="008F5BE8">
            <w:pPr>
              <w:jc w:val="center"/>
              <w:rPr>
                <w:b/>
                <w:sz w:val="20"/>
                <w:szCs w:val="20"/>
                <w:lang w:val="en-GB"/>
              </w:rPr>
            </w:pPr>
            <w:r w:rsidRPr="00C60D82">
              <w:rPr>
                <w:b/>
                <w:sz w:val="20"/>
                <w:szCs w:val="20"/>
                <w:lang w:val="en-GB"/>
              </w:rPr>
              <w:t>Performance</w:t>
            </w:r>
          </w:p>
        </w:tc>
      </w:tr>
      <w:tr w:rsidR="00366C4F" w:rsidRPr="00C60D82" w14:paraId="7DBB6199" w14:textId="77777777" w:rsidTr="0017246C">
        <w:trPr>
          <w:trHeight w:val="424"/>
        </w:trPr>
        <w:tc>
          <w:tcPr>
            <w:tcW w:w="572" w:type="dxa"/>
            <w:vMerge w:val="restart"/>
            <w:tcBorders>
              <w:top w:val="single" w:sz="4" w:space="0" w:color="auto"/>
              <w:left w:val="single" w:sz="4" w:space="0" w:color="auto"/>
              <w:right w:val="single" w:sz="4" w:space="0" w:color="auto"/>
            </w:tcBorders>
            <w:shd w:val="clear" w:color="auto" w:fill="D9D9D9" w:themeFill="background1" w:themeFillShade="D9"/>
            <w:textDirection w:val="btLr"/>
            <w:vAlign w:val="center"/>
          </w:tcPr>
          <w:p w14:paraId="06D58366" w14:textId="44E83532" w:rsidR="00A92993" w:rsidRPr="00C60D82" w:rsidRDefault="00A92993" w:rsidP="00366C4F">
            <w:pPr>
              <w:spacing w:after="120"/>
              <w:ind w:left="113" w:right="113"/>
              <w:jc w:val="center"/>
              <w:rPr>
                <w:sz w:val="20"/>
                <w:szCs w:val="20"/>
                <w:lang w:val="en-GB"/>
              </w:rPr>
            </w:pPr>
            <w:r w:rsidRPr="00C60D82">
              <w:rPr>
                <w:b/>
                <w:sz w:val="20"/>
                <w:szCs w:val="20"/>
                <w:lang w:val="en-GB"/>
              </w:rPr>
              <w:t xml:space="preserve">Real </w:t>
            </w:r>
            <w:r w:rsidR="00366C4F">
              <w:rPr>
                <w:b/>
                <w:sz w:val="20"/>
                <w:szCs w:val="20"/>
                <w:lang w:val="en-GB"/>
              </w:rPr>
              <w:t>Diagnosis</w:t>
            </w:r>
            <w:r w:rsidR="00126921">
              <w:rPr>
                <w:b/>
                <w:sz w:val="20"/>
                <w:szCs w:val="20"/>
                <w:lang w:val="en-GB"/>
              </w:rPr>
              <w:t xml:space="preserve"> (Cut-off &gt; </w:t>
            </w:r>
            <w:r w:rsidR="00887A16">
              <w:rPr>
                <w:b/>
                <w:sz w:val="20"/>
                <w:szCs w:val="20"/>
                <w:lang w:val="en-GB"/>
              </w:rPr>
              <w:t>8</w:t>
            </w:r>
            <w:r w:rsidR="00126921">
              <w:rPr>
                <w:b/>
                <w:sz w:val="20"/>
                <w:szCs w:val="20"/>
                <w:lang w:val="en-GB"/>
              </w:rPr>
              <w:t>)</w:t>
            </w:r>
          </w:p>
        </w:tc>
        <w:tc>
          <w:tcPr>
            <w:tcW w:w="2571" w:type="dxa"/>
            <w:tcBorders>
              <w:top w:val="single" w:sz="4" w:space="0" w:color="auto"/>
              <w:left w:val="single" w:sz="4" w:space="0" w:color="auto"/>
            </w:tcBorders>
            <w:shd w:val="clear" w:color="auto" w:fill="F2F2F2" w:themeFill="background1" w:themeFillShade="F2"/>
            <w:vAlign w:val="center"/>
          </w:tcPr>
          <w:p w14:paraId="481E87C4" w14:textId="24926935" w:rsidR="00A92993" w:rsidRPr="00C60D82" w:rsidRDefault="00A92993" w:rsidP="008F5BE8">
            <w:pPr>
              <w:rPr>
                <w:sz w:val="20"/>
                <w:szCs w:val="20"/>
                <w:lang w:val="en-GB"/>
              </w:rPr>
            </w:pPr>
            <w:r w:rsidRPr="00C60D82">
              <w:rPr>
                <w:b/>
                <w:sz w:val="20"/>
                <w:szCs w:val="20"/>
                <w:lang w:val="en-GB"/>
              </w:rPr>
              <w:t xml:space="preserve">Training </w:t>
            </w:r>
            <w:r w:rsidR="004F3F11">
              <w:rPr>
                <w:b/>
                <w:sz w:val="20"/>
                <w:szCs w:val="20"/>
                <w:lang w:val="en-GB"/>
              </w:rPr>
              <w:t>cohort</w:t>
            </w:r>
            <w:r w:rsidRPr="00C60D82">
              <w:rPr>
                <w:b/>
                <w:sz w:val="20"/>
                <w:szCs w:val="20"/>
                <w:lang w:val="en-GB"/>
              </w:rPr>
              <w:t xml:space="preserve"> </w:t>
            </w:r>
            <w:r w:rsidRPr="00C60D82">
              <w:rPr>
                <w:sz w:val="20"/>
                <w:szCs w:val="20"/>
                <w:lang w:val="en-GB"/>
              </w:rPr>
              <w:t>(</w:t>
            </w:r>
            <w:r w:rsidR="006A0F4D">
              <w:rPr>
                <w:sz w:val="20"/>
                <w:szCs w:val="20"/>
                <w:lang w:val="en-GB"/>
              </w:rPr>
              <w:t>N</w:t>
            </w:r>
            <w:r w:rsidRPr="00C60D82">
              <w:rPr>
                <w:sz w:val="20"/>
                <w:szCs w:val="20"/>
                <w:lang w:val="en-GB"/>
              </w:rPr>
              <w:t xml:space="preserve"> = </w:t>
            </w:r>
            <w:r>
              <w:rPr>
                <w:sz w:val="20"/>
                <w:szCs w:val="20"/>
                <w:lang w:val="en-GB"/>
              </w:rPr>
              <w:t>150</w:t>
            </w:r>
            <w:r w:rsidRPr="00C60D82">
              <w:rPr>
                <w:sz w:val="20"/>
                <w:szCs w:val="20"/>
                <w:lang w:val="en-GB"/>
              </w:rPr>
              <w:t>)</w:t>
            </w:r>
          </w:p>
        </w:tc>
        <w:tc>
          <w:tcPr>
            <w:tcW w:w="1363" w:type="dxa"/>
            <w:tcBorders>
              <w:top w:val="single" w:sz="4" w:space="0" w:color="auto"/>
            </w:tcBorders>
            <w:shd w:val="clear" w:color="auto" w:fill="F2F2F2" w:themeFill="background1" w:themeFillShade="F2"/>
            <w:vAlign w:val="center"/>
          </w:tcPr>
          <w:p w14:paraId="564B4E62" w14:textId="603C3DF5" w:rsidR="00A92993" w:rsidRPr="00C60D82" w:rsidRDefault="00A524F0" w:rsidP="008F5BE8">
            <w:pPr>
              <w:jc w:val="center"/>
              <w:rPr>
                <w:sz w:val="20"/>
                <w:szCs w:val="20"/>
                <w:lang w:val="en-GB"/>
              </w:rPr>
            </w:pPr>
            <w:r>
              <w:rPr>
                <w:sz w:val="20"/>
                <w:szCs w:val="20"/>
                <w:lang w:val="en-GB"/>
              </w:rPr>
              <w:t>U</w:t>
            </w:r>
            <w:r w:rsidR="00366C4F">
              <w:rPr>
                <w:sz w:val="20"/>
                <w:szCs w:val="20"/>
                <w:lang w:val="en-GB"/>
              </w:rPr>
              <w:t>PA</w:t>
            </w:r>
          </w:p>
        </w:tc>
        <w:tc>
          <w:tcPr>
            <w:tcW w:w="1019" w:type="dxa"/>
            <w:tcBorders>
              <w:top w:val="single" w:sz="4" w:space="0" w:color="auto"/>
              <w:right w:val="single" w:sz="4" w:space="0" w:color="auto"/>
            </w:tcBorders>
            <w:shd w:val="clear" w:color="auto" w:fill="F2F2F2" w:themeFill="background1" w:themeFillShade="F2"/>
            <w:vAlign w:val="center"/>
          </w:tcPr>
          <w:p w14:paraId="220AD9D3" w14:textId="6C7CAAE0" w:rsidR="00A92993" w:rsidRPr="00C60D82" w:rsidRDefault="00366C4F" w:rsidP="008F5BE8">
            <w:pPr>
              <w:jc w:val="center"/>
              <w:rPr>
                <w:sz w:val="20"/>
                <w:szCs w:val="20"/>
                <w:lang w:val="en-GB"/>
              </w:rPr>
            </w:pPr>
            <w:r>
              <w:rPr>
                <w:sz w:val="20"/>
                <w:szCs w:val="20"/>
                <w:lang w:val="en-GB"/>
              </w:rPr>
              <w:t>B</w:t>
            </w:r>
            <w:r w:rsidR="00A524F0">
              <w:rPr>
                <w:sz w:val="20"/>
                <w:szCs w:val="20"/>
                <w:lang w:val="en-GB"/>
              </w:rPr>
              <w:t>PA</w:t>
            </w:r>
          </w:p>
        </w:tc>
        <w:tc>
          <w:tcPr>
            <w:tcW w:w="1539" w:type="dxa"/>
            <w:gridSpan w:val="2"/>
            <w:tcBorders>
              <w:top w:val="single" w:sz="4" w:space="0" w:color="auto"/>
              <w:left w:val="single" w:sz="4" w:space="0" w:color="auto"/>
            </w:tcBorders>
            <w:shd w:val="clear" w:color="auto" w:fill="F2F2F2" w:themeFill="background1" w:themeFillShade="F2"/>
            <w:vAlign w:val="center"/>
          </w:tcPr>
          <w:p w14:paraId="15532D6D" w14:textId="77777777" w:rsidR="00A92993" w:rsidRPr="00C60D82" w:rsidRDefault="00A92993" w:rsidP="008F5BE8">
            <w:pPr>
              <w:jc w:val="center"/>
              <w:rPr>
                <w:sz w:val="20"/>
                <w:szCs w:val="20"/>
              </w:rPr>
            </w:pPr>
            <w:r w:rsidRPr="00C60D82">
              <w:rPr>
                <w:sz w:val="20"/>
                <w:szCs w:val="20"/>
                <w:lang w:val="en-GB"/>
              </w:rPr>
              <w:t>Accuracy (%)</w:t>
            </w:r>
          </w:p>
        </w:tc>
        <w:tc>
          <w:tcPr>
            <w:tcW w:w="822" w:type="dxa"/>
            <w:tcBorders>
              <w:top w:val="single" w:sz="4" w:space="0" w:color="auto"/>
              <w:right w:val="single" w:sz="4" w:space="0" w:color="auto"/>
            </w:tcBorders>
            <w:shd w:val="clear" w:color="auto" w:fill="F2F2F2" w:themeFill="background1" w:themeFillShade="F2"/>
            <w:vAlign w:val="center"/>
          </w:tcPr>
          <w:p w14:paraId="330263CC" w14:textId="2577DFD2" w:rsidR="00A92993" w:rsidRPr="00C60D82" w:rsidRDefault="00887A16" w:rsidP="008F5BE8">
            <w:pPr>
              <w:jc w:val="center"/>
              <w:rPr>
                <w:sz w:val="20"/>
                <w:szCs w:val="20"/>
              </w:rPr>
            </w:pPr>
            <w:r>
              <w:rPr>
                <w:sz w:val="20"/>
                <w:szCs w:val="20"/>
              </w:rPr>
              <w:t>74.7</w:t>
            </w:r>
          </w:p>
        </w:tc>
      </w:tr>
      <w:tr w:rsidR="00366C4F" w:rsidRPr="00C60D82" w14:paraId="1B3E1FBA" w14:textId="77777777" w:rsidTr="0017246C">
        <w:trPr>
          <w:trHeight w:val="273"/>
        </w:trPr>
        <w:tc>
          <w:tcPr>
            <w:tcW w:w="572" w:type="dxa"/>
            <w:vMerge/>
            <w:tcBorders>
              <w:left w:val="single" w:sz="4" w:space="0" w:color="auto"/>
              <w:right w:val="single" w:sz="4" w:space="0" w:color="auto"/>
            </w:tcBorders>
            <w:shd w:val="clear" w:color="auto" w:fill="D9D9D9" w:themeFill="background1" w:themeFillShade="D9"/>
            <w:textDirection w:val="btLr"/>
            <w:vAlign w:val="center"/>
          </w:tcPr>
          <w:p w14:paraId="189C1848" w14:textId="77777777" w:rsidR="00A92993" w:rsidRPr="00C60D82" w:rsidRDefault="00A92993" w:rsidP="008F5BE8">
            <w:pPr>
              <w:ind w:left="113" w:right="113"/>
              <w:jc w:val="center"/>
              <w:rPr>
                <w:sz w:val="20"/>
                <w:szCs w:val="20"/>
                <w:lang w:val="en-GB"/>
              </w:rPr>
            </w:pPr>
          </w:p>
        </w:tc>
        <w:tc>
          <w:tcPr>
            <w:tcW w:w="2571" w:type="dxa"/>
            <w:tcBorders>
              <w:left w:val="single" w:sz="4" w:space="0" w:color="auto"/>
            </w:tcBorders>
            <w:shd w:val="clear" w:color="auto" w:fill="F2F2F2" w:themeFill="background1" w:themeFillShade="F2"/>
            <w:vAlign w:val="center"/>
          </w:tcPr>
          <w:p w14:paraId="375C32A3" w14:textId="674192D5" w:rsidR="00A92993" w:rsidRPr="00C60D82" w:rsidRDefault="00A524F0" w:rsidP="008F5BE8">
            <w:pPr>
              <w:jc w:val="right"/>
              <w:rPr>
                <w:sz w:val="20"/>
                <w:szCs w:val="20"/>
                <w:lang w:val="en-GB"/>
              </w:rPr>
            </w:pPr>
            <w:r>
              <w:rPr>
                <w:sz w:val="20"/>
                <w:szCs w:val="20"/>
                <w:lang w:val="en-GB"/>
              </w:rPr>
              <w:t>U</w:t>
            </w:r>
            <w:r w:rsidR="00A92993">
              <w:rPr>
                <w:sz w:val="20"/>
                <w:szCs w:val="20"/>
                <w:lang w:val="en-GB"/>
              </w:rPr>
              <w:t>PA</w:t>
            </w:r>
          </w:p>
        </w:tc>
        <w:tc>
          <w:tcPr>
            <w:tcW w:w="1363" w:type="dxa"/>
            <w:shd w:val="clear" w:color="auto" w:fill="auto"/>
            <w:vAlign w:val="center"/>
          </w:tcPr>
          <w:p w14:paraId="670F5EB2" w14:textId="1BD557C4" w:rsidR="00A92993" w:rsidRPr="00C60D82" w:rsidRDefault="00887A16" w:rsidP="008F5BE8">
            <w:pPr>
              <w:jc w:val="center"/>
              <w:rPr>
                <w:sz w:val="20"/>
                <w:szCs w:val="20"/>
              </w:rPr>
            </w:pPr>
            <w:r>
              <w:rPr>
                <w:sz w:val="20"/>
                <w:szCs w:val="20"/>
              </w:rPr>
              <w:t>91</w:t>
            </w:r>
          </w:p>
        </w:tc>
        <w:tc>
          <w:tcPr>
            <w:tcW w:w="1019" w:type="dxa"/>
            <w:tcBorders>
              <w:right w:val="single" w:sz="4" w:space="0" w:color="auto"/>
            </w:tcBorders>
            <w:shd w:val="clear" w:color="auto" w:fill="auto"/>
            <w:vAlign w:val="center"/>
          </w:tcPr>
          <w:p w14:paraId="53B0B771" w14:textId="6294C594" w:rsidR="00A92993" w:rsidRPr="00C60D82" w:rsidRDefault="00887A16" w:rsidP="008F5BE8">
            <w:pPr>
              <w:jc w:val="center"/>
              <w:rPr>
                <w:sz w:val="20"/>
                <w:szCs w:val="20"/>
              </w:rPr>
            </w:pPr>
            <w:r>
              <w:rPr>
                <w:sz w:val="20"/>
                <w:szCs w:val="20"/>
              </w:rPr>
              <w:t>2</w:t>
            </w:r>
          </w:p>
        </w:tc>
        <w:tc>
          <w:tcPr>
            <w:tcW w:w="1539" w:type="dxa"/>
            <w:gridSpan w:val="2"/>
            <w:tcBorders>
              <w:left w:val="single" w:sz="4" w:space="0" w:color="auto"/>
            </w:tcBorders>
            <w:shd w:val="clear" w:color="auto" w:fill="auto"/>
            <w:vAlign w:val="center"/>
          </w:tcPr>
          <w:p w14:paraId="3D7A4FA7" w14:textId="77777777" w:rsidR="00A92993" w:rsidRPr="00C60D82" w:rsidRDefault="00A92993" w:rsidP="008F5BE8">
            <w:pPr>
              <w:jc w:val="center"/>
              <w:rPr>
                <w:sz w:val="20"/>
                <w:szCs w:val="20"/>
                <w:lang w:val="en-GB"/>
              </w:rPr>
            </w:pPr>
            <w:r w:rsidRPr="00C60D82">
              <w:rPr>
                <w:sz w:val="20"/>
                <w:szCs w:val="20"/>
                <w:lang w:val="en-GB"/>
              </w:rPr>
              <w:t>Sensitivity (%)</w:t>
            </w:r>
          </w:p>
        </w:tc>
        <w:tc>
          <w:tcPr>
            <w:tcW w:w="822" w:type="dxa"/>
            <w:tcBorders>
              <w:right w:val="single" w:sz="4" w:space="0" w:color="auto"/>
            </w:tcBorders>
            <w:shd w:val="clear" w:color="auto" w:fill="auto"/>
            <w:vAlign w:val="center"/>
          </w:tcPr>
          <w:p w14:paraId="184E9F33" w14:textId="6DF46D7B" w:rsidR="00A92993" w:rsidRPr="00C60D82" w:rsidRDefault="00887A16" w:rsidP="008F5BE8">
            <w:pPr>
              <w:jc w:val="center"/>
              <w:rPr>
                <w:sz w:val="20"/>
                <w:szCs w:val="20"/>
              </w:rPr>
            </w:pPr>
            <w:r>
              <w:rPr>
                <w:sz w:val="20"/>
                <w:szCs w:val="20"/>
              </w:rPr>
              <w:t>97.8</w:t>
            </w:r>
          </w:p>
        </w:tc>
      </w:tr>
      <w:tr w:rsidR="00366C4F" w:rsidRPr="00C60D82" w14:paraId="6476CD99" w14:textId="77777777" w:rsidTr="0017246C">
        <w:trPr>
          <w:trHeight w:val="278"/>
        </w:trPr>
        <w:tc>
          <w:tcPr>
            <w:tcW w:w="572" w:type="dxa"/>
            <w:vMerge/>
            <w:tcBorders>
              <w:left w:val="single" w:sz="4" w:space="0" w:color="auto"/>
              <w:right w:val="single" w:sz="4" w:space="0" w:color="auto"/>
            </w:tcBorders>
            <w:shd w:val="clear" w:color="auto" w:fill="D9D9D9" w:themeFill="background1" w:themeFillShade="D9"/>
            <w:vAlign w:val="center"/>
          </w:tcPr>
          <w:p w14:paraId="3953DEE3" w14:textId="77777777" w:rsidR="00A92993" w:rsidRPr="00C60D82" w:rsidRDefault="00A92993" w:rsidP="008F5BE8">
            <w:pPr>
              <w:jc w:val="center"/>
              <w:rPr>
                <w:sz w:val="20"/>
                <w:szCs w:val="20"/>
                <w:lang w:val="en-GB"/>
              </w:rPr>
            </w:pPr>
          </w:p>
        </w:tc>
        <w:tc>
          <w:tcPr>
            <w:tcW w:w="2571" w:type="dxa"/>
            <w:tcBorders>
              <w:left w:val="single" w:sz="4" w:space="0" w:color="auto"/>
              <w:bottom w:val="single" w:sz="4" w:space="0" w:color="auto"/>
            </w:tcBorders>
            <w:shd w:val="clear" w:color="auto" w:fill="F2F2F2" w:themeFill="background1" w:themeFillShade="F2"/>
            <w:vAlign w:val="center"/>
          </w:tcPr>
          <w:p w14:paraId="619A8CC5" w14:textId="74C7DD3B" w:rsidR="00A92993" w:rsidRPr="00C60D82" w:rsidRDefault="00A92993" w:rsidP="008F5BE8">
            <w:pPr>
              <w:jc w:val="right"/>
              <w:rPr>
                <w:sz w:val="20"/>
                <w:szCs w:val="20"/>
                <w:lang w:val="en-GB"/>
              </w:rPr>
            </w:pPr>
            <w:r>
              <w:rPr>
                <w:sz w:val="20"/>
                <w:szCs w:val="20"/>
                <w:lang w:val="en-GB"/>
              </w:rPr>
              <w:t>B</w:t>
            </w:r>
            <w:r w:rsidR="00A524F0">
              <w:rPr>
                <w:sz w:val="20"/>
                <w:szCs w:val="20"/>
                <w:lang w:val="en-GB"/>
              </w:rPr>
              <w:t>PA</w:t>
            </w:r>
          </w:p>
        </w:tc>
        <w:tc>
          <w:tcPr>
            <w:tcW w:w="1363" w:type="dxa"/>
            <w:tcBorders>
              <w:bottom w:val="single" w:sz="4" w:space="0" w:color="auto"/>
            </w:tcBorders>
            <w:shd w:val="clear" w:color="auto" w:fill="auto"/>
            <w:vAlign w:val="center"/>
          </w:tcPr>
          <w:p w14:paraId="01174766" w14:textId="0CC385EE" w:rsidR="00A92993" w:rsidRPr="00C60D82" w:rsidRDefault="00887A16" w:rsidP="008F5BE8">
            <w:pPr>
              <w:jc w:val="center"/>
              <w:rPr>
                <w:sz w:val="20"/>
                <w:szCs w:val="20"/>
              </w:rPr>
            </w:pPr>
            <w:r>
              <w:rPr>
                <w:sz w:val="20"/>
                <w:szCs w:val="20"/>
              </w:rPr>
              <w:t>36</w:t>
            </w:r>
          </w:p>
        </w:tc>
        <w:tc>
          <w:tcPr>
            <w:tcW w:w="1019" w:type="dxa"/>
            <w:tcBorders>
              <w:bottom w:val="single" w:sz="4" w:space="0" w:color="auto"/>
              <w:right w:val="single" w:sz="4" w:space="0" w:color="auto"/>
            </w:tcBorders>
            <w:shd w:val="clear" w:color="auto" w:fill="auto"/>
            <w:vAlign w:val="center"/>
          </w:tcPr>
          <w:p w14:paraId="751AC1C2" w14:textId="655A539C" w:rsidR="00A92993" w:rsidRPr="00C60D82" w:rsidRDefault="00887A16" w:rsidP="008F5BE8">
            <w:pPr>
              <w:jc w:val="center"/>
              <w:rPr>
                <w:sz w:val="20"/>
                <w:szCs w:val="20"/>
              </w:rPr>
            </w:pPr>
            <w:r>
              <w:rPr>
                <w:sz w:val="20"/>
                <w:szCs w:val="20"/>
              </w:rPr>
              <w:t>21</w:t>
            </w:r>
          </w:p>
        </w:tc>
        <w:tc>
          <w:tcPr>
            <w:tcW w:w="1539" w:type="dxa"/>
            <w:gridSpan w:val="2"/>
            <w:tcBorders>
              <w:left w:val="single" w:sz="4" w:space="0" w:color="auto"/>
              <w:bottom w:val="single" w:sz="4" w:space="0" w:color="auto"/>
            </w:tcBorders>
            <w:shd w:val="clear" w:color="auto" w:fill="auto"/>
            <w:vAlign w:val="center"/>
          </w:tcPr>
          <w:p w14:paraId="1E88280A" w14:textId="77777777" w:rsidR="00A92993" w:rsidRPr="00C60D82" w:rsidRDefault="00A92993" w:rsidP="008F5BE8">
            <w:pPr>
              <w:jc w:val="center"/>
              <w:rPr>
                <w:sz w:val="20"/>
                <w:szCs w:val="20"/>
                <w:lang w:val="en-GB"/>
              </w:rPr>
            </w:pPr>
            <w:r w:rsidRPr="00C60D82">
              <w:rPr>
                <w:sz w:val="20"/>
                <w:szCs w:val="20"/>
                <w:lang w:val="en-GB"/>
              </w:rPr>
              <w:t>Specificity (%)</w:t>
            </w:r>
          </w:p>
        </w:tc>
        <w:tc>
          <w:tcPr>
            <w:tcW w:w="822" w:type="dxa"/>
            <w:tcBorders>
              <w:bottom w:val="single" w:sz="4" w:space="0" w:color="auto"/>
              <w:right w:val="single" w:sz="4" w:space="0" w:color="auto"/>
            </w:tcBorders>
            <w:shd w:val="clear" w:color="auto" w:fill="auto"/>
            <w:vAlign w:val="center"/>
          </w:tcPr>
          <w:p w14:paraId="6874D0B0" w14:textId="63C04A1F" w:rsidR="00A92993" w:rsidRPr="00C60D82" w:rsidRDefault="00887A16" w:rsidP="008F5BE8">
            <w:pPr>
              <w:jc w:val="center"/>
              <w:rPr>
                <w:sz w:val="20"/>
                <w:szCs w:val="20"/>
              </w:rPr>
            </w:pPr>
            <w:r>
              <w:rPr>
                <w:sz w:val="20"/>
                <w:szCs w:val="20"/>
              </w:rPr>
              <w:t>36.8</w:t>
            </w:r>
          </w:p>
        </w:tc>
      </w:tr>
      <w:tr w:rsidR="00366C4F" w:rsidRPr="00C60D82" w14:paraId="769296CE" w14:textId="77777777" w:rsidTr="0017246C">
        <w:trPr>
          <w:trHeight w:val="423"/>
        </w:trPr>
        <w:tc>
          <w:tcPr>
            <w:tcW w:w="572" w:type="dxa"/>
            <w:vMerge/>
            <w:tcBorders>
              <w:left w:val="single" w:sz="4" w:space="0" w:color="auto"/>
              <w:right w:val="single" w:sz="4" w:space="0" w:color="auto"/>
            </w:tcBorders>
            <w:shd w:val="clear" w:color="auto" w:fill="D9D9D9" w:themeFill="background1" w:themeFillShade="D9"/>
            <w:textDirection w:val="btLr"/>
            <w:vAlign w:val="center"/>
          </w:tcPr>
          <w:p w14:paraId="3CBA425F" w14:textId="77777777" w:rsidR="00366C4F" w:rsidRPr="00C60D82" w:rsidRDefault="00366C4F" w:rsidP="00366C4F">
            <w:pPr>
              <w:ind w:left="113" w:right="113"/>
              <w:jc w:val="center"/>
              <w:rPr>
                <w:sz w:val="20"/>
                <w:szCs w:val="20"/>
                <w:lang w:val="en-GB"/>
              </w:rPr>
            </w:pPr>
          </w:p>
        </w:tc>
        <w:tc>
          <w:tcPr>
            <w:tcW w:w="2571" w:type="dxa"/>
            <w:tcBorders>
              <w:top w:val="single" w:sz="4" w:space="0" w:color="auto"/>
              <w:left w:val="single" w:sz="4" w:space="0" w:color="auto"/>
            </w:tcBorders>
            <w:shd w:val="clear" w:color="auto" w:fill="F2F2F2" w:themeFill="background1" w:themeFillShade="F2"/>
            <w:vAlign w:val="center"/>
          </w:tcPr>
          <w:p w14:paraId="5090FD8B" w14:textId="12CB5D74" w:rsidR="00366C4F" w:rsidRPr="00C60D82" w:rsidRDefault="00DE792B" w:rsidP="00366C4F">
            <w:pPr>
              <w:rPr>
                <w:sz w:val="20"/>
                <w:szCs w:val="20"/>
                <w:lang w:val="en-GB"/>
              </w:rPr>
            </w:pPr>
            <w:r>
              <w:rPr>
                <w:b/>
                <w:sz w:val="20"/>
                <w:szCs w:val="20"/>
                <w:lang w:val="en-GB"/>
              </w:rPr>
              <w:t>Validation</w:t>
            </w:r>
            <w:r w:rsidR="00366C4F" w:rsidRPr="00C60D82">
              <w:rPr>
                <w:b/>
                <w:sz w:val="20"/>
                <w:szCs w:val="20"/>
                <w:lang w:val="en-GB"/>
              </w:rPr>
              <w:t xml:space="preserve"> </w:t>
            </w:r>
            <w:r w:rsidR="004F3F11">
              <w:rPr>
                <w:b/>
                <w:sz w:val="20"/>
                <w:szCs w:val="20"/>
                <w:lang w:val="en-GB"/>
              </w:rPr>
              <w:t>cohort</w:t>
            </w:r>
            <w:r w:rsidR="004F3F11" w:rsidRPr="00C60D82">
              <w:rPr>
                <w:b/>
                <w:sz w:val="20"/>
                <w:szCs w:val="20"/>
                <w:lang w:val="en-GB"/>
              </w:rPr>
              <w:t xml:space="preserve"> </w:t>
            </w:r>
            <w:r w:rsidR="00366C4F" w:rsidRPr="00C60D82">
              <w:rPr>
                <w:sz w:val="20"/>
                <w:szCs w:val="20"/>
                <w:lang w:val="en-GB"/>
              </w:rPr>
              <w:t>(</w:t>
            </w:r>
            <w:r w:rsidR="006A0F4D">
              <w:rPr>
                <w:sz w:val="20"/>
                <w:szCs w:val="20"/>
                <w:lang w:val="en-GB"/>
              </w:rPr>
              <w:t>N</w:t>
            </w:r>
            <w:r w:rsidR="00366C4F" w:rsidRPr="00C60D82">
              <w:rPr>
                <w:sz w:val="20"/>
                <w:szCs w:val="20"/>
                <w:lang w:val="en-GB"/>
              </w:rPr>
              <w:t xml:space="preserve"> = </w:t>
            </w:r>
            <w:r w:rsidR="00366C4F">
              <w:rPr>
                <w:sz w:val="20"/>
                <w:szCs w:val="20"/>
                <w:lang w:val="en-GB"/>
              </w:rPr>
              <w:t>65</w:t>
            </w:r>
            <w:r w:rsidR="00366C4F" w:rsidRPr="00C60D82">
              <w:rPr>
                <w:sz w:val="20"/>
                <w:szCs w:val="20"/>
                <w:lang w:val="en-GB"/>
              </w:rPr>
              <w:t>)</w:t>
            </w:r>
          </w:p>
        </w:tc>
        <w:tc>
          <w:tcPr>
            <w:tcW w:w="1363" w:type="dxa"/>
            <w:tcBorders>
              <w:top w:val="single" w:sz="4" w:space="0" w:color="auto"/>
            </w:tcBorders>
            <w:shd w:val="clear" w:color="auto" w:fill="F2F2F2" w:themeFill="background1" w:themeFillShade="F2"/>
            <w:vAlign w:val="center"/>
          </w:tcPr>
          <w:p w14:paraId="655B9ED3" w14:textId="499452B3" w:rsidR="00366C4F" w:rsidRPr="00C60D82" w:rsidRDefault="00A524F0" w:rsidP="00366C4F">
            <w:pPr>
              <w:jc w:val="center"/>
              <w:rPr>
                <w:sz w:val="20"/>
                <w:szCs w:val="20"/>
                <w:lang w:val="en-GB"/>
              </w:rPr>
            </w:pPr>
            <w:r>
              <w:rPr>
                <w:sz w:val="20"/>
                <w:szCs w:val="20"/>
                <w:lang w:val="en-GB"/>
              </w:rPr>
              <w:t>U</w:t>
            </w:r>
            <w:r w:rsidR="00366C4F">
              <w:rPr>
                <w:sz w:val="20"/>
                <w:szCs w:val="20"/>
                <w:lang w:val="en-GB"/>
              </w:rPr>
              <w:t>PA</w:t>
            </w:r>
          </w:p>
        </w:tc>
        <w:tc>
          <w:tcPr>
            <w:tcW w:w="1019" w:type="dxa"/>
            <w:tcBorders>
              <w:top w:val="single" w:sz="4" w:space="0" w:color="auto"/>
              <w:right w:val="single" w:sz="4" w:space="0" w:color="auto"/>
            </w:tcBorders>
            <w:shd w:val="clear" w:color="auto" w:fill="F2F2F2" w:themeFill="background1" w:themeFillShade="F2"/>
            <w:vAlign w:val="center"/>
          </w:tcPr>
          <w:p w14:paraId="06E902FC" w14:textId="60DBD2AD" w:rsidR="00366C4F" w:rsidRPr="00C60D82" w:rsidRDefault="00366C4F" w:rsidP="00366C4F">
            <w:pPr>
              <w:jc w:val="center"/>
              <w:rPr>
                <w:sz w:val="20"/>
                <w:szCs w:val="20"/>
                <w:lang w:val="en-GB"/>
              </w:rPr>
            </w:pPr>
            <w:r>
              <w:rPr>
                <w:sz w:val="20"/>
                <w:szCs w:val="20"/>
                <w:lang w:val="en-GB"/>
              </w:rPr>
              <w:t>B</w:t>
            </w:r>
            <w:r w:rsidR="00A524F0">
              <w:rPr>
                <w:sz w:val="20"/>
                <w:szCs w:val="20"/>
                <w:lang w:val="en-GB"/>
              </w:rPr>
              <w:t>PA</w:t>
            </w:r>
          </w:p>
        </w:tc>
        <w:tc>
          <w:tcPr>
            <w:tcW w:w="1539" w:type="dxa"/>
            <w:gridSpan w:val="2"/>
            <w:tcBorders>
              <w:top w:val="single" w:sz="4" w:space="0" w:color="auto"/>
              <w:left w:val="single" w:sz="4" w:space="0" w:color="auto"/>
            </w:tcBorders>
            <w:shd w:val="clear" w:color="auto" w:fill="F2F2F2" w:themeFill="background1" w:themeFillShade="F2"/>
            <w:vAlign w:val="center"/>
          </w:tcPr>
          <w:p w14:paraId="34243A77" w14:textId="77777777" w:rsidR="00366C4F" w:rsidRPr="00C60D82" w:rsidRDefault="00366C4F" w:rsidP="00366C4F">
            <w:pPr>
              <w:jc w:val="center"/>
              <w:rPr>
                <w:sz w:val="20"/>
                <w:szCs w:val="20"/>
              </w:rPr>
            </w:pPr>
            <w:r w:rsidRPr="00C60D82">
              <w:rPr>
                <w:sz w:val="20"/>
                <w:szCs w:val="20"/>
                <w:lang w:val="en-GB"/>
              </w:rPr>
              <w:t>Accuracy (%)</w:t>
            </w:r>
          </w:p>
        </w:tc>
        <w:tc>
          <w:tcPr>
            <w:tcW w:w="822" w:type="dxa"/>
            <w:tcBorders>
              <w:top w:val="single" w:sz="4" w:space="0" w:color="auto"/>
              <w:right w:val="single" w:sz="4" w:space="0" w:color="auto"/>
            </w:tcBorders>
            <w:shd w:val="clear" w:color="auto" w:fill="F2F2F2" w:themeFill="background1" w:themeFillShade="F2"/>
            <w:vAlign w:val="center"/>
          </w:tcPr>
          <w:p w14:paraId="6CE3B48E" w14:textId="13CC78BD" w:rsidR="00366C4F" w:rsidRPr="00C60D82" w:rsidRDefault="00887A16" w:rsidP="00366C4F">
            <w:pPr>
              <w:jc w:val="center"/>
              <w:rPr>
                <w:sz w:val="20"/>
                <w:szCs w:val="20"/>
              </w:rPr>
            </w:pPr>
            <w:r>
              <w:rPr>
                <w:sz w:val="20"/>
                <w:szCs w:val="20"/>
              </w:rPr>
              <w:t>69.2</w:t>
            </w:r>
          </w:p>
        </w:tc>
      </w:tr>
      <w:tr w:rsidR="00366C4F" w:rsidRPr="00C60D82" w14:paraId="46F532CF" w14:textId="77777777" w:rsidTr="0017246C">
        <w:trPr>
          <w:trHeight w:val="278"/>
        </w:trPr>
        <w:tc>
          <w:tcPr>
            <w:tcW w:w="572" w:type="dxa"/>
            <w:vMerge/>
            <w:tcBorders>
              <w:left w:val="single" w:sz="4" w:space="0" w:color="auto"/>
              <w:right w:val="single" w:sz="4" w:space="0" w:color="auto"/>
            </w:tcBorders>
            <w:shd w:val="clear" w:color="auto" w:fill="D9D9D9" w:themeFill="background1" w:themeFillShade="D9"/>
            <w:vAlign w:val="center"/>
          </w:tcPr>
          <w:p w14:paraId="70B05A57" w14:textId="77777777" w:rsidR="00A92993" w:rsidRPr="00C60D82" w:rsidRDefault="00A92993" w:rsidP="008F5BE8">
            <w:pPr>
              <w:jc w:val="center"/>
              <w:rPr>
                <w:sz w:val="20"/>
                <w:szCs w:val="20"/>
                <w:lang w:val="en-GB"/>
              </w:rPr>
            </w:pPr>
          </w:p>
        </w:tc>
        <w:tc>
          <w:tcPr>
            <w:tcW w:w="2571" w:type="dxa"/>
            <w:tcBorders>
              <w:left w:val="single" w:sz="4" w:space="0" w:color="auto"/>
            </w:tcBorders>
            <w:shd w:val="clear" w:color="auto" w:fill="F2F2F2" w:themeFill="background1" w:themeFillShade="F2"/>
            <w:vAlign w:val="center"/>
          </w:tcPr>
          <w:p w14:paraId="38869F09" w14:textId="55792C07" w:rsidR="00A92993" w:rsidRPr="00C60D82" w:rsidRDefault="00A524F0" w:rsidP="008F5BE8">
            <w:pPr>
              <w:jc w:val="right"/>
              <w:rPr>
                <w:sz w:val="20"/>
                <w:szCs w:val="20"/>
                <w:lang w:val="en-GB"/>
              </w:rPr>
            </w:pPr>
            <w:r>
              <w:rPr>
                <w:sz w:val="20"/>
                <w:szCs w:val="20"/>
                <w:lang w:val="en-GB"/>
              </w:rPr>
              <w:t>U</w:t>
            </w:r>
            <w:r w:rsidR="00A92993">
              <w:rPr>
                <w:sz w:val="20"/>
                <w:szCs w:val="20"/>
                <w:lang w:val="en-GB"/>
              </w:rPr>
              <w:t>PA</w:t>
            </w:r>
          </w:p>
        </w:tc>
        <w:tc>
          <w:tcPr>
            <w:tcW w:w="1363" w:type="dxa"/>
            <w:shd w:val="clear" w:color="auto" w:fill="auto"/>
            <w:vAlign w:val="center"/>
          </w:tcPr>
          <w:p w14:paraId="1F8FF79C" w14:textId="6F6A91F7" w:rsidR="00A92993" w:rsidRPr="00C60D82" w:rsidRDefault="00887A16" w:rsidP="008F5BE8">
            <w:pPr>
              <w:jc w:val="center"/>
              <w:rPr>
                <w:sz w:val="20"/>
                <w:szCs w:val="20"/>
              </w:rPr>
            </w:pPr>
            <w:r>
              <w:rPr>
                <w:sz w:val="20"/>
                <w:szCs w:val="20"/>
              </w:rPr>
              <w:t>38</w:t>
            </w:r>
          </w:p>
        </w:tc>
        <w:tc>
          <w:tcPr>
            <w:tcW w:w="1019" w:type="dxa"/>
            <w:tcBorders>
              <w:right w:val="single" w:sz="4" w:space="0" w:color="auto"/>
            </w:tcBorders>
            <w:shd w:val="clear" w:color="auto" w:fill="auto"/>
            <w:vAlign w:val="center"/>
          </w:tcPr>
          <w:p w14:paraId="711ADF41" w14:textId="666EB26E" w:rsidR="00A92993" w:rsidRPr="00C60D82" w:rsidRDefault="00887A16" w:rsidP="008F5BE8">
            <w:pPr>
              <w:jc w:val="center"/>
              <w:rPr>
                <w:sz w:val="20"/>
                <w:szCs w:val="20"/>
              </w:rPr>
            </w:pPr>
            <w:r>
              <w:rPr>
                <w:sz w:val="20"/>
                <w:szCs w:val="20"/>
              </w:rPr>
              <w:t>2</w:t>
            </w:r>
          </w:p>
        </w:tc>
        <w:tc>
          <w:tcPr>
            <w:tcW w:w="1539" w:type="dxa"/>
            <w:gridSpan w:val="2"/>
            <w:tcBorders>
              <w:left w:val="single" w:sz="4" w:space="0" w:color="auto"/>
            </w:tcBorders>
            <w:shd w:val="clear" w:color="auto" w:fill="auto"/>
            <w:vAlign w:val="center"/>
          </w:tcPr>
          <w:p w14:paraId="2EF3BAAC" w14:textId="77777777" w:rsidR="00A92993" w:rsidRPr="00C60D82" w:rsidRDefault="00A92993" w:rsidP="008F5BE8">
            <w:pPr>
              <w:jc w:val="center"/>
              <w:rPr>
                <w:sz w:val="20"/>
                <w:szCs w:val="20"/>
                <w:lang w:val="en-GB"/>
              </w:rPr>
            </w:pPr>
            <w:r w:rsidRPr="00C60D82">
              <w:rPr>
                <w:sz w:val="20"/>
                <w:szCs w:val="20"/>
                <w:lang w:val="en-GB"/>
              </w:rPr>
              <w:t>Sensitivity (%)</w:t>
            </w:r>
          </w:p>
        </w:tc>
        <w:tc>
          <w:tcPr>
            <w:tcW w:w="822" w:type="dxa"/>
            <w:tcBorders>
              <w:right w:val="single" w:sz="4" w:space="0" w:color="auto"/>
            </w:tcBorders>
            <w:shd w:val="clear" w:color="auto" w:fill="auto"/>
            <w:vAlign w:val="center"/>
          </w:tcPr>
          <w:p w14:paraId="574D2E47" w14:textId="4E3FBC7B" w:rsidR="00A92993" w:rsidRPr="00C60D82" w:rsidRDefault="00887A16" w:rsidP="008F5BE8">
            <w:pPr>
              <w:jc w:val="center"/>
              <w:rPr>
                <w:sz w:val="20"/>
                <w:szCs w:val="20"/>
              </w:rPr>
            </w:pPr>
            <w:r>
              <w:rPr>
                <w:sz w:val="20"/>
                <w:szCs w:val="20"/>
              </w:rPr>
              <w:t>95.0</w:t>
            </w:r>
          </w:p>
        </w:tc>
      </w:tr>
      <w:tr w:rsidR="00366C4F" w:rsidRPr="00C60D82" w14:paraId="604FF98A" w14:textId="77777777" w:rsidTr="0017246C">
        <w:trPr>
          <w:trHeight w:val="278"/>
        </w:trPr>
        <w:tc>
          <w:tcPr>
            <w:tcW w:w="572" w:type="dxa"/>
            <w:vMerge/>
            <w:tcBorders>
              <w:left w:val="single" w:sz="4" w:space="0" w:color="auto"/>
              <w:right w:val="single" w:sz="4" w:space="0" w:color="auto"/>
            </w:tcBorders>
            <w:shd w:val="clear" w:color="auto" w:fill="D9D9D9" w:themeFill="background1" w:themeFillShade="D9"/>
            <w:vAlign w:val="center"/>
          </w:tcPr>
          <w:p w14:paraId="47AB00F2" w14:textId="77777777" w:rsidR="00A92993" w:rsidRPr="00C60D82" w:rsidRDefault="00A92993" w:rsidP="008F5BE8">
            <w:pPr>
              <w:jc w:val="center"/>
              <w:rPr>
                <w:sz w:val="20"/>
                <w:szCs w:val="20"/>
                <w:lang w:val="en-GB"/>
              </w:rPr>
            </w:pPr>
          </w:p>
        </w:tc>
        <w:tc>
          <w:tcPr>
            <w:tcW w:w="2571" w:type="dxa"/>
            <w:tcBorders>
              <w:left w:val="single" w:sz="4" w:space="0" w:color="auto"/>
              <w:bottom w:val="single" w:sz="4" w:space="0" w:color="auto"/>
            </w:tcBorders>
            <w:shd w:val="clear" w:color="auto" w:fill="F2F2F2" w:themeFill="background1" w:themeFillShade="F2"/>
            <w:vAlign w:val="center"/>
          </w:tcPr>
          <w:p w14:paraId="06502447" w14:textId="67D139E8" w:rsidR="00A92993" w:rsidRPr="00C60D82" w:rsidRDefault="00A92993" w:rsidP="008F5BE8">
            <w:pPr>
              <w:jc w:val="right"/>
              <w:rPr>
                <w:sz w:val="20"/>
                <w:szCs w:val="20"/>
                <w:lang w:val="en-GB"/>
              </w:rPr>
            </w:pPr>
            <w:r>
              <w:rPr>
                <w:sz w:val="20"/>
                <w:szCs w:val="20"/>
                <w:lang w:val="en-GB"/>
              </w:rPr>
              <w:t>B</w:t>
            </w:r>
            <w:r w:rsidR="00A524F0">
              <w:rPr>
                <w:sz w:val="20"/>
                <w:szCs w:val="20"/>
                <w:lang w:val="en-GB"/>
              </w:rPr>
              <w:t>P</w:t>
            </w:r>
            <w:r>
              <w:rPr>
                <w:sz w:val="20"/>
                <w:szCs w:val="20"/>
                <w:lang w:val="en-GB"/>
              </w:rPr>
              <w:t>A</w:t>
            </w:r>
          </w:p>
        </w:tc>
        <w:tc>
          <w:tcPr>
            <w:tcW w:w="1363" w:type="dxa"/>
            <w:tcBorders>
              <w:bottom w:val="single" w:sz="4" w:space="0" w:color="auto"/>
            </w:tcBorders>
            <w:shd w:val="clear" w:color="auto" w:fill="auto"/>
            <w:vAlign w:val="center"/>
          </w:tcPr>
          <w:p w14:paraId="4B8C5B89" w14:textId="46321136" w:rsidR="00A92993" w:rsidRPr="00C60D82" w:rsidRDefault="00887A16" w:rsidP="008F5BE8">
            <w:pPr>
              <w:jc w:val="center"/>
              <w:rPr>
                <w:sz w:val="20"/>
                <w:szCs w:val="20"/>
              </w:rPr>
            </w:pPr>
            <w:r>
              <w:rPr>
                <w:sz w:val="20"/>
                <w:szCs w:val="20"/>
              </w:rPr>
              <w:t>18</w:t>
            </w:r>
          </w:p>
        </w:tc>
        <w:tc>
          <w:tcPr>
            <w:tcW w:w="1019" w:type="dxa"/>
            <w:tcBorders>
              <w:bottom w:val="single" w:sz="4" w:space="0" w:color="auto"/>
              <w:right w:val="single" w:sz="4" w:space="0" w:color="auto"/>
            </w:tcBorders>
            <w:shd w:val="clear" w:color="auto" w:fill="auto"/>
            <w:vAlign w:val="center"/>
          </w:tcPr>
          <w:p w14:paraId="62A062E5" w14:textId="09CB1638" w:rsidR="00A92993" w:rsidRPr="00C60D82" w:rsidRDefault="00887A16" w:rsidP="008F5BE8">
            <w:pPr>
              <w:jc w:val="center"/>
              <w:rPr>
                <w:sz w:val="20"/>
                <w:szCs w:val="20"/>
              </w:rPr>
            </w:pPr>
            <w:r>
              <w:rPr>
                <w:sz w:val="20"/>
                <w:szCs w:val="20"/>
              </w:rPr>
              <w:t>7</w:t>
            </w:r>
          </w:p>
        </w:tc>
        <w:tc>
          <w:tcPr>
            <w:tcW w:w="1539" w:type="dxa"/>
            <w:gridSpan w:val="2"/>
            <w:tcBorders>
              <w:left w:val="single" w:sz="4" w:space="0" w:color="auto"/>
              <w:bottom w:val="single" w:sz="4" w:space="0" w:color="auto"/>
            </w:tcBorders>
            <w:shd w:val="clear" w:color="auto" w:fill="auto"/>
            <w:vAlign w:val="center"/>
          </w:tcPr>
          <w:p w14:paraId="3DFEDA03" w14:textId="77777777" w:rsidR="00A92993" w:rsidRPr="00C60D82" w:rsidRDefault="00A92993" w:rsidP="008F5BE8">
            <w:pPr>
              <w:jc w:val="center"/>
              <w:rPr>
                <w:sz w:val="20"/>
                <w:szCs w:val="20"/>
                <w:lang w:val="en-GB"/>
              </w:rPr>
            </w:pPr>
            <w:r w:rsidRPr="00C60D82">
              <w:rPr>
                <w:sz w:val="20"/>
                <w:szCs w:val="20"/>
                <w:lang w:val="en-GB"/>
              </w:rPr>
              <w:t>Specificity (%)</w:t>
            </w:r>
          </w:p>
        </w:tc>
        <w:tc>
          <w:tcPr>
            <w:tcW w:w="822" w:type="dxa"/>
            <w:tcBorders>
              <w:bottom w:val="single" w:sz="4" w:space="0" w:color="auto"/>
              <w:right w:val="single" w:sz="4" w:space="0" w:color="auto"/>
            </w:tcBorders>
            <w:shd w:val="clear" w:color="auto" w:fill="auto"/>
            <w:vAlign w:val="center"/>
          </w:tcPr>
          <w:p w14:paraId="74FE715D" w14:textId="793E3B06" w:rsidR="00A92993" w:rsidRPr="00C60D82" w:rsidRDefault="00887A16" w:rsidP="008F5BE8">
            <w:pPr>
              <w:jc w:val="center"/>
              <w:rPr>
                <w:sz w:val="20"/>
                <w:szCs w:val="20"/>
              </w:rPr>
            </w:pPr>
            <w:r>
              <w:rPr>
                <w:sz w:val="20"/>
                <w:szCs w:val="20"/>
              </w:rPr>
              <w:t>28.0</w:t>
            </w:r>
          </w:p>
        </w:tc>
      </w:tr>
      <w:tr w:rsidR="00366C4F" w:rsidRPr="00C60D82" w14:paraId="4DE282C8" w14:textId="77777777" w:rsidTr="0017246C">
        <w:trPr>
          <w:trHeight w:val="435"/>
        </w:trPr>
        <w:tc>
          <w:tcPr>
            <w:tcW w:w="572" w:type="dxa"/>
            <w:vMerge/>
            <w:tcBorders>
              <w:left w:val="single" w:sz="4" w:space="0" w:color="auto"/>
              <w:right w:val="single" w:sz="4" w:space="0" w:color="auto"/>
            </w:tcBorders>
            <w:shd w:val="clear" w:color="auto" w:fill="D9D9D9" w:themeFill="background1" w:themeFillShade="D9"/>
            <w:vAlign w:val="center"/>
          </w:tcPr>
          <w:p w14:paraId="77250D9A" w14:textId="77777777" w:rsidR="00366C4F" w:rsidRPr="00C60D82" w:rsidRDefault="00366C4F" w:rsidP="00366C4F">
            <w:pPr>
              <w:jc w:val="center"/>
              <w:rPr>
                <w:sz w:val="20"/>
                <w:szCs w:val="20"/>
                <w:lang w:val="en-GB"/>
              </w:rPr>
            </w:pPr>
          </w:p>
        </w:tc>
        <w:tc>
          <w:tcPr>
            <w:tcW w:w="2571" w:type="dxa"/>
            <w:tcBorders>
              <w:top w:val="single" w:sz="4" w:space="0" w:color="auto"/>
              <w:left w:val="single" w:sz="4" w:space="0" w:color="auto"/>
            </w:tcBorders>
            <w:shd w:val="clear" w:color="auto" w:fill="F2F2F2" w:themeFill="background1" w:themeFillShade="F2"/>
            <w:vAlign w:val="center"/>
          </w:tcPr>
          <w:p w14:paraId="6387D16B" w14:textId="375C645A" w:rsidR="00366C4F" w:rsidRPr="00C60D82" w:rsidRDefault="00366C4F" w:rsidP="00366C4F">
            <w:pPr>
              <w:rPr>
                <w:b/>
                <w:sz w:val="20"/>
                <w:szCs w:val="20"/>
                <w:lang w:val="en-GB"/>
              </w:rPr>
            </w:pPr>
            <w:r w:rsidRPr="00C60D82">
              <w:rPr>
                <w:b/>
                <w:sz w:val="20"/>
                <w:szCs w:val="20"/>
                <w:lang w:val="en-GB"/>
              </w:rPr>
              <w:t xml:space="preserve">Combined </w:t>
            </w:r>
            <w:r w:rsidR="004F3F11">
              <w:rPr>
                <w:b/>
                <w:sz w:val="20"/>
                <w:szCs w:val="20"/>
                <w:lang w:val="en-GB"/>
              </w:rPr>
              <w:t>c</w:t>
            </w:r>
            <w:r w:rsidRPr="00C60D82">
              <w:rPr>
                <w:b/>
                <w:sz w:val="20"/>
                <w:szCs w:val="20"/>
                <w:lang w:val="en-GB"/>
              </w:rPr>
              <w:t>ohort</w:t>
            </w:r>
            <w:r w:rsidRPr="00C60D82">
              <w:rPr>
                <w:sz w:val="20"/>
                <w:szCs w:val="20"/>
                <w:lang w:val="en-GB"/>
              </w:rPr>
              <w:t xml:space="preserve"> (</w:t>
            </w:r>
            <w:r w:rsidR="006A0F4D">
              <w:rPr>
                <w:sz w:val="20"/>
                <w:szCs w:val="20"/>
                <w:lang w:val="en-GB"/>
              </w:rPr>
              <w:t>N</w:t>
            </w:r>
            <w:r w:rsidRPr="00C60D82">
              <w:rPr>
                <w:sz w:val="20"/>
                <w:szCs w:val="20"/>
                <w:lang w:val="en-GB"/>
              </w:rPr>
              <w:t xml:space="preserve"> = </w:t>
            </w:r>
            <w:r>
              <w:rPr>
                <w:sz w:val="20"/>
                <w:szCs w:val="20"/>
                <w:lang w:val="en-GB"/>
              </w:rPr>
              <w:t>215</w:t>
            </w:r>
            <w:r w:rsidRPr="00C60D82">
              <w:rPr>
                <w:sz w:val="20"/>
                <w:szCs w:val="20"/>
                <w:lang w:val="en-GB"/>
              </w:rPr>
              <w:t>)</w:t>
            </w:r>
          </w:p>
        </w:tc>
        <w:tc>
          <w:tcPr>
            <w:tcW w:w="1363" w:type="dxa"/>
            <w:tcBorders>
              <w:top w:val="single" w:sz="4" w:space="0" w:color="auto"/>
            </w:tcBorders>
            <w:shd w:val="clear" w:color="auto" w:fill="F2F2F2" w:themeFill="background1" w:themeFillShade="F2"/>
            <w:vAlign w:val="center"/>
          </w:tcPr>
          <w:p w14:paraId="6C79D51A" w14:textId="4E9CC5A6" w:rsidR="00366C4F" w:rsidRPr="00C60D82" w:rsidRDefault="00A524F0" w:rsidP="00366C4F">
            <w:pPr>
              <w:jc w:val="center"/>
              <w:rPr>
                <w:sz w:val="20"/>
                <w:szCs w:val="20"/>
                <w:lang w:val="en-GB"/>
              </w:rPr>
            </w:pPr>
            <w:r>
              <w:rPr>
                <w:sz w:val="20"/>
                <w:szCs w:val="20"/>
                <w:lang w:val="en-GB"/>
              </w:rPr>
              <w:t>U</w:t>
            </w:r>
            <w:r w:rsidR="00366C4F">
              <w:rPr>
                <w:sz w:val="20"/>
                <w:szCs w:val="20"/>
                <w:lang w:val="en-GB"/>
              </w:rPr>
              <w:t>PA</w:t>
            </w:r>
          </w:p>
        </w:tc>
        <w:tc>
          <w:tcPr>
            <w:tcW w:w="1019" w:type="dxa"/>
            <w:tcBorders>
              <w:top w:val="single" w:sz="4" w:space="0" w:color="auto"/>
              <w:right w:val="single" w:sz="4" w:space="0" w:color="auto"/>
            </w:tcBorders>
            <w:shd w:val="clear" w:color="auto" w:fill="F2F2F2" w:themeFill="background1" w:themeFillShade="F2"/>
            <w:vAlign w:val="center"/>
          </w:tcPr>
          <w:p w14:paraId="18F1417B" w14:textId="4136FF99" w:rsidR="00366C4F" w:rsidRPr="00C60D82" w:rsidRDefault="00366C4F" w:rsidP="00366C4F">
            <w:pPr>
              <w:jc w:val="center"/>
              <w:rPr>
                <w:sz w:val="20"/>
                <w:szCs w:val="20"/>
                <w:lang w:val="en-GB"/>
              </w:rPr>
            </w:pPr>
            <w:r>
              <w:rPr>
                <w:sz w:val="20"/>
                <w:szCs w:val="20"/>
                <w:lang w:val="en-GB"/>
              </w:rPr>
              <w:t>B</w:t>
            </w:r>
            <w:r w:rsidR="00A524F0">
              <w:rPr>
                <w:sz w:val="20"/>
                <w:szCs w:val="20"/>
                <w:lang w:val="en-GB"/>
              </w:rPr>
              <w:t>PA</w:t>
            </w:r>
          </w:p>
        </w:tc>
        <w:tc>
          <w:tcPr>
            <w:tcW w:w="1539" w:type="dxa"/>
            <w:gridSpan w:val="2"/>
            <w:tcBorders>
              <w:top w:val="single" w:sz="4" w:space="0" w:color="auto"/>
              <w:left w:val="single" w:sz="4" w:space="0" w:color="auto"/>
            </w:tcBorders>
            <w:shd w:val="clear" w:color="auto" w:fill="F2F2F2" w:themeFill="background1" w:themeFillShade="F2"/>
            <w:vAlign w:val="center"/>
          </w:tcPr>
          <w:p w14:paraId="7A69C90C" w14:textId="77777777" w:rsidR="00366C4F" w:rsidRPr="00C60D82" w:rsidRDefault="00366C4F" w:rsidP="00366C4F">
            <w:pPr>
              <w:jc w:val="center"/>
              <w:rPr>
                <w:sz w:val="20"/>
                <w:szCs w:val="20"/>
              </w:rPr>
            </w:pPr>
            <w:r w:rsidRPr="00C60D82">
              <w:rPr>
                <w:sz w:val="20"/>
                <w:szCs w:val="20"/>
                <w:lang w:val="en-GB"/>
              </w:rPr>
              <w:t>Accuracy (%)</w:t>
            </w:r>
          </w:p>
        </w:tc>
        <w:tc>
          <w:tcPr>
            <w:tcW w:w="822" w:type="dxa"/>
            <w:tcBorders>
              <w:top w:val="single" w:sz="4" w:space="0" w:color="auto"/>
              <w:right w:val="single" w:sz="4" w:space="0" w:color="auto"/>
            </w:tcBorders>
            <w:shd w:val="clear" w:color="auto" w:fill="F2F2F2" w:themeFill="background1" w:themeFillShade="F2"/>
            <w:vAlign w:val="center"/>
          </w:tcPr>
          <w:p w14:paraId="4752C87F" w14:textId="1783B7FA" w:rsidR="00366C4F" w:rsidRPr="00C60D82" w:rsidRDefault="00887A16" w:rsidP="00366C4F">
            <w:pPr>
              <w:jc w:val="center"/>
              <w:rPr>
                <w:sz w:val="20"/>
                <w:szCs w:val="20"/>
              </w:rPr>
            </w:pPr>
            <w:r>
              <w:rPr>
                <w:sz w:val="20"/>
                <w:szCs w:val="20"/>
              </w:rPr>
              <w:t>73.0</w:t>
            </w:r>
          </w:p>
        </w:tc>
      </w:tr>
      <w:tr w:rsidR="00366C4F" w:rsidRPr="00C60D82" w14:paraId="0738CC60" w14:textId="77777777" w:rsidTr="0017246C">
        <w:trPr>
          <w:trHeight w:val="278"/>
        </w:trPr>
        <w:tc>
          <w:tcPr>
            <w:tcW w:w="572" w:type="dxa"/>
            <w:vMerge/>
            <w:tcBorders>
              <w:left w:val="single" w:sz="4" w:space="0" w:color="auto"/>
              <w:right w:val="single" w:sz="4" w:space="0" w:color="auto"/>
            </w:tcBorders>
            <w:shd w:val="clear" w:color="auto" w:fill="D9D9D9" w:themeFill="background1" w:themeFillShade="D9"/>
            <w:vAlign w:val="center"/>
          </w:tcPr>
          <w:p w14:paraId="05C019E9" w14:textId="77777777" w:rsidR="00A92993" w:rsidRPr="00C60D82" w:rsidRDefault="00A92993" w:rsidP="00A92993">
            <w:pPr>
              <w:jc w:val="center"/>
              <w:rPr>
                <w:sz w:val="20"/>
                <w:szCs w:val="20"/>
                <w:lang w:val="en-GB"/>
              </w:rPr>
            </w:pPr>
          </w:p>
        </w:tc>
        <w:tc>
          <w:tcPr>
            <w:tcW w:w="2571" w:type="dxa"/>
            <w:tcBorders>
              <w:left w:val="single" w:sz="4" w:space="0" w:color="auto"/>
            </w:tcBorders>
            <w:shd w:val="clear" w:color="auto" w:fill="F2F2F2" w:themeFill="background1" w:themeFillShade="F2"/>
            <w:vAlign w:val="center"/>
          </w:tcPr>
          <w:p w14:paraId="35AEBEA9" w14:textId="0FBF0BD5" w:rsidR="00A92993" w:rsidRPr="00C60D82" w:rsidRDefault="00A524F0" w:rsidP="00A92993">
            <w:pPr>
              <w:jc w:val="right"/>
              <w:rPr>
                <w:sz w:val="20"/>
                <w:szCs w:val="20"/>
                <w:lang w:val="en-GB"/>
              </w:rPr>
            </w:pPr>
            <w:r>
              <w:rPr>
                <w:sz w:val="20"/>
                <w:szCs w:val="20"/>
                <w:lang w:val="en-GB"/>
              </w:rPr>
              <w:t>U</w:t>
            </w:r>
            <w:r w:rsidR="00A92993">
              <w:rPr>
                <w:sz w:val="20"/>
                <w:szCs w:val="20"/>
                <w:lang w:val="en-GB"/>
              </w:rPr>
              <w:t>PA</w:t>
            </w:r>
          </w:p>
        </w:tc>
        <w:tc>
          <w:tcPr>
            <w:tcW w:w="1363" w:type="dxa"/>
            <w:shd w:val="clear" w:color="auto" w:fill="auto"/>
            <w:vAlign w:val="center"/>
          </w:tcPr>
          <w:p w14:paraId="0BD52A05" w14:textId="2CE1E171" w:rsidR="00A92993" w:rsidRPr="00C60D82" w:rsidRDefault="00887A16" w:rsidP="00A92993">
            <w:pPr>
              <w:jc w:val="center"/>
              <w:rPr>
                <w:sz w:val="20"/>
                <w:szCs w:val="20"/>
              </w:rPr>
            </w:pPr>
            <w:r>
              <w:rPr>
                <w:sz w:val="20"/>
                <w:szCs w:val="20"/>
              </w:rPr>
              <w:t>129</w:t>
            </w:r>
          </w:p>
        </w:tc>
        <w:tc>
          <w:tcPr>
            <w:tcW w:w="1019" w:type="dxa"/>
            <w:tcBorders>
              <w:right w:val="single" w:sz="4" w:space="0" w:color="auto"/>
            </w:tcBorders>
            <w:shd w:val="clear" w:color="auto" w:fill="auto"/>
            <w:vAlign w:val="center"/>
          </w:tcPr>
          <w:p w14:paraId="0BB9C661" w14:textId="70926990" w:rsidR="00A92993" w:rsidRPr="00C60D82" w:rsidRDefault="00887A16" w:rsidP="00A92993">
            <w:pPr>
              <w:jc w:val="center"/>
              <w:rPr>
                <w:sz w:val="20"/>
                <w:szCs w:val="20"/>
              </w:rPr>
            </w:pPr>
            <w:r>
              <w:rPr>
                <w:sz w:val="20"/>
                <w:szCs w:val="20"/>
              </w:rPr>
              <w:t>4</w:t>
            </w:r>
          </w:p>
        </w:tc>
        <w:tc>
          <w:tcPr>
            <w:tcW w:w="1539" w:type="dxa"/>
            <w:gridSpan w:val="2"/>
            <w:tcBorders>
              <w:left w:val="single" w:sz="4" w:space="0" w:color="auto"/>
            </w:tcBorders>
            <w:shd w:val="clear" w:color="auto" w:fill="auto"/>
            <w:vAlign w:val="center"/>
          </w:tcPr>
          <w:p w14:paraId="70FC326E" w14:textId="77777777" w:rsidR="00A92993" w:rsidRPr="00C60D82" w:rsidRDefault="00A92993" w:rsidP="00A92993">
            <w:pPr>
              <w:jc w:val="center"/>
              <w:rPr>
                <w:sz w:val="20"/>
                <w:szCs w:val="20"/>
                <w:lang w:val="en-GB"/>
              </w:rPr>
            </w:pPr>
            <w:r w:rsidRPr="00C60D82">
              <w:rPr>
                <w:sz w:val="20"/>
                <w:szCs w:val="20"/>
                <w:lang w:val="en-GB"/>
              </w:rPr>
              <w:t>Sensitivity (%)</w:t>
            </w:r>
          </w:p>
        </w:tc>
        <w:tc>
          <w:tcPr>
            <w:tcW w:w="822" w:type="dxa"/>
            <w:tcBorders>
              <w:right w:val="single" w:sz="4" w:space="0" w:color="auto"/>
            </w:tcBorders>
            <w:shd w:val="clear" w:color="auto" w:fill="auto"/>
            <w:vAlign w:val="center"/>
          </w:tcPr>
          <w:p w14:paraId="162792D6" w14:textId="060E998B" w:rsidR="00A92993" w:rsidRPr="00C60D82" w:rsidRDefault="00887A16" w:rsidP="00A92993">
            <w:pPr>
              <w:jc w:val="center"/>
              <w:rPr>
                <w:sz w:val="20"/>
                <w:szCs w:val="20"/>
              </w:rPr>
            </w:pPr>
            <w:r>
              <w:rPr>
                <w:sz w:val="20"/>
                <w:szCs w:val="20"/>
              </w:rPr>
              <w:t>97.0</w:t>
            </w:r>
          </w:p>
        </w:tc>
      </w:tr>
      <w:tr w:rsidR="00366C4F" w:rsidRPr="00C60D82" w14:paraId="6937C9EB" w14:textId="77777777" w:rsidTr="0017246C">
        <w:trPr>
          <w:trHeight w:val="278"/>
        </w:trPr>
        <w:tc>
          <w:tcPr>
            <w:tcW w:w="57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9052DEF" w14:textId="77777777" w:rsidR="00A92993" w:rsidRPr="00C60D82" w:rsidRDefault="00A92993" w:rsidP="00A92993">
            <w:pPr>
              <w:jc w:val="center"/>
              <w:rPr>
                <w:sz w:val="20"/>
                <w:szCs w:val="20"/>
                <w:lang w:val="en-GB"/>
              </w:rPr>
            </w:pPr>
          </w:p>
        </w:tc>
        <w:tc>
          <w:tcPr>
            <w:tcW w:w="2571" w:type="dxa"/>
            <w:tcBorders>
              <w:left w:val="single" w:sz="4" w:space="0" w:color="auto"/>
              <w:bottom w:val="single" w:sz="4" w:space="0" w:color="auto"/>
            </w:tcBorders>
            <w:shd w:val="clear" w:color="auto" w:fill="F2F2F2" w:themeFill="background1" w:themeFillShade="F2"/>
            <w:vAlign w:val="center"/>
          </w:tcPr>
          <w:p w14:paraId="46BFDFFF" w14:textId="2F4D439B" w:rsidR="00A92993" w:rsidRPr="00C60D82" w:rsidRDefault="00A92993" w:rsidP="00A92993">
            <w:pPr>
              <w:jc w:val="right"/>
              <w:rPr>
                <w:sz w:val="20"/>
                <w:szCs w:val="20"/>
                <w:lang w:val="en-GB"/>
              </w:rPr>
            </w:pPr>
            <w:r>
              <w:rPr>
                <w:sz w:val="20"/>
                <w:szCs w:val="20"/>
                <w:lang w:val="en-GB"/>
              </w:rPr>
              <w:t>B</w:t>
            </w:r>
            <w:r w:rsidR="00A524F0">
              <w:rPr>
                <w:sz w:val="20"/>
                <w:szCs w:val="20"/>
                <w:lang w:val="en-GB"/>
              </w:rPr>
              <w:t>PA</w:t>
            </w:r>
          </w:p>
        </w:tc>
        <w:tc>
          <w:tcPr>
            <w:tcW w:w="1363" w:type="dxa"/>
            <w:tcBorders>
              <w:bottom w:val="single" w:sz="4" w:space="0" w:color="auto"/>
            </w:tcBorders>
            <w:shd w:val="clear" w:color="auto" w:fill="auto"/>
            <w:vAlign w:val="center"/>
          </w:tcPr>
          <w:p w14:paraId="4A011FFD" w14:textId="6ADCA637" w:rsidR="00A92993" w:rsidRPr="00C60D82" w:rsidRDefault="00887A16" w:rsidP="00A92993">
            <w:pPr>
              <w:jc w:val="center"/>
              <w:rPr>
                <w:sz w:val="20"/>
                <w:szCs w:val="20"/>
              </w:rPr>
            </w:pPr>
            <w:r>
              <w:rPr>
                <w:sz w:val="20"/>
                <w:szCs w:val="20"/>
              </w:rPr>
              <w:t>54</w:t>
            </w:r>
          </w:p>
        </w:tc>
        <w:tc>
          <w:tcPr>
            <w:tcW w:w="1019" w:type="dxa"/>
            <w:tcBorders>
              <w:bottom w:val="single" w:sz="4" w:space="0" w:color="auto"/>
              <w:right w:val="single" w:sz="4" w:space="0" w:color="auto"/>
            </w:tcBorders>
            <w:shd w:val="clear" w:color="auto" w:fill="auto"/>
            <w:vAlign w:val="center"/>
          </w:tcPr>
          <w:p w14:paraId="28350B66" w14:textId="40D45882" w:rsidR="00A92993" w:rsidRPr="00C60D82" w:rsidRDefault="00887A16" w:rsidP="00A92993">
            <w:pPr>
              <w:jc w:val="center"/>
              <w:rPr>
                <w:sz w:val="20"/>
                <w:szCs w:val="20"/>
              </w:rPr>
            </w:pPr>
            <w:r>
              <w:rPr>
                <w:sz w:val="20"/>
                <w:szCs w:val="20"/>
              </w:rPr>
              <w:t>28</w:t>
            </w:r>
          </w:p>
        </w:tc>
        <w:tc>
          <w:tcPr>
            <w:tcW w:w="1539" w:type="dxa"/>
            <w:gridSpan w:val="2"/>
            <w:tcBorders>
              <w:left w:val="single" w:sz="4" w:space="0" w:color="auto"/>
              <w:bottom w:val="single" w:sz="4" w:space="0" w:color="auto"/>
            </w:tcBorders>
            <w:shd w:val="clear" w:color="auto" w:fill="auto"/>
            <w:vAlign w:val="center"/>
          </w:tcPr>
          <w:p w14:paraId="1602FD68" w14:textId="77777777" w:rsidR="00A92993" w:rsidRPr="00C60D82" w:rsidRDefault="00A92993" w:rsidP="00A92993">
            <w:pPr>
              <w:jc w:val="center"/>
              <w:rPr>
                <w:sz w:val="20"/>
                <w:szCs w:val="20"/>
                <w:lang w:val="en-GB"/>
              </w:rPr>
            </w:pPr>
            <w:r w:rsidRPr="00C60D82">
              <w:rPr>
                <w:sz w:val="20"/>
                <w:szCs w:val="20"/>
                <w:lang w:val="en-GB"/>
              </w:rPr>
              <w:t>Specificity (%)</w:t>
            </w:r>
          </w:p>
        </w:tc>
        <w:tc>
          <w:tcPr>
            <w:tcW w:w="822" w:type="dxa"/>
            <w:tcBorders>
              <w:bottom w:val="single" w:sz="4" w:space="0" w:color="auto"/>
              <w:right w:val="single" w:sz="4" w:space="0" w:color="auto"/>
            </w:tcBorders>
            <w:shd w:val="clear" w:color="auto" w:fill="auto"/>
            <w:vAlign w:val="center"/>
          </w:tcPr>
          <w:p w14:paraId="0BC03ED9" w14:textId="3D183C2B" w:rsidR="00A92993" w:rsidRPr="00C60D82" w:rsidRDefault="00887A16" w:rsidP="00A92993">
            <w:pPr>
              <w:jc w:val="center"/>
              <w:rPr>
                <w:sz w:val="20"/>
                <w:szCs w:val="20"/>
              </w:rPr>
            </w:pPr>
            <w:r>
              <w:rPr>
                <w:sz w:val="20"/>
                <w:szCs w:val="20"/>
              </w:rPr>
              <w:t>34.1</w:t>
            </w:r>
          </w:p>
        </w:tc>
      </w:tr>
      <w:tr w:rsidR="00684CF4" w:rsidRPr="00C60D82" w14:paraId="3BEC5A08" w14:textId="77777777" w:rsidTr="0017246C">
        <w:trPr>
          <w:trHeight w:val="424"/>
        </w:trPr>
        <w:tc>
          <w:tcPr>
            <w:tcW w:w="572" w:type="dxa"/>
            <w:vMerge w:val="restart"/>
            <w:tcBorders>
              <w:top w:val="single" w:sz="4" w:space="0" w:color="auto"/>
              <w:left w:val="single" w:sz="4" w:space="0" w:color="auto"/>
              <w:right w:val="single" w:sz="4" w:space="0" w:color="auto"/>
            </w:tcBorders>
            <w:shd w:val="clear" w:color="auto" w:fill="D9D9D9" w:themeFill="background1" w:themeFillShade="D9"/>
            <w:textDirection w:val="btLr"/>
            <w:vAlign w:val="center"/>
          </w:tcPr>
          <w:p w14:paraId="575197E2" w14:textId="288DE041" w:rsidR="00684CF4" w:rsidRPr="00C60D82" w:rsidRDefault="00684CF4" w:rsidP="008F5BE8">
            <w:pPr>
              <w:spacing w:after="120"/>
              <w:ind w:left="113" w:right="113"/>
              <w:jc w:val="center"/>
              <w:rPr>
                <w:sz w:val="20"/>
                <w:szCs w:val="20"/>
                <w:lang w:val="en-GB"/>
              </w:rPr>
            </w:pPr>
            <w:r w:rsidRPr="00C60D82">
              <w:rPr>
                <w:b/>
                <w:sz w:val="20"/>
                <w:szCs w:val="20"/>
                <w:lang w:val="en-GB"/>
              </w:rPr>
              <w:t xml:space="preserve">Real </w:t>
            </w:r>
            <w:r>
              <w:rPr>
                <w:b/>
                <w:sz w:val="20"/>
                <w:szCs w:val="20"/>
                <w:lang w:val="en-GB"/>
              </w:rPr>
              <w:t xml:space="preserve">Diagnosis (Cut-off &gt; </w:t>
            </w:r>
            <w:r w:rsidR="00887A16">
              <w:rPr>
                <w:b/>
                <w:sz w:val="20"/>
                <w:szCs w:val="20"/>
                <w:lang w:val="en-GB"/>
              </w:rPr>
              <w:t>16</w:t>
            </w:r>
            <w:r>
              <w:rPr>
                <w:b/>
                <w:sz w:val="20"/>
                <w:szCs w:val="20"/>
                <w:lang w:val="en-GB"/>
              </w:rPr>
              <w:t>)</w:t>
            </w:r>
          </w:p>
        </w:tc>
        <w:tc>
          <w:tcPr>
            <w:tcW w:w="2571" w:type="dxa"/>
            <w:tcBorders>
              <w:top w:val="single" w:sz="4" w:space="0" w:color="auto"/>
              <w:left w:val="single" w:sz="4" w:space="0" w:color="auto"/>
            </w:tcBorders>
            <w:shd w:val="clear" w:color="auto" w:fill="F2F2F2" w:themeFill="background1" w:themeFillShade="F2"/>
            <w:vAlign w:val="center"/>
          </w:tcPr>
          <w:p w14:paraId="703C9988" w14:textId="24BE47FD" w:rsidR="00684CF4" w:rsidRPr="00C60D82" w:rsidRDefault="00684CF4" w:rsidP="008F5BE8">
            <w:pPr>
              <w:rPr>
                <w:sz w:val="20"/>
                <w:szCs w:val="20"/>
                <w:lang w:val="en-GB"/>
              </w:rPr>
            </w:pPr>
            <w:r w:rsidRPr="00C60D82">
              <w:rPr>
                <w:b/>
                <w:sz w:val="20"/>
                <w:szCs w:val="20"/>
                <w:lang w:val="en-GB"/>
              </w:rPr>
              <w:t xml:space="preserve">Training </w:t>
            </w:r>
            <w:r w:rsidR="004F3F11">
              <w:rPr>
                <w:b/>
                <w:sz w:val="20"/>
                <w:szCs w:val="20"/>
                <w:lang w:val="en-GB"/>
              </w:rPr>
              <w:t>cohort</w:t>
            </w:r>
            <w:r w:rsidR="004F3F11" w:rsidRPr="00C60D82">
              <w:rPr>
                <w:b/>
                <w:sz w:val="20"/>
                <w:szCs w:val="20"/>
                <w:lang w:val="en-GB"/>
              </w:rPr>
              <w:t xml:space="preserve"> </w:t>
            </w:r>
            <w:r w:rsidRPr="00C60D82">
              <w:rPr>
                <w:sz w:val="20"/>
                <w:szCs w:val="20"/>
                <w:lang w:val="en-GB"/>
              </w:rPr>
              <w:t>(</w:t>
            </w:r>
            <w:r w:rsidR="006A0F4D">
              <w:rPr>
                <w:sz w:val="20"/>
                <w:szCs w:val="20"/>
                <w:lang w:val="en-GB"/>
              </w:rPr>
              <w:t>N</w:t>
            </w:r>
            <w:r w:rsidRPr="00C60D82">
              <w:rPr>
                <w:sz w:val="20"/>
                <w:szCs w:val="20"/>
                <w:lang w:val="en-GB"/>
              </w:rPr>
              <w:t xml:space="preserve"> = </w:t>
            </w:r>
            <w:r>
              <w:rPr>
                <w:sz w:val="20"/>
                <w:szCs w:val="20"/>
                <w:lang w:val="en-GB"/>
              </w:rPr>
              <w:t>150</w:t>
            </w:r>
            <w:r w:rsidRPr="00C60D82">
              <w:rPr>
                <w:sz w:val="20"/>
                <w:szCs w:val="20"/>
                <w:lang w:val="en-GB"/>
              </w:rPr>
              <w:t>)</w:t>
            </w:r>
          </w:p>
        </w:tc>
        <w:tc>
          <w:tcPr>
            <w:tcW w:w="1363" w:type="dxa"/>
            <w:tcBorders>
              <w:top w:val="single" w:sz="4" w:space="0" w:color="auto"/>
            </w:tcBorders>
            <w:shd w:val="clear" w:color="auto" w:fill="F2F2F2" w:themeFill="background1" w:themeFillShade="F2"/>
            <w:vAlign w:val="center"/>
          </w:tcPr>
          <w:p w14:paraId="5FDAEDD7" w14:textId="051E02C5" w:rsidR="00684CF4" w:rsidRPr="00C60D82" w:rsidRDefault="00A524F0" w:rsidP="008F5BE8">
            <w:pPr>
              <w:jc w:val="center"/>
              <w:rPr>
                <w:sz w:val="20"/>
                <w:szCs w:val="20"/>
                <w:lang w:val="en-GB"/>
              </w:rPr>
            </w:pPr>
            <w:r>
              <w:rPr>
                <w:sz w:val="20"/>
                <w:szCs w:val="20"/>
                <w:lang w:val="en-GB"/>
              </w:rPr>
              <w:t>U</w:t>
            </w:r>
            <w:r w:rsidR="00684CF4">
              <w:rPr>
                <w:sz w:val="20"/>
                <w:szCs w:val="20"/>
                <w:lang w:val="en-GB"/>
              </w:rPr>
              <w:t>PA</w:t>
            </w:r>
          </w:p>
        </w:tc>
        <w:tc>
          <w:tcPr>
            <w:tcW w:w="1019" w:type="dxa"/>
            <w:tcBorders>
              <w:top w:val="single" w:sz="4" w:space="0" w:color="auto"/>
              <w:right w:val="single" w:sz="4" w:space="0" w:color="auto"/>
            </w:tcBorders>
            <w:shd w:val="clear" w:color="auto" w:fill="F2F2F2" w:themeFill="background1" w:themeFillShade="F2"/>
            <w:vAlign w:val="center"/>
          </w:tcPr>
          <w:p w14:paraId="6CE33F9F" w14:textId="5496543C" w:rsidR="00684CF4" w:rsidRPr="00C60D82" w:rsidRDefault="00684CF4" w:rsidP="008F5BE8">
            <w:pPr>
              <w:jc w:val="center"/>
              <w:rPr>
                <w:sz w:val="20"/>
                <w:szCs w:val="20"/>
                <w:lang w:val="en-GB"/>
              </w:rPr>
            </w:pPr>
            <w:r>
              <w:rPr>
                <w:sz w:val="20"/>
                <w:szCs w:val="20"/>
                <w:lang w:val="en-GB"/>
              </w:rPr>
              <w:t>B</w:t>
            </w:r>
            <w:r w:rsidR="00A524F0">
              <w:rPr>
                <w:sz w:val="20"/>
                <w:szCs w:val="20"/>
                <w:lang w:val="en-GB"/>
              </w:rPr>
              <w:t>PA</w:t>
            </w:r>
          </w:p>
        </w:tc>
        <w:tc>
          <w:tcPr>
            <w:tcW w:w="1539" w:type="dxa"/>
            <w:gridSpan w:val="2"/>
            <w:tcBorders>
              <w:top w:val="single" w:sz="4" w:space="0" w:color="auto"/>
              <w:left w:val="single" w:sz="4" w:space="0" w:color="auto"/>
            </w:tcBorders>
            <w:shd w:val="clear" w:color="auto" w:fill="F2F2F2" w:themeFill="background1" w:themeFillShade="F2"/>
            <w:vAlign w:val="center"/>
          </w:tcPr>
          <w:p w14:paraId="650CB3E4" w14:textId="77777777" w:rsidR="00684CF4" w:rsidRPr="00C60D82" w:rsidRDefault="00684CF4" w:rsidP="008F5BE8">
            <w:pPr>
              <w:jc w:val="center"/>
              <w:rPr>
                <w:sz w:val="20"/>
                <w:szCs w:val="20"/>
              </w:rPr>
            </w:pPr>
            <w:r w:rsidRPr="00C60D82">
              <w:rPr>
                <w:sz w:val="20"/>
                <w:szCs w:val="20"/>
                <w:lang w:val="en-GB"/>
              </w:rPr>
              <w:t>Accuracy (%)</w:t>
            </w:r>
          </w:p>
        </w:tc>
        <w:tc>
          <w:tcPr>
            <w:tcW w:w="822" w:type="dxa"/>
            <w:tcBorders>
              <w:top w:val="single" w:sz="4" w:space="0" w:color="auto"/>
              <w:right w:val="single" w:sz="4" w:space="0" w:color="auto"/>
            </w:tcBorders>
            <w:shd w:val="clear" w:color="auto" w:fill="F2F2F2" w:themeFill="background1" w:themeFillShade="F2"/>
            <w:vAlign w:val="center"/>
          </w:tcPr>
          <w:p w14:paraId="335E18DB" w14:textId="4B81F1CF" w:rsidR="00684CF4" w:rsidRPr="00C60D82" w:rsidRDefault="00887A16" w:rsidP="008F5BE8">
            <w:pPr>
              <w:jc w:val="center"/>
              <w:rPr>
                <w:sz w:val="20"/>
                <w:szCs w:val="20"/>
              </w:rPr>
            </w:pPr>
            <w:r>
              <w:rPr>
                <w:sz w:val="20"/>
                <w:szCs w:val="20"/>
              </w:rPr>
              <w:t>66.7</w:t>
            </w:r>
          </w:p>
        </w:tc>
      </w:tr>
      <w:tr w:rsidR="00684CF4" w:rsidRPr="00C60D82" w14:paraId="19595F63" w14:textId="77777777" w:rsidTr="0017246C">
        <w:trPr>
          <w:trHeight w:val="273"/>
        </w:trPr>
        <w:tc>
          <w:tcPr>
            <w:tcW w:w="572" w:type="dxa"/>
            <w:vMerge/>
            <w:tcBorders>
              <w:left w:val="single" w:sz="4" w:space="0" w:color="auto"/>
              <w:right w:val="single" w:sz="4" w:space="0" w:color="auto"/>
            </w:tcBorders>
            <w:shd w:val="clear" w:color="auto" w:fill="D9D9D9" w:themeFill="background1" w:themeFillShade="D9"/>
            <w:textDirection w:val="btLr"/>
            <w:vAlign w:val="center"/>
          </w:tcPr>
          <w:p w14:paraId="7546C1E4" w14:textId="77777777" w:rsidR="00684CF4" w:rsidRPr="00C60D82" w:rsidRDefault="00684CF4" w:rsidP="008F5BE8">
            <w:pPr>
              <w:ind w:left="113" w:right="113"/>
              <w:jc w:val="center"/>
              <w:rPr>
                <w:sz w:val="20"/>
                <w:szCs w:val="20"/>
                <w:lang w:val="en-GB"/>
              </w:rPr>
            </w:pPr>
          </w:p>
        </w:tc>
        <w:tc>
          <w:tcPr>
            <w:tcW w:w="2571" w:type="dxa"/>
            <w:tcBorders>
              <w:left w:val="single" w:sz="4" w:space="0" w:color="auto"/>
            </w:tcBorders>
            <w:shd w:val="clear" w:color="auto" w:fill="F2F2F2" w:themeFill="background1" w:themeFillShade="F2"/>
            <w:vAlign w:val="center"/>
          </w:tcPr>
          <w:p w14:paraId="368931A1" w14:textId="7D63212E" w:rsidR="00684CF4" w:rsidRPr="00C60D82" w:rsidRDefault="00A524F0" w:rsidP="008F5BE8">
            <w:pPr>
              <w:jc w:val="right"/>
              <w:rPr>
                <w:sz w:val="20"/>
                <w:szCs w:val="20"/>
                <w:lang w:val="en-GB"/>
              </w:rPr>
            </w:pPr>
            <w:r>
              <w:rPr>
                <w:sz w:val="20"/>
                <w:szCs w:val="20"/>
                <w:lang w:val="en-GB"/>
              </w:rPr>
              <w:t>U</w:t>
            </w:r>
            <w:r w:rsidR="00684CF4">
              <w:rPr>
                <w:sz w:val="20"/>
                <w:szCs w:val="20"/>
                <w:lang w:val="en-GB"/>
              </w:rPr>
              <w:t>PA</w:t>
            </w:r>
          </w:p>
        </w:tc>
        <w:tc>
          <w:tcPr>
            <w:tcW w:w="1363" w:type="dxa"/>
            <w:shd w:val="clear" w:color="auto" w:fill="auto"/>
            <w:vAlign w:val="center"/>
          </w:tcPr>
          <w:p w14:paraId="4841B33F" w14:textId="1B9D0CBF" w:rsidR="00684CF4" w:rsidRPr="00C60D82" w:rsidRDefault="00887A16" w:rsidP="008F5BE8">
            <w:pPr>
              <w:jc w:val="center"/>
              <w:rPr>
                <w:sz w:val="20"/>
                <w:szCs w:val="20"/>
              </w:rPr>
            </w:pPr>
            <w:r>
              <w:rPr>
                <w:sz w:val="20"/>
                <w:szCs w:val="20"/>
              </w:rPr>
              <w:t>44</w:t>
            </w:r>
          </w:p>
        </w:tc>
        <w:tc>
          <w:tcPr>
            <w:tcW w:w="1019" w:type="dxa"/>
            <w:tcBorders>
              <w:right w:val="single" w:sz="4" w:space="0" w:color="auto"/>
            </w:tcBorders>
            <w:shd w:val="clear" w:color="auto" w:fill="auto"/>
            <w:vAlign w:val="center"/>
          </w:tcPr>
          <w:p w14:paraId="1B8655D9" w14:textId="31D18B93" w:rsidR="00684CF4" w:rsidRPr="00C60D82" w:rsidRDefault="00887A16" w:rsidP="008F5BE8">
            <w:pPr>
              <w:jc w:val="center"/>
              <w:rPr>
                <w:sz w:val="20"/>
                <w:szCs w:val="20"/>
              </w:rPr>
            </w:pPr>
            <w:r>
              <w:rPr>
                <w:sz w:val="20"/>
                <w:szCs w:val="20"/>
              </w:rPr>
              <w:t>49</w:t>
            </w:r>
          </w:p>
        </w:tc>
        <w:tc>
          <w:tcPr>
            <w:tcW w:w="1539" w:type="dxa"/>
            <w:gridSpan w:val="2"/>
            <w:tcBorders>
              <w:left w:val="single" w:sz="4" w:space="0" w:color="auto"/>
            </w:tcBorders>
            <w:shd w:val="clear" w:color="auto" w:fill="auto"/>
            <w:vAlign w:val="center"/>
          </w:tcPr>
          <w:p w14:paraId="0B983722" w14:textId="77777777" w:rsidR="00684CF4" w:rsidRPr="00C60D82" w:rsidRDefault="00684CF4" w:rsidP="008F5BE8">
            <w:pPr>
              <w:jc w:val="center"/>
              <w:rPr>
                <w:sz w:val="20"/>
                <w:szCs w:val="20"/>
                <w:lang w:val="en-GB"/>
              </w:rPr>
            </w:pPr>
            <w:r w:rsidRPr="00C60D82">
              <w:rPr>
                <w:sz w:val="20"/>
                <w:szCs w:val="20"/>
                <w:lang w:val="en-GB"/>
              </w:rPr>
              <w:t>Sensitivity (%)</w:t>
            </w:r>
          </w:p>
        </w:tc>
        <w:tc>
          <w:tcPr>
            <w:tcW w:w="822" w:type="dxa"/>
            <w:tcBorders>
              <w:right w:val="single" w:sz="4" w:space="0" w:color="auto"/>
            </w:tcBorders>
            <w:shd w:val="clear" w:color="auto" w:fill="auto"/>
            <w:vAlign w:val="center"/>
          </w:tcPr>
          <w:p w14:paraId="6987C9E6" w14:textId="0DD04900" w:rsidR="00684CF4" w:rsidRPr="00C60D82" w:rsidRDefault="00887A16" w:rsidP="008F5BE8">
            <w:pPr>
              <w:jc w:val="center"/>
              <w:rPr>
                <w:sz w:val="20"/>
                <w:szCs w:val="20"/>
              </w:rPr>
            </w:pPr>
            <w:r>
              <w:rPr>
                <w:sz w:val="20"/>
                <w:szCs w:val="20"/>
              </w:rPr>
              <w:t>47.3</w:t>
            </w:r>
          </w:p>
        </w:tc>
      </w:tr>
      <w:tr w:rsidR="00684CF4" w:rsidRPr="00C60D82" w14:paraId="0EC67D77" w14:textId="77777777" w:rsidTr="0017246C">
        <w:trPr>
          <w:trHeight w:val="278"/>
        </w:trPr>
        <w:tc>
          <w:tcPr>
            <w:tcW w:w="572" w:type="dxa"/>
            <w:vMerge/>
            <w:tcBorders>
              <w:left w:val="single" w:sz="4" w:space="0" w:color="auto"/>
              <w:right w:val="single" w:sz="4" w:space="0" w:color="auto"/>
            </w:tcBorders>
            <w:shd w:val="clear" w:color="auto" w:fill="D9D9D9" w:themeFill="background1" w:themeFillShade="D9"/>
            <w:vAlign w:val="center"/>
          </w:tcPr>
          <w:p w14:paraId="14AD22D9" w14:textId="77777777" w:rsidR="00684CF4" w:rsidRPr="00C60D82" w:rsidRDefault="00684CF4" w:rsidP="008F5BE8">
            <w:pPr>
              <w:jc w:val="center"/>
              <w:rPr>
                <w:sz w:val="20"/>
                <w:szCs w:val="20"/>
                <w:lang w:val="en-GB"/>
              </w:rPr>
            </w:pPr>
          </w:p>
        </w:tc>
        <w:tc>
          <w:tcPr>
            <w:tcW w:w="2571" w:type="dxa"/>
            <w:tcBorders>
              <w:left w:val="single" w:sz="4" w:space="0" w:color="auto"/>
              <w:bottom w:val="single" w:sz="4" w:space="0" w:color="auto"/>
            </w:tcBorders>
            <w:shd w:val="clear" w:color="auto" w:fill="F2F2F2" w:themeFill="background1" w:themeFillShade="F2"/>
            <w:vAlign w:val="center"/>
          </w:tcPr>
          <w:p w14:paraId="511E960E" w14:textId="4AA31624" w:rsidR="00684CF4" w:rsidRPr="00C60D82" w:rsidRDefault="00684CF4" w:rsidP="008F5BE8">
            <w:pPr>
              <w:jc w:val="right"/>
              <w:rPr>
                <w:sz w:val="20"/>
                <w:szCs w:val="20"/>
                <w:lang w:val="en-GB"/>
              </w:rPr>
            </w:pPr>
            <w:r>
              <w:rPr>
                <w:sz w:val="20"/>
                <w:szCs w:val="20"/>
                <w:lang w:val="en-GB"/>
              </w:rPr>
              <w:t>B</w:t>
            </w:r>
            <w:r w:rsidR="00A524F0">
              <w:rPr>
                <w:sz w:val="20"/>
                <w:szCs w:val="20"/>
                <w:lang w:val="en-GB"/>
              </w:rPr>
              <w:t>PA</w:t>
            </w:r>
          </w:p>
        </w:tc>
        <w:tc>
          <w:tcPr>
            <w:tcW w:w="1363" w:type="dxa"/>
            <w:tcBorders>
              <w:bottom w:val="single" w:sz="4" w:space="0" w:color="auto"/>
            </w:tcBorders>
            <w:shd w:val="clear" w:color="auto" w:fill="auto"/>
            <w:vAlign w:val="center"/>
          </w:tcPr>
          <w:p w14:paraId="1D6F6BE8" w14:textId="21746F2F" w:rsidR="00684CF4" w:rsidRPr="00C60D82" w:rsidRDefault="00887A16" w:rsidP="008F5BE8">
            <w:pPr>
              <w:jc w:val="center"/>
              <w:rPr>
                <w:sz w:val="20"/>
                <w:szCs w:val="20"/>
              </w:rPr>
            </w:pPr>
            <w:r>
              <w:rPr>
                <w:sz w:val="20"/>
                <w:szCs w:val="20"/>
              </w:rPr>
              <w:t>1</w:t>
            </w:r>
          </w:p>
        </w:tc>
        <w:tc>
          <w:tcPr>
            <w:tcW w:w="1019" w:type="dxa"/>
            <w:tcBorders>
              <w:bottom w:val="single" w:sz="4" w:space="0" w:color="auto"/>
              <w:right w:val="single" w:sz="4" w:space="0" w:color="auto"/>
            </w:tcBorders>
            <w:shd w:val="clear" w:color="auto" w:fill="auto"/>
            <w:vAlign w:val="center"/>
          </w:tcPr>
          <w:p w14:paraId="568B6E6F" w14:textId="2ABFF706" w:rsidR="00684CF4" w:rsidRPr="00C60D82" w:rsidRDefault="00887A16" w:rsidP="008F5BE8">
            <w:pPr>
              <w:jc w:val="center"/>
              <w:rPr>
                <w:sz w:val="20"/>
                <w:szCs w:val="20"/>
              </w:rPr>
            </w:pPr>
            <w:r>
              <w:rPr>
                <w:sz w:val="20"/>
                <w:szCs w:val="20"/>
              </w:rPr>
              <w:t>56</w:t>
            </w:r>
          </w:p>
        </w:tc>
        <w:tc>
          <w:tcPr>
            <w:tcW w:w="1539" w:type="dxa"/>
            <w:gridSpan w:val="2"/>
            <w:tcBorders>
              <w:left w:val="single" w:sz="4" w:space="0" w:color="auto"/>
              <w:bottom w:val="single" w:sz="4" w:space="0" w:color="auto"/>
            </w:tcBorders>
            <w:shd w:val="clear" w:color="auto" w:fill="auto"/>
            <w:vAlign w:val="center"/>
          </w:tcPr>
          <w:p w14:paraId="3E187948" w14:textId="77777777" w:rsidR="00684CF4" w:rsidRPr="00C60D82" w:rsidRDefault="00684CF4" w:rsidP="008F5BE8">
            <w:pPr>
              <w:jc w:val="center"/>
              <w:rPr>
                <w:sz w:val="20"/>
                <w:szCs w:val="20"/>
                <w:lang w:val="en-GB"/>
              </w:rPr>
            </w:pPr>
            <w:r w:rsidRPr="00C60D82">
              <w:rPr>
                <w:sz w:val="20"/>
                <w:szCs w:val="20"/>
                <w:lang w:val="en-GB"/>
              </w:rPr>
              <w:t>Specificity (%)</w:t>
            </w:r>
          </w:p>
        </w:tc>
        <w:tc>
          <w:tcPr>
            <w:tcW w:w="822" w:type="dxa"/>
            <w:tcBorders>
              <w:bottom w:val="single" w:sz="4" w:space="0" w:color="auto"/>
              <w:right w:val="single" w:sz="4" w:space="0" w:color="auto"/>
            </w:tcBorders>
            <w:shd w:val="clear" w:color="auto" w:fill="auto"/>
            <w:vAlign w:val="center"/>
          </w:tcPr>
          <w:p w14:paraId="4BF19AA5" w14:textId="1A0B3804" w:rsidR="00684CF4" w:rsidRPr="00C60D82" w:rsidRDefault="00887A16" w:rsidP="008F5BE8">
            <w:pPr>
              <w:jc w:val="center"/>
              <w:rPr>
                <w:sz w:val="20"/>
                <w:szCs w:val="20"/>
              </w:rPr>
            </w:pPr>
            <w:r>
              <w:rPr>
                <w:sz w:val="20"/>
                <w:szCs w:val="20"/>
              </w:rPr>
              <w:t>98.</w:t>
            </w:r>
            <w:r w:rsidR="0061602E">
              <w:rPr>
                <w:sz w:val="20"/>
                <w:szCs w:val="20"/>
              </w:rPr>
              <w:t>2</w:t>
            </w:r>
          </w:p>
        </w:tc>
      </w:tr>
      <w:tr w:rsidR="00684CF4" w:rsidRPr="00C60D82" w14:paraId="1D8466DF" w14:textId="77777777" w:rsidTr="0017246C">
        <w:trPr>
          <w:trHeight w:val="423"/>
        </w:trPr>
        <w:tc>
          <w:tcPr>
            <w:tcW w:w="572" w:type="dxa"/>
            <w:vMerge/>
            <w:tcBorders>
              <w:left w:val="single" w:sz="4" w:space="0" w:color="auto"/>
              <w:right w:val="single" w:sz="4" w:space="0" w:color="auto"/>
            </w:tcBorders>
            <w:shd w:val="clear" w:color="auto" w:fill="D9D9D9" w:themeFill="background1" w:themeFillShade="D9"/>
            <w:textDirection w:val="btLr"/>
            <w:vAlign w:val="center"/>
          </w:tcPr>
          <w:p w14:paraId="6FC809AE" w14:textId="77777777" w:rsidR="00684CF4" w:rsidRPr="00C60D82" w:rsidRDefault="00684CF4" w:rsidP="008F5BE8">
            <w:pPr>
              <w:ind w:left="113" w:right="113"/>
              <w:jc w:val="center"/>
              <w:rPr>
                <w:sz w:val="20"/>
                <w:szCs w:val="20"/>
                <w:lang w:val="en-GB"/>
              </w:rPr>
            </w:pPr>
          </w:p>
        </w:tc>
        <w:tc>
          <w:tcPr>
            <w:tcW w:w="2571" w:type="dxa"/>
            <w:tcBorders>
              <w:top w:val="single" w:sz="4" w:space="0" w:color="auto"/>
              <w:left w:val="single" w:sz="4" w:space="0" w:color="auto"/>
            </w:tcBorders>
            <w:shd w:val="clear" w:color="auto" w:fill="F2F2F2" w:themeFill="background1" w:themeFillShade="F2"/>
            <w:vAlign w:val="center"/>
          </w:tcPr>
          <w:p w14:paraId="6828550A" w14:textId="4EF9147A" w:rsidR="00684CF4" w:rsidRPr="00C60D82" w:rsidRDefault="00DE792B" w:rsidP="008F5BE8">
            <w:pPr>
              <w:rPr>
                <w:sz w:val="20"/>
                <w:szCs w:val="20"/>
                <w:lang w:val="en-GB"/>
              </w:rPr>
            </w:pPr>
            <w:r>
              <w:rPr>
                <w:b/>
                <w:sz w:val="20"/>
                <w:szCs w:val="20"/>
                <w:lang w:val="en-GB"/>
              </w:rPr>
              <w:t>Validation</w:t>
            </w:r>
            <w:r w:rsidRPr="00C60D82">
              <w:rPr>
                <w:b/>
                <w:sz w:val="20"/>
                <w:szCs w:val="20"/>
                <w:lang w:val="en-GB"/>
              </w:rPr>
              <w:t xml:space="preserve"> </w:t>
            </w:r>
            <w:r w:rsidR="004F3F11">
              <w:rPr>
                <w:b/>
                <w:sz w:val="20"/>
                <w:szCs w:val="20"/>
                <w:lang w:val="en-GB"/>
              </w:rPr>
              <w:t>cohort</w:t>
            </w:r>
            <w:r w:rsidR="004F3F11" w:rsidRPr="00C60D82">
              <w:rPr>
                <w:b/>
                <w:sz w:val="20"/>
                <w:szCs w:val="20"/>
                <w:lang w:val="en-GB"/>
              </w:rPr>
              <w:t xml:space="preserve"> </w:t>
            </w:r>
            <w:r w:rsidR="00684CF4" w:rsidRPr="00C60D82">
              <w:rPr>
                <w:sz w:val="20"/>
                <w:szCs w:val="20"/>
                <w:lang w:val="en-GB"/>
              </w:rPr>
              <w:t>(</w:t>
            </w:r>
            <w:r w:rsidR="006A0F4D">
              <w:rPr>
                <w:sz w:val="20"/>
                <w:szCs w:val="20"/>
                <w:lang w:val="en-GB"/>
              </w:rPr>
              <w:t>N</w:t>
            </w:r>
            <w:r w:rsidR="00684CF4" w:rsidRPr="00C60D82">
              <w:rPr>
                <w:sz w:val="20"/>
                <w:szCs w:val="20"/>
                <w:lang w:val="en-GB"/>
              </w:rPr>
              <w:t xml:space="preserve"> = </w:t>
            </w:r>
            <w:r w:rsidR="00684CF4">
              <w:rPr>
                <w:sz w:val="20"/>
                <w:szCs w:val="20"/>
                <w:lang w:val="en-GB"/>
              </w:rPr>
              <w:t>65</w:t>
            </w:r>
            <w:r w:rsidR="00684CF4" w:rsidRPr="00C60D82">
              <w:rPr>
                <w:sz w:val="20"/>
                <w:szCs w:val="20"/>
                <w:lang w:val="en-GB"/>
              </w:rPr>
              <w:t>)</w:t>
            </w:r>
          </w:p>
        </w:tc>
        <w:tc>
          <w:tcPr>
            <w:tcW w:w="1363" w:type="dxa"/>
            <w:tcBorders>
              <w:top w:val="single" w:sz="4" w:space="0" w:color="auto"/>
            </w:tcBorders>
            <w:shd w:val="clear" w:color="auto" w:fill="F2F2F2" w:themeFill="background1" w:themeFillShade="F2"/>
            <w:vAlign w:val="center"/>
          </w:tcPr>
          <w:p w14:paraId="6E535226" w14:textId="6788C2CE" w:rsidR="00684CF4" w:rsidRPr="00C60D82" w:rsidRDefault="00A524F0" w:rsidP="008F5BE8">
            <w:pPr>
              <w:jc w:val="center"/>
              <w:rPr>
                <w:sz w:val="20"/>
                <w:szCs w:val="20"/>
                <w:lang w:val="en-GB"/>
              </w:rPr>
            </w:pPr>
            <w:r>
              <w:rPr>
                <w:sz w:val="20"/>
                <w:szCs w:val="20"/>
                <w:lang w:val="en-GB"/>
              </w:rPr>
              <w:t>U</w:t>
            </w:r>
            <w:r w:rsidR="00684CF4">
              <w:rPr>
                <w:sz w:val="20"/>
                <w:szCs w:val="20"/>
                <w:lang w:val="en-GB"/>
              </w:rPr>
              <w:t>PA</w:t>
            </w:r>
          </w:p>
        </w:tc>
        <w:tc>
          <w:tcPr>
            <w:tcW w:w="1019" w:type="dxa"/>
            <w:tcBorders>
              <w:top w:val="single" w:sz="4" w:space="0" w:color="auto"/>
              <w:right w:val="single" w:sz="4" w:space="0" w:color="auto"/>
            </w:tcBorders>
            <w:shd w:val="clear" w:color="auto" w:fill="F2F2F2" w:themeFill="background1" w:themeFillShade="F2"/>
            <w:vAlign w:val="center"/>
          </w:tcPr>
          <w:p w14:paraId="0D835CC4" w14:textId="443DB48A" w:rsidR="00684CF4" w:rsidRPr="00C60D82" w:rsidRDefault="00684CF4" w:rsidP="008F5BE8">
            <w:pPr>
              <w:jc w:val="center"/>
              <w:rPr>
                <w:sz w:val="20"/>
                <w:szCs w:val="20"/>
                <w:lang w:val="en-GB"/>
              </w:rPr>
            </w:pPr>
            <w:r>
              <w:rPr>
                <w:sz w:val="20"/>
                <w:szCs w:val="20"/>
                <w:lang w:val="en-GB"/>
              </w:rPr>
              <w:t>B</w:t>
            </w:r>
            <w:r w:rsidR="00A524F0">
              <w:rPr>
                <w:sz w:val="20"/>
                <w:szCs w:val="20"/>
                <w:lang w:val="en-GB"/>
              </w:rPr>
              <w:t>PA</w:t>
            </w:r>
          </w:p>
        </w:tc>
        <w:tc>
          <w:tcPr>
            <w:tcW w:w="1539" w:type="dxa"/>
            <w:gridSpan w:val="2"/>
            <w:tcBorders>
              <w:top w:val="single" w:sz="4" w:space="0" w:color="auto"/>
              <w:left w:val="single" w:sz="4" w:space="0" w:color="auto"/>
            </w:tcBorders>
            <w:shd w:val="clear" w:color="auto" w:fill="F2F2F2" w:themeFill="background1" w:themeFillShade="F2"/>
            <w:vAlign w:val="center"/>
          </w:tcPr>
          <w:p w14:paraId="038A807B" w14:textId="77777777" w:rsidR="00684CF4" w:rsidRPr="00C60D82" w:rsidRDefault="00684CF4" w:rsidP="008F5BE8">
            <w:pPr>
              <w:jc w:val="center"/>
              <w:rPr>
                <w:sz w:val="20"/>
                <w:szCs w:val="20"/>
              </w:rPr>
            </w:pPr>
            <w:r w:rsidRPr="00C60D82">
              <w:rPr>
                <w:sz w:val="20"/>
                <w:szCs w:val="20"/>
                <w:lang w:val="en-GB"/>
              </w:rPr>
              <w:t>Accuracy (%)</w:t>
            </w:r>
          </w:p>
        </w:tc>
        <w:tc>
          <w:tcPr>
            <w:tcW w:w="822" w:type="dxa"/>
            <w:tcBorders>
              <w:top w:val="single" w:sz="4" w:space="0" w:color="auto"/>
              <w:right w:val="single" w:sz="4" w:space="0" w:color="auto"/>
            </w:tcBorders>
            <w:shd w:val="clear" w:color="auto" w:fill="F2F2F2" w:themeFill="background1" w:themeFillShade="F2"/>
            <w:vAlign w:val="center"/>
          </w:tcPr>
          <w:p w14:paraId="736FA7C7" w14:textId="1ADE7E08" w:rsidR="00684CF4" w:rsidRPr="00C60D82" w:rsidRDefault="00887A16" w:rsidP="008F5BE8">
            <w:pPr>
              <w:jc w:val="center"/>
              <w:rPr>
                <w:sz w:val="20"/>
                <w:szCs w:val="20"/>
              </w:rPr>
            </w:pPr>
            <w:r>
              <w:rPr>
                <w:sz w:val="20"/>
                <w:szCs w:val="20"/>
              </w:rPr>
              <w:t>58.5</w:t>
            </w:r>
          </w:p>
        </w:tc>
      </w:tr>
      <w:tr w:rsidR="00684CF4" w:rsidRPr="00C60D82" w14:paraId="2D9F6B34" w14:textId="77777777" w:rsidTr="0017246C">
        <w:trPr>
          <w:trHeight w:val="278"/>
        </w:trPr>
        <w:tc>
          <w:tcPr>
            <w:tcW w:w="572" w:type="dxa"/>
            <w:vMerge/>
            <w:tcBorders>
              <w:left w:val="single" w:sz="4" w:space="0" w:color="auto"/>
              <w:right w:val="single" w:sz="4" w:space="0" w:color="auto"/>
            </w:tcBorders>
            <w:shd w:val="clear" w:color="auto" w:fill="D9D9D9" w:themeFill="background1" w:themeFillShade="D9"/>
            <w:vAlign w:val="center"/>
          </w:tcPr>
          <w:p w14:paraId="7B6B29F0" w14:textId="77777777" w:rsidR="00684CF4" w:rsidRPr="00C60D82" w:rsidRDefault="00684CF4" w:rsidP="008F5BE8">
            <w:pPr>
              <w:jc w:val="center"/>
              <w:rPr>
                <w:sz w:val="20"/>
                <w:szCs w:val="20"/>
                <w:lang w:val="en-GB"/>
              </w:rPr>
            </w:pPr>
          </w:p>
        </w:tc>
        <w:tc>
          <w:tcPr>
            <w:tcW w:w="2571" w:type="dxa"/>
            <w:tcBorders>
              <w:left w:val="single" w:sz="4" w:space="0" w:color="auto"/>
            </w:tcBorders>
            <w:shd w:val="clear" w:color="auto" w:fill="F2F2F2" w:themeFill="background1" w:themeFillShade="F2"/>
            <w:vAlign w:val="center"/>
          </w:tcPr>
          <w:p w14:paraId="5934CD7A" w14:textId="0F7A4A20" w:rsidR="00684CF4" w:rsidRPr="00C60D82" w:rsidRDefault="00A524F0" w:rsidP="008F5BE8">
            <w:pPr>
              <w:jc w:val="right"/>
              <w:rPr>
                <w:sz w:val="20"/>
                <w:szCs w:val="20"/>
                <w:lang w:val="en-GB"/>
              </w:rPr>
            </w:pPr>
            <w:r>
              <w:rPr>
                <w:sz w:val="20"/>
                <w:szCs w:val="20"/>
                <w:lang w:val="en-GB"/>
              </w:rPr>
              <w:t>U</w:t>
            </w:r>
            <w:r w:rsidR="00684CF4">
              <w:rPr>
                <w:sz w:val="20"/>
                <w:szCs w:val="20"/>
                <w:lang w:val="en-GB"/>
              </w:rPr>
              <w:t>PA</w:t>
            </w:r>
          </w:p>
        </w:tc>
        <w:tc>
          <w:tcPr>
            <w:tcW w:w="1363" w:type="dxa"/>
            <w:shd w:val="clear" w:color="auto" w:fill="auto"/>
            <w:vAlign w:val="center"/>
          </w:tcPr>
          <w:p w14:paraId="59BBB3BC" w14:textId="6B617A13" w:rsidR="00684CF4" w:rsidRPr="00C60D82" w:rsidRDefault="00887A16" w:rsidP="008F5BE8">
            <w:pPr>
              <w:jc w:val="center"/>
              <w:rPr>
                <w:sz w:val="20"/>
                <w:szCs w:val="20"/>
              </w:rPr>
            </w:pPr>
            <w:r>
              <w:rPr>
                <w:sz w:val="20"/>
                <w:szCs w:val="20"/>
              </w:rPr>
              <w:t>15</w:t>
            </w:r>
          </w:p>
        </w:tc>
        <w:tc>
          <w:tcPr>
            <w:tcW w:w="1019" w:type="dxa"/>
            <w:tcBorders>
              <w:right w:val="single" w:sz="4" w:space="0" w:color="auto"/>
            </w:tcBorders>
            <w:shd w:val="clear" w:color="auto" w:fill="auto"/>
            <w:vAlign w:val="center"/>
          </w:tcPr>
          <w:p w14:paraId="10EB1B27" w14:textId="11C6D4A2" w:rsidR="00684CF4" w:rsidRPr="00C60D82" w:rsidRDefault="00887A16" w:rsidP="008F5BE8">
            <w:pPr>
              <w:jc w:val="center"/>
              <w:rPr>
                <w:sz w:val="20"/>
                <w:szCs w:val="20"/>
              </w:rPr>
            </w:pPr>
            <w:r>
              <w:rPr>
                <w:sz w:val="20"/>
                <w:szCs w:val="20"/>
              </w:rPr>
              <w:t>25</w:t>
            </w:r>
          </w:p>
        </w:tc>
        <w:tc>
          <w:tcPr>
            <w:tcW w:w="1539" w:type="dxa"/>
            <w:gridSpan w:val="2"/>
            <w:tcBorders>
              <w:left w:val="single" w:sz="4" w:space="0" w:color="auto"/>
            </w:tcBorders>
            <w:shd w:val="clear" w:color="auto" w:fill="auto"/>
            <w:vAlign w:val="center"/>
          </w:tcPr>
          <w:p w14:paraId="267D5134" w14:textId="77777777" w:rsidR="00684CF4" w:rsidRPr="00C60D82" w:rsidRDefault="00684CF4" w:rsidP="008F5BE8">
            <w:pPr>
              <w:jc w:val="center"/>
              <w:rPr>
                <w:sz w:val="20"/>
                <w:szCs w:val="20"/>
                <w:lang w:val="en-GB"/>
              </w:rPr>
            </w:pPr>
            <w:r w:rsidRPr="00C60D82">
              <w:rPr>
                <w:sz w:val="20"/>
                <w:szCs w:val="20"/>
                <w:lang w:val="en-GB"/>
              </w:rPr>
              <w:t>Sensitivity (%)</w:t>
            </w:r>
          </w:p>
        </w:tc>
        <w:tc>
          <w:tcPr>
            <w:tcW w:w="822" w:type="dxa"/>
            <w:tcBorders>
              <w:right w:val="single" w:sz="4" w:space="0" w:color="auto"/>
            </w:tcBorders>
            <w:shd w:val="clear" w:color="auto" w:fill="auto"/>
            <w:vAlign w:val="center"/>
          </w:tcPr>
          <w:p w14:paraId="30A10DE9" w14:textId="38F41E32" w:rsidR="00684CF4" w:rsidRPr="00C60D82" w:rsidRDefault="00887A16" w:rsidP="008F5BE8">
            <w:pPr>
              <w:jc w:val="center"/>
              <w:rPr>
                <w:sz w:val="20"/>
                <w:szCs w:val="20"/>
              </w:rPr>
            </w:pPr>
            <w:r>
              <w:rPr>
                <w:sz w:val="20"/>
                <w:szCs w:val="20"/>
              </w:rPr>
              <w:t>37.5</w:t>
            </w:r>
          </w:p>
        </w:tc>
      </w:tr>
      <w:tr w:rsidR="00684CF4" w:rsidRPr="00C60D82" w14:paraId="4D145561" w14:textId="77777777" w:rsidTr="0017246C">
        <w:trPr>
          <w:trHeight w:val="278"/>
        </w:trPr>
        <w:tc>
          <w:tcPr>
            <w:tcW w:w="572" w:type="dxa"/>
            <w:vMerge/>
            <w:tcBorders>
              <w:left w:val="single" w:sz="4" w:space="0" w:color="auto"/>
              <w:right w:val="single" w:sz="4" w:space="0" w:color="auto"/>
            </w:tcBorders>
            <w:shd w:val="clear" w:color="auto" w:fill="D9D9D9" w:themeFill="background1" w:themeFillShade="D9"/>
            <w:vAlign w:val="center"/>
          </w:tcPr>
          <w:p w14:paraId="57E06F46" w14:textId="77777777" w:rsidR="00684CF4" w:rsidRPr="00C60D82" w:rsidRDefault="00684CF4" w:rsidP="008F5BE8">
            <w:pPr>
              <w:jc w:val="center"/>
              <w:rPr>
                <w:sz w:val="20"/>
                <w:szCs w:val="20"/>
                <w:lang w:val="en-GB"/>
              </w:rPr>
            </w:pPr>
          </w:p>
        </w:tc>
        <w:tc>
          <w:tcPr>
            <w:tcW w:w="2571" w:type="dxa"/>
            <w:tcBorders>
              <w:left w:val="single" w:sz="4" w:space="0" w:color="auto"/>
              <w:bottom w:val="single" w:sz="4" w:space="0" w:color="auto"/>
            </w:tcBorders>
            <w:shd w:val="clear" w:color="auto" w:fill="F2F2F2" w:themeFill="background1" w:themeFillShade="F2"/>
            <w:vAlign w:val="center"/>
          </w:tcPr>
          <w:p w14:paraId="5819B1E9" w14:textId="662BA504" w:rsidR="00684CF4" w:rsidRPr="00C60D82" w:rsidRDefault="00684CF4" w:rsidP="008F5BE8">
            <w:pPr>
              <w:jc w:val="right"/>
              <w:rPr>
                <w:sz w:val="20"/>
                <w:szCs w:val="20"/>
                <w:lang w:val="en-GB"/>
              </w:rPr>
            </w:pPr>
            <w:r>
              <w:rPr>
                <w:sz w:val="20"/>
                <w:szCs w:val="20"/>
                <w:lang w:val="en-GB"/>
              </w:rPr>
              <w:t>B</w:t>
            </w:r>
            <w:r w:rsidR="00A524F0">
              <w:rPr>
                <w:sz w:val="20"/>
                <w:szCs w:val="20"/>
                <w:lang w:val="en-GB"/>
              </w:rPr>
              <w:t>PA</w:t>
            </w:r>
          </w:p>
        </w:tc>
        <w:tc>
          <w:tcPr>
            <w:tcW w:w="1363" w:type="dxa"/>
            <w:tcBorders>
              <w:bottom w:val="single" w:sz="4" w:space="0" w:color="auto"/>
            </w:tcBorders>
            <w:shd w:val="clear" w:color="auto" w:fill="auto"/>
            <w:vAlign w:val="center"/>
          </w:tcPr>
          <w:p w14:paraId="6CCB1D8B" w14:textId="13D7F929" w:rsidR="00684CF4" w:rsidRPr="00C60D82" w:rsidRDefault="00887A16" w:rsidP="008F5BE8">
            <w:pPr>
              <w:jc w:val="center"/>
              <w:rPr>
                <w:sz w:val="20"/>
                <w:szCs w:val="20"/>
              </w:rPr>
            </w:pPr>
            <w:r>
              <w:rPr>
                <w:sz w:val="20"/>
                <w:szCs w:val="20"/>
              </w:rPr>
              <w:t>2</w:t>
            </w:r>
          </w:p>
        </w:tc>
        <w:tc>
          <w:tcPr>
            <w:tcW w:w="1019" w:type="dxa"/>
            <w:tcBorders>
              <w:bottom w:val="single" w:sz="4" w:space="0" w:color="auto"/>
              <w:right w:val="single" w:sz="4" w:space="0" w:color="auto"/>
            </w:tcBorders>
            <w:shd w:val="clear" w:color="auto" w:fill="auto"/>
            <w:vAlign w:val="center"/>
          </w:tcPr>
          <w:p w14:paraId="47395EE6" w14:textId="0CE0B660" w:rsidR="00684CF4" w:rsidRPr="00C60D82" w:rsidRDefault="00887A16" w:rsidP="008F5BE8">
            <w:pPr>
              <w:jc w:val="center"/>
              <w:rPr>
                <w:sz w:val="20"/>
                <w:szCs w:val="20"/>
              </w:rPr>
            </w:pPr>
            <w:r>
              <w:rPr>
                <w:sz w:val="20"/>
                <w:szCs w:val="20"/>
              </w:rPr>
              <w:t>23</w:t>
            </w:r>
          </w:p>
        </w:tc>
        <w:tc>
          <w:tcPr>
            <w:tcW w:w="1539" w:type="dxa"/>
            <w:gridSpan w:val="2"/>
            <w:tcBorders>
              <w:left w:val="single" w:sz="4" w:space="0" w:color="auto"/>
              <w:bottom w:val="single" w:sz="4" w:space="0" w:color="auto"/>
            </w:tcBorders>
            <w:shd w:val="clear" w:color="auto" w:fill="auto"/>
            <w:vAlign w:val="center"/>
          </w:tcPr>
          <w:p w14:paraId="7EFA6BB4" w14:textId="77777777" w:rsidR="00684CF4" w:rsidRPr="00C60D82" w:rsidRDefault="00684CF4" w:rsidP="008F5BE8">
            <w:pPr>
              <w:jc w:val="center"/>
              <w:rPr>
                <w:sz w:val="20"/>
                <w:szCs w:val="20"/>
                <w:lang w:val="en-GB"/>
              </w:rPr>
            </w:pPr>
            <w:r w:rsidRPr="00C60D82">
              <w:rPr>
                <w:sz w:val="20"/>
                <w:szCs w:val="20"/>
                <w:lang w:val="en-GB"/>
              </w:rPr>
              <w:t>Specificity (%)</w:t>
            </w:r>
          </w:p>
        </w:tc>
        <w:tc>
          <w:tcPr>
            <w:tcW w:w="822" w:type="dxa"/>
            <w:tcBorders>
              <w:bottom w:val="single" w:sz="4" w:space="0" w:color="auto"/>
              <w:right w:val="single" w:sz="4" w:space="0" w:color="auto"/>
            </w:tcBorders>
            <w:shd w:val="clear" w:color="auto" w:fill="auto"/>
            <w:vAlign w:val="center"/>
          </w:tcPr>
          <w:p w14:paraId="6802C389" w14:textId="15A8759B" w:rsidR="00684CF4" w:rsidRPr="00C60D82" w:rsidRDefault="00887A16" w:rsidP="008F5BE8">
            <w:pPr>
              <w:jc w:val="center"/>
              <w:rPr>
                <w:sz w:val="20"/>
                <w:szCs w:val="20"/>
              </w:rPr>
            </w:pPr>
            <w:r>
              <w:rPr>
                <w:sz w:val="20"/>
                <w:szCs w:val="20"/>
              </w:rPr>
              <w:t>92.0</w:t>
            </w:r>
          </w:p>
        </w:tc>
      </w:tr>
      <w:tr w:rsidR="00684CF4" w:rsidRPr="00C60D82" w14:paraId="4B9458AD" w14:textId="77777777" w:rsidTr="0017246C">
        <w:trPr>
          <w:trHeight w:val="435"/>
        </w:trPr>
        <w:tc>
          <w:tcPr>
            <w:tcW w:w="572" w:type="dxa"/>
            <w:vMerge/>
            <w:tcBorders>
              <w:left w:val="single" w:sz="4" w:space="0" w:color="auto"/>
              <w:right w:val="single" w:sz="4" w:space="0" w:color="auto"/>
            </w:tcBorders>
            <w:shd w:val="clear" w:color="auto" w:fill="D9D9D9" w:themeFill="background1" w:themeFillShade="D9"/>
            <w:vAlign w:val="center"/>
          </w:tcPr>
          <w:p w14:paraId="201C58AF" w14:textId="77777777" w:rsidR="00684CF4" w:rsidRPr="00C60D82" w:rsidRDefault="00684CF4" w:rsidP="008F5BE8">
            <w:pPr>
              <w:jc w:val="center"/>
              <w:rPr>
                <w:sz w:val="20"/>
                <w:szCs w:val="20"/>
                <w:lang w:val="en-GB"/>
              </w:rPr>
            </w:pPr>
          </w:p>
        </w:tc>
        <w:tc>
          <w:tcPr>
            <w:tcW w:w="2571" w:type="dxa"/>
            <w:tcBorders>
              <w:top w:val="single" w:sz="4" w:space="0" w:color="auto"/>
              <w:left w:val="single" w:sz="4" w:space="0" w:color="auto"/>
            </w:tcBorders>
            <w:shd w:val="clear" w:color="auto" w:fill="F2F2F2" w:themeFill="background1" w:themeFillShade="F2"/>
            <w:vAlign w:val="center"/>
          </w:tcPr>
          <w:p w14:paraId="7A83015F" w14:textId="683B681D" w:rsidR="00684CF4" w:rsidRPr="00C60D82" w:rsidRDefault="00684CF4" w:rsidP="008F5BE8">
            <w:pPr>
              <w:rPr>
                <w:b/>
                <w:sz w:val="20"/>
                <w:szCs w:val="20"/>
                <w:lang w:val="en-GB"/>
              </w:rPr>
            </w:pPr>
            <w:r w:rsidRPr="00C60D82">
              <w:rPr>
                <w:b/>
                <w:sz w:val="20"/>
                <w:szCs w:val="20"/>
                <w:lang w:val="en-GB"/>
              </w:rPr>
              <w:t xml:space="preserve">Combined </w:t>
            </w:r>
            <w:r w:rsidR="004F3F11">
              <w:rPr>
                <w:b/>
                <w:sz w:val="20"/>
                <w:szCs w:val="20"/>
                <w:lang w:val="en-GB"/>
              </w:rPr>
              <w:t>cohort</w:t>
            </w:r>
            <w:r w:rsidR="004F3F11" w:rsidRPr="00C60D82">
              <w:rPr>
                <w:b/>
                <w:sz w:val="20"/>
                <w:szCs w:val="20"/>
                <w:lang w:val="en-GB"/>
              </w:rPr>
              <w:t xml:space="preserve"> </w:t>
            </w:r>
            <w:r w:rsidRPr="00C60D82">
              <w:rPr>
                <w:sz w:val="20"/>
                <w:szCs w:val="20"/>
                <w:lang w:val="en-GB"/>
              </w:rPr>
              <w:t>(</w:t>
            </w:r>
            <w:r w:rsidR="006A0F4D">
              <w:rPr>
                <w:sz w:val="20"/>
                <w:szCs w:val="20"/>
                <w:lang w:val="en-GB"/>
              </w:rPr>
              <w:t>N</w:t>
            </w:r>
            <w:r w:rsidRPr="00C60D82">
              <w:rPr>
                <w:sz w:val="20"/>
                <w:szCs w:val="20"/>
                <w:lang w:val="en-GB"/>
              </w:rPr>
              <w:t xml:space="preserve"> = </w:t>
            </w:r>
            <w:r>
              <w:rPr>
                <w:sz w:val="20"/>
                <w:szCs w:val="20"/>
                <w:lang w:val="en-GB"/>
              </w:rPr>
              <w:t>215</w:t>
            </w:r>
            <w:r w:rsidRPr="00C60D82">
              <w:rPr>
                <w:sz w:val="20"/>
                <w:szCs w:val="20"/>
                <w:lang w:val="en-GB"/>
              </w:rPr>
              <w:t>)</w:t>
            </w:r>
          </w:p>
        </w:tc>
        <w:tc>
          <w:tcPr>
            <w:tcW w:w="1363" w:type="dxa"/>
            <w:tcBorders>
              <w:top w:val="single" w:sz="4" w:space="0" w:color="auto"/>
            </w:tcBorders>
            <w:shd w:val="clear" w:color="auto" w:fill="F2F2F2" w:themeFill="background1" w:themeFillShade="F2"/>
            <w:vAlign w:val="center"/>
          </w:tcPr>
          <w:p w14:paraId="0ED88483" w14:textId="796B4C11" w:rsidR="00684CF4" w:rsidRPr="00C60D82" w:rsidRDefault="00A524F0" w:rsidP="008F5BE8">
            <w:pPr>
              <w:jc w:val="center"/>
              <w:rPr>
                <w:sz w:val="20"/>
                <w:szCs w:val="20"/>
                <w:lang w:val="en-GB"/>
              </w:rPr>
            </w:pPr>
            <w:r>
              <w:rPr>
                <w:sz w:val="20"/>
                <w:szCs w:val="20"/>
                <w:lang w:val="en-GB"/>
              </w:rPr>
              <w:t>U</w:t>
            </w:r>
            <w:r w:rsidR="00684CF4">
              <w:rPr>
                <w:sz w:val="20"/>
                <w:szCs w:val="20"/>
                <w:lang w:val="en-GB"/>
              </w:rPr>
              <w:t>PA</w:t>
            </w:r>
          </w:p>
        </w:tc>
        <w:tc>
          <w:tcPr>
            <w:tcW w:w="1019" w:type="dxa"/>
            <w:tcBorders>
              <w:top w:val="single" w:sz="4" w:space="0" w:color="auto"/>
              <w:right w:val="single" w:sz="4" w:space="0" w:color="auto"/>
            </w:tcBorders>
            <w:shd w:val="clear" w:color="auto" w:fill="F2F2F2" w:themeFill="background1" w:themeFillShade="F2"/>
            <w:vAlign w:val="center"/>
          </w:tcPr>
          <w:p w14:paraId="236057C1" w14:textId="5E5EC586" w:rsidR="00684CF4" w:rsidRPr="00C60D82" w:rsidRDefault="00684CF4" w:rsidP="008F5BE8">
            <w:pPr>
              <w:jc w:val="center"/>
              <w:rPr>
                <w:sz w:val="20"/>
                <w:szCs w:val="20"/>
                <w:lang w:val="en-GB"/>
              </w:rPr>
            </w:pPr>
            <w:r>
              <w:rPr>
                <w:sz w:val="20"/>
                <w:szCs w:val="20"/>
                <w:lang w:val="en-GB"/>
              </w:rPr>
              <w:t>B</w:t>
            </w:r>
            <w:r w:rsidR="00A524F0">
              <w:rPr>
                <w:sz w:val="20"/>
                <w:szCs w:val="20"/>
                <w:lang w:val="en-GB"/>
              </w:rPr>
              <w:t>PA</w:t>
            </w:r>
          </w:p>
        </w:tc>
        <w:tc>
          <w:tcPr>
            <w:tcW w:w="1539" w:type="dxa"/>
            <w:gridSpan w:val="2"/>
            <w:tcBorders>
              <w:top w:val="single" w:sz="4" w:space="0" w:color="auto"/>
              <w:left w:val="single" w:sz="4" w:space="0" w:color="auto"/>
            </w:tcBorders>
            <w:shd w:val="clear" w:color="auto" w:fill="F2F2F2" w:themeFill="background1" w:themeFillShade="F2"/>
            <w:vAlign w:val="center"/>
          </w:tcPr>
          <w:p w14:paraId="42134980" w14:textId="77777777" w:rsidR="00684CF4" w:rsidRPr="00C60D82" w:rsidRDefault="00684CF4" w:rsidP="008F5BE8">
            <w:pPr>
              <w:jc w:val="center"/>
              <w:rPr>
                <w:sz w:val="20"/>
                <w:szCs w:val="20"/>
              </w:rPr>
            </w:pPr>
            <w:r w:rsidRPr="00C60D82">
              <w:rPr>
                <w:sz w:val="20"/>
                <w:szCs w:val="20"/>
                <w:lang w:val="en-GB"/>
              </w:rPr>
              <w:t>Accuracy (%)</w:t>
            </w:r>
          </w:p>
        </w:tc>
        <w:tc>
          <w:tcPr>
            <w:tcW w:w="822" w:type="dxa"/>
            <w:tcBorders>
              <w:top w:val="single" w:sz="4" w:space="0" w:color="auto"/>
              <w:right w:val="single" w:sz="4" w:space="0" w:color="auto"/>
            </w:tcBorders>
            <w:shd w:val="clear" w:color="auto" w:fill="F2F2F2" w:themeFill="background1" w:themeFillShade="F2"/>
            <w:vAlign w:val="center"/>
          </w:tcPr>
          <w:p w14:paraId="78F78ACA" w14:textId="75D1A0BA" w:rsidR="00684CF4" w:rsidRPr="00C60D82" w:rsidRDefault="00887A16" w:rsidP="008F5BE8">
            <w:pPr>
              <w:jc w:val="center"/>
              <w:rPr>
                <w:sz w:val="20"/>
                <w:szCs w:val="20"/>
              </w:rPr>
            </w:pPr>
            <w:r>
              <w:rPr>
                <w:sz w:val="20"/>
                <w:szCs w:val="20"/>
              </w:rPr>
              <w:t>64.2</w:t>
            </w:r>
          </w:p>
        </w:tc>
      </w:tr>
      <w:tr w:rsidR="00684CF4" w:rsidRPr="00C60D82" w14:paraId="50E48B03" w14:textId="77777777" w:rsidTr="0017246C">
        <w:trPr>
          <w:trHeight w:val="278"/>
        </w:trPr>
        <w:tc>
          <w:tcPr>
            <w:tcW w:w="572" w:type="dxa"/>
            <w:vMerge/>
            <w:tcBorders>
              <w:left w:val="single" w:sz="4" w:space="0" w:color="auto"/>
              <w:right w:val="single" w:sz="4" w:space="0" w:color="auto"/>
            </w:tcBorders>
            <w:shd w:val="clear" w:color="auto" w:fill="D9D9D9" w:themeFill="background1" w:themeFillShade="D9"/>
            <w:vAlign w:val="center"/>
          </w:tcPr>
          <w:p w14:paraId="151AB0E7" w14:textId="77777777" w:rsidR="00684CF4" w:rsidRPr="00C60D82" w:rsidRDefault="00684CF4" w:rsidP="008F5BE8">
            <w:pPr>
              <w:jc w:val="center"/>
              <w:rPr>
                <w:sz w:val="20"/>
                <w:szCs w:val="20"/>
                <w:lang w:val="en-GB"/>
              </w:rPr>
            </w:pPr>
          </w:p>
        </w:tc>
        <w:tc>
          <w:tcPr>
            <w:tcW w:w="2571" w:type="dxa"/>
            <w:tcBorders>
              <w:left w:val="single" w:sz="4" w:space="0" w:color="auto"/>
            </w:tcBorders>
            <w:shd w:val="clear" w:color="auto" w:fill="F2F2F2" w:themeFill="background1" w:themeFillShade="F2"/>
            <w:vAlign w:val="center"/>
          </w:tcPr>
          <w:p w14:paraId="3C014F68" w14:textId="7AE5DA1F" w:rsidR="00684CF4" w:rsidRPr="00C60D82" w:rsidRDefault="00A524F0" w:rsidP="008F5BE8">
            <w:pPr>
              <w:jc w:val="right"/>
              <w:rPr>
                <w:sz w:val="20"/>
                <w:szCs w:val="20"/>
                <w:lang w:val="en-GB"/>
              </w:rPr>
            </w:pPr>
            <w:r>
              <w:rPr>
                <w:sz w:val="20"/>
                <w:szCs w:val="20"/>
                <w:lang w:val="en-GB"/>
              </w:rPr>
              <w:t>U</w:t>
            </w:r>
            <w:r w:rsidR="00684CF4">
              <w:rPr>
                <w:sz w:val="20"/>
                <w:szCs w:val="20"/>
                <w:lang w:val="en-GB"/>
              </w:rPr>
              <w:t>PA</w:t>
            </w:r>
          </w:p>
        </w:tc>
        <w:tc>
          <w:tcPr>
            <w:tcW w:w="1363" w:type="dxa"/>
            <w:shd w:val="clear" w:color="auto" w:fill="auto"/>
            <w:vAlign w:val="center"/>
          </w:tcPr>
          <w:p w14:paraId="1950192F" w14:textId="53F826C2" w:rsidR="00684CF4" w:rsidRPr="00C60D82" w:rsidRDefault="00887A16" w:rsidP="008F5BE8">
            <w:pPr>
              <w:jc w:val="center"/>
              <w:rPr>
                <w:sz w:val="20"/>
                <w:szCs w:val="20"/>
              </w:rPr>
            </w:pPr>
            <w:r>
              <w:rPr>
                <w:sz w:val="20"/>
                <w:szCs w:val="20"/>
              </w:rPr>
              <w:t>59</w:t>
            </w:r>
          </w:p>
        </w:tc>
        <w:tc>
          <w:tcPr>
            <w:tcW w:w="1019" w:type="dxa"/>
            <w:tcBorders>
              <w:right w:val="single" w:sz="4" w:space="0" w:color="auto"/>
            </w:tcBorders>
            <w:shd w:val="clear" w:color="auto" w:fill="auto"/>
            <w:vAlign w:val="center"/>
          </w:tcPr>
          <w:p w14:paraId="30E2CFBB" w14:textId="04EA5A9B" w:rsidR="00684CF4" w:rsidRPr="00C60D82" w:rsidRDefault="00887A16" w:rsidP="008F5BE8">
            <w:pPr>
              <w:jc w:val="center"/>
              <w:rPr>
                <w:sz w:val="20"/>
                <w:szCs w:val="20"/>
              </w:rPr>
            </w:pPr>
            <w:r>
              <w:rPr>
                <w:sz w:val="20"/>
                <w:szCs w:val="20"/>
              </w:rPr>
              <w:t>74</w:t>
            </w:r>
          </w:p>
        </w:tc>
        <w:tc>
          <w:tcPr>
            <w:tcW w:w="1539" w:type="dxa"/>
            <w:gridSpan w:val="2"/>
            <w:tcBorders>
              <w:left w:val="single" w:sz="4" w:space="0" w:color="auto"/>
            </w:tcBorders>
            <w:shd w:val="clear" w:color="auto" w:fill="auto"/>
            <w:vAlign w:val="center"/>
          </w:tcPr>
          <w:p w14:paraId="0848007E" w14:textId="77777777" w:rsidR="00684CF4" w:rsidRPr="00C60D82" w:rsidRDefault="00684CF4" w:rsidP="008F5BE8">
            <w:pPr>
              <w:jc w:val="center"/>
              <w:rPr>
                <w:sz w:val="20"/>
                <w:szCs w:val="20"/>
                <w:lang w:val="en-GB"/>
              </w:rPr>
            </w:pPr>
            <w:r w:rsidRPr="00C60D82">
              <w:rPr>
                <w:sz w:val="20"/>
                <w:szCs w:val="20"/>
                <w:lang w:val="en-GB"/>
              </w:rPr>
              <w:t>Sensitivity (%)</w:t>
            </w:r>
          </w:p>
        </w:tc>
        <w:tc>
          <w:tcPr>
            <w:tcW w:w="822" w:type="dxa"/>
            <w:tcBorders>
              <w:right w:val="single" w:sz="4" w:space="0" w:color="auto"/>
            </w:tcBorders>
            <w:shd w:val="clear" w:color="auto" w:fill="auto"/>
            <w:vAlign w:val="center"/>
          </w:tcPr>
          <w:p w14:paraId="4D47A728" w14:textId="6AEAFB40" w:rsidR="00684CF4" w:rsidRPr="00C60D82" w:rsidRDefault="00887A16" w:rsidP="008F5BE8">
            <w:pPr>
              <w:jc w:val="center"/>
              <w:rPr>
                <w:sz w:val="20"/>
                <w:szCs w:val="20"/>
              </w:rPr>
            </w:pPr>
            <w:r>
              <w:rPr>
                <w:sz w:val="20"/>
                <w:szCs w:val="20"/>
              </w:rPr>
              <w:t>44.4</w:t>
            </w:r>
          </w:p>
        </w:tc>
      </w:tr>
      <w:tr w:rsidR="00684CF4" w:rsidRPr="00C60D82" w14:paraId="3E3E953F" w14:textId="77777777" w:rsidTr="0017246C">
        <w:trPr>
          <w:trHeight w:val="278"/>
        </w:trPr>
        <w:tc>
          <w:tcPr>
            <w:tcW w:w="57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AB5D7FD" w14:textId="77777777" w:rsidR="00684CF4" w:rsidRPr="00C60D82" w:rsidRDefault="00684CF4" w:rsidP="008F5BE8">
            <w:pPr>
              <w:jc w:val="center"/>
              <w:rPr>
                <w:sz w:val="20"/>
                <w:szCs w:val="20"/>
                <w:lang w:val="en-GB"/>
              </w:rPr>
            </w:pPr>
          </w:p>
        </w:tc>
        <w:tc>
          <w:tcPr>
            <w:tcW w:w="2571" w:type="dxa"/>
            <w:tcBorders>
              <w:left w:val="single" w:sz="4" w:space="0" w:color="auto"/>
              <w:bottom w:val="single" w:sz="4" w:space="0" w:color="auto"/>
            </w:tcBorders>
            <w:shd w:val="clear" w:color="auto" w:fill="F2F2F2" w:themeFill="background1" w:themeFillShade="F2"/>
            <w:vAlign w:val="center"/>
          </w:tcPr>
          <w:p w14:paraId="5D2C064F" w14:textId="043811F9" w:rsidR="00684CF4" w:rsidRPr="00C60D82" w:rsidRDefault="00684CF4" w:rsidP="008F5BE8">
            <w:pPr>
              <w:jc w:val="right"/>
              <w:rPr>
                <w:sz w:val="20"/>
                <w:szCs w:val="20"/>
                <w:lang w:val="en-GB"/>
              </w:rPr>
            </w:pPr>
            <w:r>
              <w:rPr>
                <w:sz w:val="20"/>
                <w:szCs w:val="20"/>
                <w:lang w:val="en-GB"/>
              </w:rPr>
              <w:t>B</w:t>
            </w:r>
            <w:r w:rsidR="00A524F0">
              <w:rPr>
                <w:sz w:val="20"/>
                <w:szCs w:val="20"/>
                <w:lang w:val="en-GB"/>
              </w:rPr>
              <w:t>PA</w:t>
            </w:r>
          </w:p>
        </w:tc>
        <w:tc>
          <w:tcPr>
            <w:tcW w:w="1363" w:type="dxa"/>
            <w:tcBorders>
              <w:bottom w:val="single" w:sz="4" w:space="0" w:color="auto"/>
            </w:tcBorders>
            <w:shd w:val="clear" w:color="auto" w:fill="auto"/>
            <w:vAlign w:val="center"/>
          </w:tcPr>
          <w:p w14:paraId="7CFAF922" w14:textId="23C13540" w:rsidR="00684CF4" w:rsidRPr="00C60D82" w:rsidRDefault="00887A16" w:rsidP="008F5BE8">
            <w:pPr>
              <w:jc w:val="center"/>
              <w:rPr>
                <w:sz w:val="20"/>
                <w:szCs w:val="20"/>
              </w:rPr>
            </w:pPr>
            <w:r>
              <w:rPr>
                <w:sz w:val="20"/>
                <w:szCs w:val="20"/>
              </w:rPr>
              <w:t>3</w:t>
            </w:r>
          </w:p>
        </w:tc>
        <w:tc>
          <w:tcPr>
            <w:tcW w:w="1019" w:type="dxa"/>
            <w:tcBorders>
              <w:bottom w:val="single" w:sz="4" w:space="0" w:color="auto"/>
              <w:right w:val="single" w:sz="4" w:space="0" w:color="auto"/>
            </w:tcBorders>
            <w:shd w:val="clear" w:color="auto" w:fill="auto"/>
            <w:vAlign w:val="center"/>
          </w:tcPr>
          <w:p w14:paraId="433497E5" w14:textId="08A0103B" w:rsidR="00684CF4" w:rsidRPr="00C60D82" w:rsidRDefault="00887A16" w:rsidP="008F5BE8">
            <w:pPr>
              <w:jc w:val="center"/>
              <w:rPr>
                <w:sz w:val="20"/>
                <w:szCs w:val="20"/>
              </w:rPr>
            </w:pPr>
            <w:r>
              <w:rPr>
                <w:sz w:val="20"/>
                <w:szCs w:val="20"/>
              </w:rPr>
              <w:t>79</w:t>
            </w:r>
          </w:p>
        </w:tc>
        <w:tc>
          <w:tcPr>
            <w:tcW w:w="1539" w:type="dxa"/>
            <w:gridSpan w:val="2"/>
            <w:tcBorders>
              <w:left w:val="single" w:sz="4" w:space="0" w:color="auto"/>
              <w:bottom w:val="single" w:sz="4" w:space="0" w:color="auto"/>
            </w:tcBorders>
            <w:shd w:val="clear" w:color="auto" w:fill="auto"/>
            <w:vAlign w:val="center"/>
          </w:tcPr>
          <w:p w14:paraId="53B4007C" w14:textId="77777777" w:rsidR="00684CF4" w:rsidRPr="00C60D82" w:rsidRDefault="00684CF4" w:rsidP="008F5BE8">
            <w:pPr>
              <w:jc w:val="center"/>
              <w:rPr>
                <w:sz w:val="20"/>
                <w:szCs w:val="20"/>
                <w:lang w:val="en-GB"/>
              </w:rPr>
            </w:pPr>
            <w:r w:rsidRPr="00C60D82">
              <w:rPr>
                <w:sz w:val="20"/>
                <w:szCs w:val="20"/>
                <w:lang w:val="en-GB"/>
              </w:rPr>
              <w:t>Specificity (%)</w:t>
            </w:r>
          </w:p>
        </w:tc>
        <w:tc>
          <w:tcPr>
            <w:tcW w:w="822" w:type="dxa"/>
            <w:tcBorders>
              <w:bottom w:val="single" w:sz="4" w:space="0" w:color="auto"/>
              <w:right w:val="single" w:sz="4" w:space="0" w:color="auto"/>
            </w:tcBorders>
            <w:shd w:val="clear" w:color="auto" w:fill="auto"/>
            <w:vAlign w:val="center"/>
          </w:tcPr>
          <w:p w14:paraId="3B837C26" w14:textId="31E4CE1F" w:rsidR="00684CF4" w:rsidRPr="00C60D82" w:rsidRDefault="00887A16" w:rsidP="008F5BE8">
            <w:pPr>
              <w:jc w:val="center"/>
              <w:rPr>
                <w:sz w:val="20"/>
                <w:szCs w:val="20"/>
              </w:rPr>
            </w:pPr>
            <w:r>
              <w:rPr>
                <w:sz w:val="20"/>
                <w:szCs w:val="20"/>
              </w:rPr>
              <w:t>96.3</w:t>
            </w:r>
          </w:p>
        </w:tc>
      </w:tr>
    </w:tbl>
    <w:p w14:paraId="2178B384" w14:textId="77777777" w:rsidR="00A92993" w:rsidRDefault="00A92993" w:rsidP="006D0B5A">
      <w:pPr>
        <w:rPr>
          <w:b/>
          <w:color w:val="FF0000"/>
        </w:rPr>
      </w:pPr>
    </w:p>
    <w:p w14:paraId="2C8F0FAF" w14:textId="394B8DFC" w:rsidR="00357653" w:rsidRDefault="004F3F11" w:rsidP="00027C4A">
      <w:pPr>
        <w:pStyle w:val="Corpo"/>
        <w:tabs>
          <w:tab w:val="left" w:pos="5529"/>
        </w:tabs>
        <w:jc w:val="both"/>
        <w:outlineLvl w:val="0"/>
        <w:rPr>
          <w:rFonts w:hAnsi="Times New Roman" w:cs="Times New Roman"/>
        </w:rPr>
      </w:pPr>
      <w:r>
        <w:rPr>
          <w:rFonts w:hAnsi="Times New Roman" w:cs="Times New Roman"/>
        </w:rPr>
        <w:t xml:space="preserve">The table shows the real and predicted subtype diagnosis, accuracy sensitivity, specificity for the training </w:t>
      </w:r>
      <w:r w:rsidR="006A0F4D">
        <w:rPr>
          <w:rFonts w:hAnsi="Times New Roman" w:cs="Times New Roman"/>
        </w:rPr>
        <w:t>cohort (N = 150)</w:t>
      </w:r>
      <w:r>
        <w:rPr>
          <w:rFonts w:hAnsi="Times New Roman" w:cs="Times New Roman"/>
        </w:rPr>
        <w:t>, the validation</w:t>
      </w:r>
      <w:r w:rsidR="006A0F4D">
        <w:rPr>
          <w:rFonts w:hAnsi="Times New Roman" w:cs="Times New Roman"/>
        </w:rPr>
        <w:t xml:space="preserve"> cohort</w:t>
      </w:r>
      <w:r w:rsidR="00FB1D31">
        <w:rPr>
          <w:rFonts w:hAnsi="Times New Roman" w:cs="Times New Roman"/>
        </w:rPr>
        <w:t xml:space="preserve"> (N = 65)</w:t>
      </w:r>
      <w:r w:rsidR="006A0F4D">
        <w:rPr>
          <w:rFonts w:hAnsi="Times New Roman" w:cs="Times New Roman"/>
        </w:rPr>
        <w:t>, and the combined cohort</w:t>
      </w:r>
      <w:r w:rsidR="00FB1D31">
        <w:rPr>
          <w:rFonts w:hAnsi="Times New Roman" w:cs="Times New Roman"/>
        </w:rPr>
        <w:t xml:space="preserve"> (N = 215).</w:t>
      </w:r>
      <w:r w:rsidR="00711205">
        <w:rPr>
          <w:rFonts w:hAnsi="Times New Roman" w:cs="Times New Roman"/>
        </w:rPr>
        <w:t xml:space="preserve"> A cut-off of </w:t>
      </w:r>
      <w:r w:rsidR="00711205" w:rsidRPr="00D04546">
        <w:rPr>
          <w:rFonts w:hAnsi="Times New Roman" w:cs="Times New Roman"/>
          <w:color w:val="000000" w:themeColor="text1"/>
        </w:rPr>
        <w:t xml:space="preserve">greater than </w:t>
      </w:r>
      <w:r w:rsidR="00D04546" w:rsidRPr="00D04546">
        <w:rPr>
          <w:rFonts w:hAnsi="Times New Roman" w:cs="Times New Roman"/>
          <w:color w:val="000000" w:themeColor="text1"/>
        </w:rPr>
        <w:t>8</w:t>
      </w:r>
      <w:r w:rsidR="00711205" w:rsidRPr="00D04546">
        <w:rPr>
          <w:rFonts w:hAnsi="Times New Roman" w:cs="Times New Roman"/>
          <w:color w:val="000000" w:themeColor="text1"/>
        </w:rPr>
        <w:t xml:space="preserve"> identifies patients with a diagnosis of </w:t>
      </w:r>
      <w:r w:rsidR="00961ED0">
        <w:rPr>
          <w:rFonts w:hAnsi="Times New Roman" w:cs="Times New Roman"/>
          <w:color w:val="000000" w:themeColor="text1"/>
        </w:rPr>
        <w:t xml:space="preserve">unilateral </w:t>
      </w:r>
      <w:r w:rsidR="00107E7E">
        <w:rPr>
          <w:rFonts w:hAnsi="Times New Roman" w:cs="Times New Roman"/>
          <w:color w:val="000000" w:themeColor="text1"/>
        </w:rPr>
        <w:t>primary aldosteronism</w:t>
      </w:r>
      <w:r w:rsidR="00313E8A">
        <w:rPr>
          <w:rFonts w:hAnsi="Times New Roman" w:cs="Times New Roman"/>
          <w:color w:val="000000" w:themeColor="text1"/>
        </w:rPr>
        <w:t xml:space="preserve"> (UPA)</w:t>
      </w:r>
      <w:r w:rsidR="00711205" w:rsidRPr="00D04546">
        <w:rPr>
          <w:rFonts w:hAnsi="Times New Roman" w:cs="Times New Roman"/>
          <w:color w:val="000000" w:themeColor="text1"/>
        </w:rPr>
        <w:t xml:space="preserve"> with an optimized sensitivity; cut-off of greater than 1</w:t>
      </w:r>
      <w:r w:rsidR="00D04546" w:rsidRPr="00D04546">
        <w:rPr>
          <w:rFonts w:hAnsi="Times New Roman" w:cs="Times New Roman"/>
          <w:color w:val="000000" w:themeColor="text1"/>
        </w:rPr>
        <w:t>6</w:t>
      </w:r>
      <w:r w:rsidR="00711205" w:rsidRPr="00D04546">
        <w:rPr>
          <w:rFonts w:hAnsi="Times New Roman" w:cs="Times New Roman"/>
          <w:color w:val="000000" w:themeColor="text1"/>
        </w:rPr>
        <w:t xml:space="preserve"> identifies </w:t>
      </w:r>
      <w:r w:rsidR="00711205">
        <w:rPr>
          <w:rFonts w:hAnsi="Times New Roman" w:cs="Times New Roman"/>
        </w:rPr>
        <w:t xml:space="preserve">patients with a diagnosis of </w:t>
      </w:r>
      <w:r w:rsidR="00313E8A">
        <w:rPr>
          <w:rFonts w:hAnsi="Times New Roman" w:cs="Times New Roman"/>
        </w:rPr>
        <w:t>U</w:t>
      </w:r>
      <w:r w:rsidR="00961ED0">
        <w:rPr>
          <w:rFonts w:hAnsi="Times New Roman" w:cs="Times New Roman"/>
        </w:rPr>
        <w:t>PA</w:t>
      </w:r>
      <w:r w:rsidR="00711205">
        <w:rPr>
          <w:rFonts w:hAnsi="Times New Roman" w:cs="Times New Roman"/>
        </w:rPr>
        <w:t xml:space="preserve"> with an optimized specificity. </w:t>
      </w:r>
      <w:r w:rsidR="00313E8A">
        <w:rPr>
          <w:rFonts w:hAnsi="Times New Roman" w:cs="Times New Roman"/>
        </w:rPr>
        <w:t xml:space="preserve">BPA, </w:t>
      </w:r>
      <w:r w:rsidR="00107E7E">
        <w:rPr>
          <w:rFonts w:hAnsi="Times New Roman" w:cs="Times New Roman"/>
        </w:rPr>
        <w:t>B</w:t>
      </w:r>
      <w:r w:rsidR="00313E8A">
        <w:rPr>
          <w:rFonts w:hAnsi="Times New Roman" w:cs="Times New Roman"/>
        </w:rPr>
        <w:t>ilateral P</w:t>
      </w:r>
      <w:r w:rsidR="00107E7E">
        <w:rPr>
          <w:rFonts w:hAnsi="Times New Roman" w:cs="Times New Roman"/>
        </w:rPr>
        <w:t>rimary Aldosteronism</w:t>
      </w:r>
      <w:r w:rsidR="00313E8A">
        <w:rPr>
          <w:rFonts w:hAnsi="Times New Roman" w:cs="Times New Roman"/>
        </w:rPr>
        <w:t>.</w:t>
      </w:r>
    </w:p>
    <w:p w14:paraId="439AA51B" w14:textId="1EBCDEAB" w:rsidR="00B92F98" w:rsidRDefault="00B92F98" w:rsidP="00B112C8">
      <w:pPr>
        <w:pStyle w:val="Corpo"/>
        <w:tabs>
          <w:tab w:val="left" w:pos="5529"/>
        </w:tabs>
        <w:spacing w:line="480" w:lineRule="auto"/>
        <w:jc w:val="both"/>
        <w:outlineLvl w:val="0"/>
        <w:rPr>
          <w:rFonts w:hAnsi="Times New Roman" w:cs="Times New Roman"/>
        </w:rPr>
      </w:pPr>
    </w:p>
    <w:p w14:paraId="5FC8221A" w14:textId="77777777" w:rsidR="000940A5" w:rsidRDefault="000940A5">
      <w:pPr>
        <w:rPr>
          <w:rFonts w:eastAsia="Arial Unicode MS"/>
          <w:b/>
          <w:bCs/>
          <w:i/>
          <w:iCs/>
          <w:color w:val="000000"/>
          <w:u w:color="000000"/>
          <w:bdr w:val="nil"/>
          <w:lang w:val="en-US" w:eastAsia="en-US"/>
        </w:rPr>
      </w:pPr>
      <w:r w:rsidRPr="004F3F11">
        <w:rPr>
          <w:b/>
          <w:bCs/>
          <w:i/>
          <w:iCs/>
          <w:lang w:val="en-US"/>
        </w:rPr>
        <w:br w:type="page"/>
      </w:r>
    </w:p>
    <w:p w14:paraId="4A5F8AE6" w14:textId="7E5EC986" w:rsidR="000940A5" w:rsidRPr="007C181B" w:rsidRDefault="003606D4" w:rsidP="000940A5">
      <w:pPr>
        <w:pStyle w:val="Corpo"/>
        <w:tabs>
          <w:tab w:val="left" w:pos="5529"/>
        </w:tabs>
        <w:spacing w:line="480" w:lineRule="auto"/>
        <w:jc w:val="both"/>
        <w:outlineLvl w:val="0"/>
        <w:rPr>
          <w:rFonts w:hAnsi="Times New Roman" w:cs="Times New Roman"/>
          <w:b/>
          <w:bCs/>
          <w:shd w:val="clear" w:color="auto" w:fill="FFFF00"/>
        </w:rPr>
      </w:pPr>
      <w:r w:rsidRPr="008F2D54">
        <w:rPr>
          <w:rFonts w:hAnsi="Times New Roman" w:cs="Times New Roman"/>
          <w:b/>
          <w:bCs/>
        </w:rPr>
        <w:lastRenderedPageBreak/>
        <w:t>Supplementa</w:t>
      </w:r>
      <w:r>
        <w:rPr>
          <w:rFonts w:hAnsi="Times New Roman" w:cs="Times New Roman"/>
          <w:b/>
          <w:bCs/>
        </w:rPr>
        <w:t xml:space="preserve">ry </w:t>
      </w:r>
      <w:r w:rsidRPr="008F2D54">
        <w:rPr>
          <w:rFonts w:hAnsi="Times New Roman" w:cs="Times New Roman"/>
          <w:b/>
          <w:bCs/>
        </w:rPr>
        <w:t xml:space="preserve">Table </w:t>
      </w:r>
      <w:r>
        <w:rPr>
          <w:rFonts w:hAnsi="Times New Roman" w:cs="Times New Roman"/>
          <w:b/>
          <w:bCs/>
        </w:rPr>
        <w:t>5</w:t>
      </w:r>
      <w:r w:rsidR="007C181B" w:rsidRPr="007C181B">
        <w:rPr>
          <w:rFonts w:hAnsi="Times New Roman" w:cs="Times New Roman"/>
          <w:b/>
          <w:bCs/>
        </w:rPr>
        <w:t>.</w:t>
      </w:r>
      <w:r w:rsidR="000940A5" w:rsidRPr="007C181B">
        <w:rPr>
          <w:rFonts w:hAnsi="Times New Roman" w:cs="Times New Roman"/>
          <w:b/>
          <w:bCs/>
        </w:rPr>
        <w:t xml:space="preserve"> </w:t>
      </w:r>
      <w:r w:rsidR="00E95A98" w:rsidRPr="007C181B">
        <w:rPr>
          <w:rFonts w:hAnsi="Times New Roman" w:cs="Times New Roman"/>
          <w:b/>
          <w:bCs/>
        </w:rPr>
        <w:t xml:space="preserve">Distribution of PA patients </w:t>
      </w:r>
      <w:r w:rsidR="00A50BC9" w:rsidRPr="007C181B">
        <w:rPr>
          <w:rFonts w:hAnsi="Times New Roman" w:cs="Times New Roman"/>
          <w:b/>
          <w:bCs/>
        </w:rPr>
        <w:t>according to</w:t>
      </w:r>
      <w:r w:rsidR="00E95A98" w:rsidRPr="007C181B">
        <w:rPr>
          <w:rFonts w:hAnsi="Times New Roman" w:cs="Times New Roman"/>
          <w:b/>
          <w:bCs/>
        </w:rPr>
        <w:t xml:space="preserve"> </w:t>
      </w:r>
      <w:r w:rsidR="00EF4433">
        <w:rPr>
          <w:rFonts w:hAnsi="Times New Roman" w:cs="Times New Roman"/>
          <w:b/>
          <w:bCs/>
        </w:rPr>
        <w:t>the</w:t>
      </w:r>
      <w:r w:rsidR="00E95A98" w:rsidRPr="007C181B">
        <w:rPr>
          <w:rFonts w:hAnsi="Times New Roman" w:cs="Times New Roman"/>
          <w:b/>
          <w:bCs/>
        </w:rPr>
        <w:t xml:space="preserve"> score</w:t>
      </w:r>
    </w:p>
    <w:tbl>
      <w:tblPr>
        <w:tblStyle w:val="Grigliatabella"/>
        <w:tblW w:w="5983" w:type="dxa"/>
        <w:tblInd w:w="351" w:type="dxa"/>
        <w:tblLayout w:type="fixed"/>
        <w:tblLook w:val="04A0" w:firstRow="1" w:lastRow="0" w:firstColumn="1" w:lastColumn="0" w:noHBand="0" w:noVBand="1"/>
      </w:tblPr>
      <w:tblGrid>
        <w:gridCol w:w="1447"/>
        <w:gridCol w:w="709"/>
        <w:gridCol w:w="992"/>
        <w:gridCol w:w="851"/>
        <w:gridCol w:w="992"/>
        <w:gridCol w:w="992"/>
      </w:tblGrid>
      <w:tr w:rsidR="000940A5" w:rsidRPr="00170DBE" w14:paraId="6A39B41F" w14:textId="77777777" w:rsidTr="00E37AEC">
        <w:trPr>
          <w:trHeight w:val="420"/>
          <w:tblHeader/>
        </w:trPr>
        <w:tc>
          <w:tcPr>
            <w:tcW w:w="1447" w:type="dxa"/>
            <w:vMerge w:val="restart"/>
            <w:tcBorders>
              <w:top w:val="single" w:sz="4" w:space="0" w:color="auto"/>
              <w:left w:val="single" w:sz="4" w:space="0" w:color="auto"/>
              <w:right w:val="nil"/>
            </w:tcBorders>
            <w:shd w:val="clear" w:color="auto" w:fill="D9D9D9" w:themeFill="background1" w:themeFillShade="D9"/>
            <w:vAlign w:val="center"/>
          </w:tcPr>
          <w:p w14:paraId="58952EFB" w14:textId="236AEBFF" w:rsidR="000940A5" w:rsidRPr="00170DBE" w:rsidRDefault="000940A5" w:rsidP="008F5BE8">
            <w:pPr>
              <w:jc w:val="center"/>
              <w:rPr>
                <w:b/>
                <w:sz w:val="20"/>
                <w:szCs w:val="20"/>
                <w:lang w:val="en-US"/>
              </w:rPr>
            </w:pPr>
            <w:r w:rsidRPr="00170DBE">
              <w:rPr>
                <w:b/>
                <w:sz w:val="20"/>
                <w:szCs w:val="20"/>
                <w:lang w:val="en-US"/>
              </w:rPr>
              <w:t>Score point</w:t>
            </w:r>
            <w:r w:rsidR="00170DBE">
              <w:rPr>
                <w:b/>
                <w:sz w:val="20"/>
                <w:szCs w:val="20"/>
                <w:lang w:val="en-US"/>
              </w:rPr>
              <w:t>s</w:t>
            </w:r>
          </w:p>
        </w:tc>
        <w:tc>
          <w:tcPr>
            <w:tcW w:w="709" w:type="dxa"/>
            <w:vMerge w:val="restart"/>
            <w:tcBorders>
              <w:top w:val="single" w:sz="4" w:space="0" w:color="auto"/>
              <w:left w:val="nil"/>
              <w:right w:val="nil"/>
            </w:tcBorders>
            <w:shd w:val="clear" w:color="auto" w:fill="D9D9D9" w:themeFill="background1" w:themeFillShade="D9"/>
            <w:vAlign w:val="center"/>
          </w:tcPr>
          <w:p w14:paraId="6E3849CB" w14:textId="77777777" w:rsidR="000940A5" w:rsidRPr="00170DBE" w:rsidRDefault="000940A5" w:rsidP="008F5BE8">
            <w:pPr>
              <w:jc w:val="center"/>
              <w:rPr>
                <w:b/>
                <w:sz w:val="20"/>
                <w:szCs w:val="20"/>
                <w:lang w:val="en-US"/>
              </w:rPr>
            </w:pPr>
            <w:r w:rsidRPr="00170DBE">
              <w:rPr>
                <w:b/>
                <w:sz w:val="20"/>
                <w:szCs w:val="20"/>
                <w:lang w:val="en-US"/>
              </w:rPr>
              <w:t>Total</w:t>
            </w:r>
          </w:p>
          <w:p w14:paraId="0073DF32" w14:textId="77777777" w:rsidR="000940A5" w:rsidRPr="00170DBE" w:rsidRDefault="000940A5" w:rsidP="008F5BE8">
            <w:pPr>
              <w:jc w:val="center"/>
              <w:rPr>
                <w:sz w:val="20"/>
                <w:szCs w:val="20"/>
                <w:lang w:val="en-US"/>
              </w:rPr>
            </w:pPr>
            <w:r w:rsidRPr="00170DBE">
              <w:rPr>
                <w:sz w:val="20"/>
                <w:szCs w:val="20"/>
                <w:lang w:val="en-US"/>
              </w:rPr>
              <w:t>(N)</w:t>
            </w:r>
          </w:p>
        </w:tc>
        <w:tc>
          <w:tcPr>
            <w:tcW w:w="1843" w:type="dxa"/>
            <w:gridSpan w:val="2"/>
            <w:tcBorders>
              <w:top w:val="single" w:sz="4" w:space="0" w:color="auto"/>
              <w:left w:val="nil"/>
              <w:bottom w:val="single" w:sz="4" w:space="0" w:color="auto"/>
              <w:right w:val="nil"/>
            </w:tcBorders>
            <w:shd w:val="clear" w:color="auto" w:fill="D9D9D9" w:themeFill="background1" w:themeFillShade="D9"/>
            <w:vAlign w:val="center"/>
          </w:tcPr>
          <w:p w14:paraId="78462ABF" w14:textId="50BF7CB6" w:rsidR="000940A5" w:rsidRPr="00170DBE" w:rsidRDefault="0001072C" w:rsidP="008F5BE8">
            <w:pPr>
              <w:jc w:val="center"/>
              <w:rPr>
                <w:b/>
                <w:sz w:val="20"/>
                <w:szCs w:val="20"/>
                <w:lang w:val="en-US"/>
              </w:rPr>
            </w:pPr>
            <w:r w:rsidRPr="00170DBE">
              <w:rPr>
                <w:b/>
                <w:sz w:val="20"/>
                <w:szCs w:val="20"/>
                <w:lang w:val="en-US"/>
              </w:rPr>
              <w:t>U</w:t>
            </w:r>
            <w:r w:rsidR="001B660F" w:rsidRPr="00170DBE">
              <w:rPr>
                <w:b/>
                <w:sz w:val="20"/>
                <w:szCs w:val="20"/>
                <w:lang w:val="en-US"/>
              </w:rPr>
              <w:t>PA</w:t>
            </w:r>
          </w:p>
        </w:tc>
        <w:tc>
          <w:tcPr>
            <w:tcW w:w="1984" w:type="dxa"/>
            <w:gridSpan w:val="2"/>
            <w:tcBorders>
              <w:top w:val="single" w:sz="4" w:space="0" w:color="auto"/>
              <w:left w:val="nil"/>
              <w:bottom w:val="single" w:sz="4" w:space="0" w:color="auto"/>
              <w:right w:val="single" w:sz="4" w:space="0" w:color="auto"/>
            </w:tcBorders>
            <w:shd w:val="clear" w:color="auto" w:fill="D9D9D9" w:themeFill="background1" w:themeFillShade="D9"/>
            <w:vAlign w:val="center"/>
          </w:tcPr>
          <w:p w14:paraId="37DE679D" w14:textId="17999FB8" w:rsidR="000940A5" w:rsidRPr="00170DBE" w:rsidRDefault="0001072C" w:rsidP="008F5BE8">
            <w:pPr>
              <w:jc w:val="center"/>
              <w:rPr>
                <w:b/>
                <w:sz w:val="20"/>
                <w:szCs w:val="20"/>
                <w:lang w:val="en-US"/>
              </w:rPr>
            </w:pPr>
            <w:r w:rsidRPr="00170DBE">
              <w:rPr>
                <w:b/>
                <w:sz w:val="20"/>
                <w:szCs w:val="20"/>
                <w:lang w:val="en-US"/>
              </w:rPr>
              <w:t>B</w:t>
            </w:r>
            <w:r w:rsidR="001B660F" w:rsidRPr="00170DBE">
              <w:rPr>
                <w:b/>
                <w:sz w:val="20"/>
                <w:szCs w:val="20"/>
                <w:lang w:val="en-US"/>
              </w:rPr>
              <w:t>PA</w:t>
            </w:r>
          </w:p>
        </w:tc>
      </w:tr>
      <w:tr w:rsidR="000940A5" w:rsidRPr="00170DBE" w14:paraId="00D7AE5A" w14:textId="77777777" w:rsidTr="0017246C">
        <w:trPr>
          <w:trHeight w:val="368"/>
          <w:tblHeader/>
        </w:trPr>
        <w:tc>
          <w:tcPr>
            <w:tcW w:w="1447" w:type="dxa"/>
            <w:vMerge/>
            <w:tcBorders>
              <w:left w:val="single" w:sz="4" w:space="0" w:color="auto"/>
              <w:right w:val="nil"/>
            </w:tcBorders>
            <w:shd w:val="clear" w:color="auto" w:fill="D9D9D9" w:themeFill="background1" w:themeFillShade="D9"/>
            <w:vAlign w:val="center"/>
          </w:tcPr>
          <w:p w14:paraId="42BFEB0B" w14:textId="77777777" w:rsidR="000940A5" w:rsidRPr="00170DBE" w:rsidRDefault="000940A5" w:rsidP="008F5BE8">
            <w:pPr>
              <w:jc w:val="center"/>
              <w:rPr>
                <w:b/>
                <w:sz w:val="20"/>
                <w:szCs w:val="20"/>
                <w:lang w:val="en-US"/>
              </w:rPr>
            </w:pPr>
          </w:p>
        </w:tc>
        <w:tc>
          <w:tcPr>
            <w:tcW w:w="709" w:type="dxa"/>
            <w:vMerge/>
            <w:tcBorders>
              <w:left w:val="nil"/>
              <w:right w:val="nil"/>
            </w:tcBorders>
            <w:shd w:val="clear" w:color="auto" w:fill="D9D9D9" w:themeFill="background1" w:themeFillShade="D9"/>
            <w:vAlign w:val="center"/>
          </w:tcPr>
          <w:p w14:paraId="57A8E068" w14:textId="77777777" w:rsidR="000940A5" w:rsidRPr="00170DBE" w:rsidRDefault="000940A5" w:rsidP="008F5BE8">
            <w:pPr>
              <w:jc w:val="center"/>
              <w:rPr>
                <w:b/>
                <w:sz w:val="20"/>
                <w:szCs w:val="20"/>
                <w:lang w:val="en-US"/>
              </w:rPr>
            </w:pPr>
          </w:p>
        </w:tc>
        <w:tc>
          <w:tcPr>
            <w:tcW w:w="992" w:type="dxa"/>
            <w:tcBorders>
              <w:top w:val="single" w:sz="4" w:space="0" w:color="auto"/>
              <w:left w:val="nil"/>
              <w:right w:val="nil"/>
            </w:tcBorders>
            <w:shd w:val="clear" w:color="auto" w:fill="D9D9D9" w:themeFill="background1" w:themeFillShade="D9"/>
            <w:vAlign w:val="center"/>
          </w:tcPr>
          <w:p w14:paraId="04B5E6B4" w14:textId="77777777" w:rsidR="000940A5" w:rsidRPr="00170DBE" w:rsidRDefault="000940A5" w:rsidP="008F5BE8">
            <w:pPr>
              <w:jc w:val="center"/>
              <w:rPr>
                <w:sz w:val="20"/>
                <w:szCs w:val="20"/>
                <w:lang w:val="en-US"/>
              </w:rPr>
            </w:pPr>
            <w:r w:rsidRPr="00170DBE">
              <w:rPr>
                <w:sz w:val="20"/>
                <w:szCs w:val="20"/>
                <w:lang w:val="en-US"/>
              </w:rPr>
              <w:t>(N)</w:t>
            </w:r>
          </w:p>
        </w:tc>
        <w:tc>
          <w:tcPr>
            <w:tcW w:w="851" w:type="dxa"/>
            <w:tcBorders>
              <w:top w:val="single" w:sz="4" w:space="0" w:color="auto"/>
              <w:left w:val="nil"/>
              <w:right w:val="nil"/>
            </w:tcBorders>
            <w:shd w:val="clear" w:color="auto" w:fill="D9D9D9" w:themeFill="background1" w:themeFillShade="D9"/>
            <w:vAlign w:val="center"/>
          </w:tcPr>
          <w:p w14:paraId="5160309A" w14:textId="77777777" w:rsidR="000940A5" w:rsidRPr="00170DBE" w:rsidRDefault="000940A5" w:rsidP="008F5BE8">
            <w:pPr>
              <w:jc w:val="center"/>
              <w:rPr>
                <w:sz w:val="20"/>
                <w:szCs w:val="20"/>
                <w:lang w:val="en-US"/>
              </w:rPr>
            </w:pPr>
            <w:r w:rsidRPr="00170DBE">
              <w:rPr>
                <w:sz w:val="20"/>
                <w:szCs w:val="20"/>
                <w:lang w:val="en-US"/>
              </w:rPr>
              <w:t>(%)</w:t>
            </w:r>
          </w:p>
        </w:tc>
        <w:tc>
          <w:tcPr>
            <w:tcW w:w="992" w:type="dxa"/>
            <w:tcBorders>
              <w:top w:val="single" w:sz="4" w:space="0" w:color="auto"/>
              <w:left w:val="nil"/>
              <w:right w:val="nil"/>
            </w:tcBorders>
            <w:shd w:val="clear" w:color="auto" w:fill="D9D9D9" w:themeFill="background1" w:themeFillShade="D9"/>
            <w:vAlign w:val="center"/>
          </w:tcPr>
          <w:p w14:paraId="442EE628" w14:textId="77777777" w:rsidR="000940A5" w:rsidRPr="00170DBE" w:rsidRDefault="000940A5" w:rsidP="008F5BE8">
            <w:pPr>
              <w:jc w:val="center"/>
              <w:rPr>
                <w:sz w:val="20"/>
                <w:szCs w:val="20"/>
                <w:lang w:val="en-US"/>
              </w:rPr>
            </w:pPr>
            <w:r w:rsidRPr="00170DBE">
              <w:rPr>
                <w:sz w:val="20"/>
                <w:szCs w:val="20"/>
                <w:lang w:val="en-US"/>
              </w:rPr>
              <w:t>(N)</w:t>
            </w:r>
          </w:p>
        </w:tc>
        <w:tc>
          <w:tcPr>
            <w:tcW w:w="992" w:type="dxa"/>
            <w:tcBorders>
              <w:top w:val="single" w:sz="4" w:space="0" w:color="auto"/>
              <w:left w:val="nil"/>
              <w:bottom w:val="nil"/>
              <w:right w:val="single" w:sz="4" w:space="0" w:color="auto"/>
            </w:tcBorders>
            <w:shd w:val="clear" w:color="auto" w:fill="D9D9D9" w:themeFill="background1" w:themeFillShade="D9"/>
            <w:vAlign w:val="center"/>
          </w:tcPr>
          <w:p w14:paraId="56406E63" w14:textId="77777777" w:rsidR="000940A5" w:rsidRPr="00170DBE" w:rsidRDefault="000940A5" w:rsidP="008F5BE8">
            <w:pPr>
              <w:jc w:val="center"/>
              <w:rPr>
                <w:b/>
                <w:sz w:val="20"/>
                <w:szCs w:val="20"/>
                <w:lang w:val="en-US"/>
              </w:rPr>
            </w:pPr>
            <w:r w:rsidRPr="00170DBE">
              <w:rPr>
                <w:sz w:val="20"/>
                <w:szCs w:val="20"/>
                <w:lang w:val="en-US"/>
              </w:rPr>
              <w:t>(%)</w:t>
            </w:r>
          </w:p>
        </w:tc>
      </w:tr>
      <w:tr w:rsidR="00616EB1" w:rsidRPr="00170DBE" w14:paraId="7AF45099" w14:textId="77777777" w:rsidTr="0017246C">
        <w:trPr>
          <w:trHeight w:val="284"/>
        </w:trPr>
        <w:tc>
          <w:tcPr>
            <w:tcW w:w="1447" w:type="dxa"/>
            <w:tcBorders>
              <w:top w:val="single" w:sz="4" w:space="0" w:color="auto"/>
              <w:left w:val="single" w:sz="4" w:space="0" w:color="auto"/>
              <w:bottom w:val="nil"/>
              <w:right w:val="nil"/>
            </w:tcBorders>
            <w:shd w:val="clear" w:color="auto" w:fill="auto"/>
            <w:vAlign w:val="center"/>
          </w:tcPr>
          <w:p w14:paraId="6D4852C3" w14:textId="7C86A67D" w:rsidR="00616EB1" w:rsidRPr="00170DBE" w:rsidRDefault="00616EB1" w:rsidP="00616EB1">
            <w:pPr>
              <w:jc w:val="center"/>
              <w:rPr>
                <w:sz w:val="20"/>
                <w:szCs w:val="20"/>
                <w:lang w:val="en-US"/>
              </w:rPr>
            </w:pPr>
            <w:r w:rsidRPr="00170DBE">
              <w:rPr>
                <w:color w:val="000000"/>
                <w:sz w:val="20"/>
                <w:szCs w:val="20"/>
                <w:lang w:val="en-US"/>
              </w:rPr>
              <w:t>0.0-2.0</w:t>
            </w:r>
          </w:p>
        </w:tc>
        <w:tc>
          <w:tcPr>
            <w:tcW w:w="709" w:type="dxa"/>
            <w:tcBorders>
              <w:top w:val="single" w:sz="4" w:space="0" w:color="auto"/>
              <w:left w:val="nil"/>
              <w:bottom w:val="nil"/>
              <w:right w:val="nil"/>
            </w:tcBorders>
            <w:vAlign w:val="center"/>
          </w:tcPr>
          <w:p w14:paraId="0A9BF928" w14:textId="54ADFC0D" w:rsidR="00616EB1" w:rsidRPr="00170DBE" w:rsidRDefault="00616EB1" w:rsidP="00616EB1">
            <w:pPr>
              <w:jc w:val="center"/>
              <w:rPr>
                <w:sz w:val="20"/>
                <w:szCs w:val="20"/>
                <w:lang w:val="en-US"/>
              </w:rPr>
            </w:pPr>
            <w:r w:rsidRPr="00170DBE">
              <w:rPr>
                <w:color w:val="000000"/>
                <w:sz w:val="20"/>
                <w:szCs w:val="20"/>
                <w:lang w:val="en-US"/>
              </w:rPr>
              <w:t>7</w:t>
            </w:r>
          </w:p>
        </w:tc>
        <w:tc>
          <w:tcPr>
            <w:tcW w:w="992" w:type="dxa"/>
            <w:tcBorders>
              <w:top w:val="single" w:sz="4" w:space="0" w:color="auto"/>
              <w:left w:val="nil"/>
              <w:bottom w:val="nil"/>
              <w:right w:val="nil"/>
            </w:tcBorders>
            <w:vAlign w:val="center"/>
          </w:tcPr>
          <w:p w14:paraId="1CB22B5B" w14:textId="31AB5544" w:rsidR="00616EB1" w:rsidRPr="00170DBE" w:rsidRDefault="00616EB1" w:rsidP="00616EB1">
            <w:pPr>
              <w:jc w:val="center"/>
              <w:rPr>
                <w:sz w:val="20"/>
                <w:szCs w:val="20"/>
                <w:lang w:val="en-US"/>
              </w:rPr>
            </w:pPr>
            <w:r w:rsidRPr="00170DBE">
              <w:rPr>
                <w:color w:val="000000"/>
                <w:sz w:val="20"/>
                <w:szCs w:val="20"/>
                <w:lang w:val="en-US"/>
              </w:rPr>
              <w:t>0</w:t>
            </w:r>
          </w:p>
        </w:tc>
        <w:tc>
          <w:tcPr>
            <w:tcW w:w="851" w:type="dxa"/>
            <w:tcBorders>
              <w:top w:val="single" w:sz="4" w:space="0" w:color="auto"/>
              <w:left w:val="nil"/>
              <w:bottom w:val="nil"/>
              <w:right w:val="nil"/>
            </w:tcBorders>
            <w:vAlign w:val="center"/>
          </w:tcPr>
          <w:p w14:paraId="7A3601E5" w14:textId="14F2E3AD" w:rsidR="00616EB1" w:rsidRPr="00170DBE" w:rsidRDefault="00616EB1" w:rsidP="00616EB1">
            <w:pPr>
              <w:jc w:val="center"/>
              <w:rPr>
                <w:sz w:val="20"/>
                <w:szCs w:val="20"/>
                <w:lang w:val="en-US"/>
              </w:rPr>
            </w:pPr>
            <w:r w:rsidRPr="00170DBE">
              <w:rPr>
                <w:color w:val="000000"/>
                <w:sz w:val="20"/>
                <w:szCs w:val="20"/>
                <w:lang w:val="en-US"/>
              </w:rPr>
              <w:t>0,0</w:t>
            </w:r>
          </w:p>
        </w:tc>
        <w:tc>
          <w:tcPr>
            <w:tcW w:w="992" w:type="dxa"/>
            <w:tcBorders>
              <w:top w:val="single" w:sz="4" w:space="0" w:color="auto"/>
              <w:left w:val="nil"/>
              <w:bottom w:val="nil"/>
              <w:right w:val="nil"/>
            </w:tcBorders>
            <w:vAlign w:val="center"/>
          </w:tcPr>
          <w:p w14:paraId="4D2BA09A" w14:textId="451532BF" w:rsidR="00616EB1" w:rsidRPr="00170DBE" w:rsidRDefault="00616EB1" w:rsidP="00616EB1">
            <w:pPr>
              <w:jc w:val="center"/>
              <w:rPr>
                <w:sz w:val="20"/>
                <w:szCs w:val="20"/>
                <w:lang w:val="en-US"/>
              </w:rPr>
            </w:pPr>
            <w:r w:rsidRPr="00170DBE">
              <w:rPr>
                <w:color w:val="000000"/>
                <w:sz w:val="20"/>
                <w:szCs w:val="20"/>
                <w:lang w:val="en-US"/>
              </w:rPr>
              <w:t>7</w:t>
            </w:r>
          </w:p>
        </w:tc>
        <w:tc>
          <w:tcPr>
            <w:tcW w:w="992" w:type="dxa"/>
            <w:tcBorders>
              <w:top w:val="single" w:sz="4" w:space="0" w:color="auto"/>
              <w:left w:val="nil"/>
              <w:bottom w:val="nil"/>
              <w:right w:val="single" w:sz="4" w:space="0" w:color="auto"/>
            </w:tcBorders>
            <w:shd w:val="clear" w:color="auto" w:fill="auto"/>
            <w:vAlign w:val="center"/>
          </w:tcPr>
          <w:p w14:paraId="1DBD1C53" w14:textId="5948AD7D" w:rsidR="00616EB1" w:rsidRPr="00170DBE" w:rsidRDefault="00616EB1" w:rsidP="00616EB1">
            <w:pPr>
              <w:jc w:val="center"/>
              <w:rPr>
                <w:sz w:val="20"/>
                <w:szCs w:val="20"/>
                <w:lang w:val="en-US"/>
              </w:rPr>
            </w:pPr>
            <w:r w:rsidRPr="00170DBE">
              <w:rPr>
                <w:color w:val="000000"/>
                <w:sz w:val="20"/>
                <w:szCs w:val="20"/>
                <w:lang w:val="en-US"/>
              </w:rPr>
              <w:t>100,0</w:t>
            </w:r>
          </w:p>
        </w:tc>
      </w:tr>
      <w:tr w:rsidR="00616EB1" w:rsidRPr="00170DBE" w14:paraId="6B820509" w14:textId="77777777" w:rsidTr="0017246C">
        <w:trPr>
          <w:trHeight w:val="284"/>
        </w:trPr>
        <w:tc>
          <w:tcPr>
            <w:tcW w:w="1447" w:type="dxa"/>
            <w:tcBorders>
              <w:top w:val="nil"/>
              <w:left w:val="single" w:sz="4" w:space="0" w:color="auto"/>
              <w:bottom w:val="nil"/>
              <w:right w:val="nil"/>
            </w:tcBorders>
            <w:shd w:val="clear" w:color="auto" w:fill="F2F2F2" w:themeFill="background1" w:themeFillShade="F2"/>
            <w:vAlign w:val="center"/>
          </w:tcPr>
          <w:p w14:paraId="09C5037C" w14:textId="54348806" w:rsidR="00616EB1" w:rsidRPr="00170DBE" w:rsidRDefault="00616EB1" w:rsidP="00616EB1">
            <w:pPr>
              <w:jc w:val="center"/>
              <w:rPr>
                <w:sz w:val="20"/>
                <w:szCs w:val="20"/>
                <w:lang w:val="en-US"/>
              </w:rPr>
            </w:pPr>
            <w:r w:rsidRPr="00170DBE">
              <w:rPr>
                <w:color w:val="000000"/>
                <w:sz w:val="20"/>
                <w:szCs w:val="20"/>
                <w:lang w:val="en-US"/>
              </w:rPr>
              <w:t>2.1-4.0</w:t>
            </w:r>
          </w:p>
        </w:tc>
        <w:tc>
          <w:tcPr>
            <w:tcW w:w="709" w:type="dxa"/>
            <w:tcBorders>
              <w:top w:val="nil"/>
              <w:left w:val="nil"/>
              <w:bottom w:val="nil"/>
              <w:right w:val="nil"/>
            </w:tcBorders>
            <w:shd w:val="clear" w:color="auto" w:fill="F2F2F2" w:themeFill="background1" w:themeFillShade="F2"/>
            <w:vAlign w:val="center"/>
          </w:tcPr>
          <w:p w14:paraId="66234FEF" w14:textId="7E53326E" w:rsidR="00616EB1" w:rsidRPr="00170DBE" w:rsidRDefault="00616EB1" w:rsidP="00616EB1">
            <w:pPr>
              <w:jc w:val="center"/>
              <w:rPr>
                <w:sz w:val="20"/>
                <w:szCs w:val="20"/>
                <w:lang w:val="en-US"/>
              </w:rPr>
            </w:pPr>
            <w:r w:rsidRPr="00170DBE">
              <w:rPr>
                <w:color w:val="000000"/>
                <w:sz w:val="20"/>
                <w:szCs w:val="20"/>
                <w:lang w:val="en-US"/>
              </w:rPr>
              <w:t>10</w:t>
            </w:r>
          </w:p>
        </w:tc>
        <w:tc>
          <w:tcPr>
            <w:tcW w:w="992" w:type="dxa"/>
            <w:tcBorders>
              <w:top w:val="nil"/>
              <w:left w:val="nil"/>
              <w:bottom w:val="nil"/>
              <w:right w:val="nil"/>
            </w:tcBorders>
            <w:shd w:val="clear" w:color="auto" w:fill="F2F2F2" w:themeFill="background1" w:themeFillShade="F2"/>
            <w:vAlign w:val="center"/>
          </w:tcPr>
          <w:p w14:paraId="73BE8440" w14:textId="58C2A783" w:rsidR="00616EB1" w:rsidRPr="00170DBE" w:rsidRDefault="00616EB1" w:rsidP="00616EB1">
            <w:pPr>
              <w:jc w:val="center"/>
              <w:rPr>
                <w:sz w:val="20"/>
                <w:szCs w:val="20"/>
                <w:lang w:val="en-US"/>
              </w:rPr>
            </w:pPr>
            <w:r w:rsidRPr="00170DBE">
              <w:rPr>
                <w:color w:val="000000"/>
                <w:sz w:val="20"/>
                <w:szCs w:val="20"/>
                <w:lang w:val="en-US"/>
              </w:rPr>
              <w:t>2</w:t>
            </w:r>
          </w:p>
        </w:tc>
        <w:tc>
          <w:tcPr>
            <w:tcW w:w="851" w:type="dxa"/>
            <w:tcBorders>
              <w:top w:val="nil"/>
              <w:left w:val="nil"/>
              <w:bottom w:val="nil"/>
              <w:right w:val="nil"/>
            </w:tcBorders>
            <w:shd w:val="clear" w:color="auto" w:fill="F2F2F2" w:themeFill="background1" w:themeFillShade="F2"/>
            <w:vAlign w:val="center"/>
          </w:tcPr>
          <w:p w14:paraId="6EE471D3" w14:textId="3EA128AD" w:rsidR="00616EB1" w:rsidRPr="00170DBE" w:rsidRDefault="00616EB1" w:rsidP="00616EB1">
            <w:pPr>
              <w:jc w:val="center"/>
              <w:rPr>
                <w:sz w:val="20"/>
                <w:szCs w:val="20"/>
                <w:lang w:val="en-US"/>
              </w:rPr>
            </w:pPr>
            <w:r w:rsidRPr="00170DBE">
              <w:rPr>
                <w:color w:val="000000"/>
                <w:sz w:val="20"/>
                <w:szCs w:val="20"/>
                <w:lang w:val="en-US"/>
              </w:rPr>
              <w:t>20,0</w:t>
            </w:r>
          </w:p>
        </w:tc>
        <w:tc>
          <w:tcPr>
            <w:tcW w:w="992" w:type="dxa"/>
            <w:tcBorders>
              <w:top w:val="nil"/>
              <w:left w:val="nil"/>
              <w:bottom w:val="nil"/>
              <w:right w:val="nil"/>
            </w:tcBorders>
            <w:shd w:val="clear" w:color="auto" w:fill="F2F2F2" w:themeFill="background1" w:themeFillShade="F2"/>
            <w:vAlign w:val="center"/>
          </w:tcPr>
          <w:p w14:paraId="7488B947" w14:textId="47A257C1" w:rsidR="00616EB1" w:rsidRPr="00170DBE" w:rsidRDefault="00616EB1" w:rsidP="00616EB1">
            <w:pPr>
              <w:jc w:val="center"/>
              <w:rPr>
                <w:sz w:val="20"/>
                <w:szCs w:val="20"/>
                <w:lang w:val="en-US"/>
              </w:rPr>
            </w:pPr>
            <w:r w:rsidRPr="00170DBE">
              <w:rPr>
                <w:color w:val="000000"/>
                <w:sz w:val="20"/>
                <w:szCs w:val="20"/>
                <w:lang w:val="en-US"/>
              </w:rPr>
              <w:t>8</w:t>
            </w:r>
          </w:p>
        </w:tc>
        <w:tc>
          <w:tcPr>
            <w:tcW w:w="992" w:type="dxa"/>
            <w:tcBorders>
              <w:top w:val="nil"/>
              <w:left w:val="nil"/>
              <w:bottom w:val="nil"/>
              <w:right w:val="single" w:sz="4" w:space="0" w:color="auto"/>
            </w:tcBorders>
            <w:shd w:val="clear" w:color="auto" w:fill="F2F2F2" w:themeFill="background1" w:themeFillShade="F2"/>
            <w:vAlign w:val="center"/>
          </w:tcPr>
          <w:p w14:paraId="3C38D64C" w14:textId="3A0D57F6" w:rsidR="00616EB1" w:rsidRPr="00170DBE" w:rsidRDefault="00616EB1" w:rsidP="00616EB1">
            <w:pPr>
              <w:jc w:val="center"/>
              <w:rPr>
                <w:sz w:val="20"/>
                <w:szCs w:val="20"/>
                <w:lang w:val="en-US"/>
              </w:rPr>
            </w:pPr>
            <w:r w:rsidRPr="00170DBE">
              <w:rPr>
                <w:color w:val="000000"/>
                <w:sz w:val="20"/>
                <w:szCs w:val="20"/>
                <w:lang w:val="en-US"/>
              </w:rPr>
              <w:t>80,0</w:t>
            </w:r>
          </w:p>
        </w:tc>
      </w:tr>
      <w:tr w:rsidR="00616EB1" w:rsidRPr="00170DBE" w14:paraId="582DBAAE" w14:textId="77777777" w:rsidTr="0017246C">
        <w:trPr>
          <w:trHeight w:val="284"/>
        </w:trPr>
        <w:tc>
          <w:tcPr>
            <w:tcW w:w="1447" w:type="dxa"/>
            <w:tcBorders>
              <w:top w:val="nil"/>
              <w:left w:val="single" w:sz="4" w:space="0" w:color="auto"/>
              <w:bottom w:val="nil"/>
              <w:right w:val="nil"/>
            </w:tcBorders>
            <w:shd w:val="clear" w:color="auto" w:fill="auto"/>
            <w:vAlign w:val="center"/>
          </w:tcPr>
          <w:p w14:paraId="76082BE4" w14:textId="2CF451D5" w:rsidR="00616EB1" w:rsidRPr="00170DBE" w:rsidRDefault="00616EB1" w:rsidP="00616EB1">
            <w:pPr>
              <w:jc w:val="center"/>
              <w:rPr>
                <w:sz w:val="20"/>
                <w:szCs w:val="20"/>
                <w:lang w:val="en-US"/>
              </w:rPr>
            </w:pPr>
            <w:r w:rsidRPr="00170DBE">
              <w:rPr>
                <w:color w:val="000000"/>
                <w:sz w:val="20"/>
                <w:szCs w:val="20"/>
                <w:lang w:val="en-US"/>
              </w:rPr>
              <w:t>4.1-6.0</w:t>
            </w:r>
          </w:p>
        </w:tc>
        <w:tc>
          <w:tcPr>
            <w:tcW w:w="709" w:type="dxa"/>
            <w:tcBorders>
              <w:top w:val="nil"/>
              <w:left w:val="nil"/>
              <w:bottom w:val="nil"/>
              <w:right w:val="nil"/>
            </w:tcBorders>
            <w:vAlign w:val="center"/>
          </w:tcPr>
          <w:p w14:paraId="3288D353" w14:textId="33F42D93" w:rsidR="00616EB1" w:rsidRPr="00170DBE" w:rsidRDefault="00616EB1" w:rsidP="00616EB1">
            <w:pPr>
              <w:jc w:val="center"/>
              <w:rPr>
                <w:sz w:val="20"/>
                <w:szCs w:val="20"/>
                <w:lang w:val="en-US"/>
              </w:rPr>
            </w:pPr>
            <w:r w:rsidRPr="00170DBE">
              <w:rPr>
                <w:color w:val="000000"/>
                <w:sz w:val="20"/>
                <w:szCs w:val="20"/>
                <w:lang w:val="en-US"/>
              </w:rPr>
              <w:t>3</w:t>
            </w:r>
          </w:p>
        </w:tc>
        <w:tc>
          <w:tcPr>
            <w:tcW w:w="992" w:type="dxa"/>
            <w:tcBorders>
              <w:top w:val="nil"/>
              <w:left w:val="nil"/>
              <w:bottom w:val="nil"/>
              <w:right w:val="nil"/>
            </w:tcBorders>
            <w:vAlign w:val="center"/>
          </w:tcPr>
          <w:p w14:paraId="461FD69E" w14:textId="39852809" w:rsidR="00616EB1" w:rsidRPr="00170DBE" w:rsidRDefault="00616EB1" w:rsidP="00616EB1">
            <w:pPr>
              <w:jc w:val="center"/>
              <w:rPr>
                <w:sz w:val="20"/>
                <w:szCs w:val="20"/>
                <w:lang w:val="en-US"/>
              </w:rPr>
            </w:pPr>
            <w:r w:rsidRPr="00170DBE">
              <w:rPr>
                <w:color w:val="000000"/>
                <w:sz w:val="20"/>
                <w:szCs w:val="20"/>
                <w:lang w:val="en-US"/>
              </w:rPr>
              <w:t>1</w:t>
            </w:r>
          </w:p>
        </w:tc>
        <w:tc>
          <w:tcPr>
            <w:tcW w:w="851" w:type="dxa"/>
            <w:tcBorders>
              <w:top w:val="nil"/>
              <w:left w:val="nil"/>
              <w:bottom w:val="nil"/>
              <w:right w:val="nil"/>
            </w:tcBorders>
            <w:vAlign w:val="center"/>
          </w:tcPr>
          <w:p w14:paraId="4E793F78" w14:textId="445DAD9F" w:rsidR="00616EB1" w:rsidRPr="00170DBE" w:rsidRDefault="00616EB1" w:rsidP="00616EB1">
            <w:pPr>
              <w:jc w:val="center"/>
              <w:rPr>
                <w:sz w:val="20"/>
                <w:szCs w:val="20"/>
                <w:lang w:val="en-US"/>
              </w:rPr>
            </w:pPr>
            <w:r w:rsidRPr="00170DBE">
              <w:rPr>
                <w:color w:val="000000"/>
                <w:sz w:val="20"/>
                <w:szCs w:val="20"/>
                <w:lang w:val="en-US"/>
              </w:rPr>
              <w:t>33,3</w:t>
            </w:r>
          </w:p>
        </w:tc>
        <w:tc>
          <w:tcPr>
            <w:tcW w:w="992" w:type="dxa"/>
            <w:tcBorders>
              <w:top w:val="nil"/>
              <w:left w:val="nil"/>
              <w:bottom w:val="nil"/>
              <w:right w:val="nil"/>
            </w:tcBorders>
            <w:vAlign w:val="center"/>
          </w:tcPr>
          <w:p w14:paraId="0BF61E2F" w14:textId="58DA8A1F" w:rsidR="00616EB1" w:rsidRPr="00170DBE" w:rsidRDefault="00616EB1" w:rsidP="00616EB1">
            <w:pPr>
              <w:jc w:val="center"/>
              <w:rPr>
                <w:sz w:val="20"/>
                <w:szCs w:val="20"/>
                <w:lang w:val="en-US"/>
              </w:rPr>
            </w:pPr>
            <w:r w:rsidRPr="00170DBE">
              <w:rPr>
                <w:color w:val="000000"/>
                <w:sz w:val="20"/>
                <w:szCs w:val="20"/>
                <w:lang w:val="en-US"/>
              </w:rPr>
              <w:t>2</w:t>
            </w:r>
          </w:p>
        </w:tc>
        <w:tc>
          <w:tcPr>
            <w:tcW w:w="992" w:type="dxa"/>
            <w:tcBorders>
              <w:top w:val="nil"/>
              <w:left w:val="nil"/>
              <w:bottom w:val="nil"/>
              <w:right w:val="single" w:sz="4" w:space="0" w:color="auto"/>
            </w:tcBorders>
            <w:shd w:val="clear" w:color="auto" w:fill="auto"/>
            <w:vAlign w:val="center"/>
          </w:tcPr>
          <w:p w14:paraId="7BF09915" w14:textId="52F1AD8A" w:rsidR="00616EB1" w:rsidRPr="00170DBE" w:rsidRDefault="00616EB1" w:rsidP="00616EB1">
            <w:pPr>
              <w:jc w:val="center"/>
              <w:rPr>
                <w:sz w:val="20"/>
                <w:szCs w:val="20"/>
                <w:lang w:val="en-US"/>
              </w:rPr>
            </w:pPr>
            <w:r w:rsidRPr="00170DBE">
              <w:rPr>
                <w:color w:val="000000"/>
                <w:sz w:val="20"/>
                <w:szCs w:val="20"/>
                <w:lang w:val="en-US"/>
              </w:rPr>
              <w:t>66,7</w:t>
            </w:r>
          </w:p>
        </w:tc>
      </w:tr>
      <w:tr w:rsidR="00616EB1" w:rsidRPr="00170DBE" w14:paraId="47ED5387" w14:textId="77777777" w:rsidTr="0017246C">
        <w:trPr>
          <w:trHeight w:val="284"/>
        </w:trPr>
        <w:tc>
          <w:tcPr>
            <w:tcW w:w="1447" w:type="dxa"/>
            <w:tcBorders>
              <w:top w:val="nil"/>
              <w:left w:val="single" w:sz="4" w:space="0" w:color="auto"/>
              <w:bottom w:val="nil"/>
              <w:right w:val="nil"/>
            </w:tcBorders>
            <w:shd w:val="clear" w:color="auto" w:fill="F2F2F2" w:themeFill="background1" w:themeFillShade="F2"/>
            <w:vAlign w:val="center"/>
          </w:tcPr>
          <w:p w14:paraId="6D5F8F62" w14:textId="1C9B5EA7" w:rsidR="00616EB1" w:rsidRPr="00170DBE" w:rsidRDefault="00616EB1" w:rsidP="00616EB1">
            <w:pPr>
              <w:jc w:val="center"/>
              <w:rPr>
                <w:sz w:val="20"/>
                <w:szCs w:val="20"/>
                <w:lang w:val="en-US"/>
              </w:rPr>
            </w:pPr>
            <w:r w:rsidRPr="00170DBE">
              <w:rPr>
                <w:color w:val="000000"/>
                <w:sz w:val="20"/>
                <w:szCs w:val="20"/>
                <w:lang w:val="en-US"/>
              </w:rPr>
              <w:t>6.1-8.0</w:t>
            </w:r>
          </w:p>
        </w:tc>
        <w:tc>
          <w:tcPr>
            <w:tcW w:w="709" w:type="dxa"/>
            <w:tcBorders>
              <w:top w:val="nil"/>
              <w:left w:val="nil"/>
              <w:bottom w:val="nil"/>
              <w:right w:val="nil"/>
            </w:tcBorders>
            <w:shd w:val="clear" w:color="auto" w:fill="F2F2F2" w:themeFill="background1" w:themeFillShade="F2"/>
            <w:vAlign w:val="center"/>
          </w:tcPr>
          <w:p w14:paraId="060C8B35" w14:textId="0F8AE624" w:rsidR="00616EB1" w:rsidRPr="00170DBE" w:rsidRDefault="00616EB1" w:rsidP="00616EB1">
            <w:pPr>
              <w:jc w:val="center"/>
              <w:rPr>
                <w:sz w:val="20"/>
                <w:szCs w:val="20"/>
                <w:lang w:val="en-US"/>
              </w:rPr>
            </w:pPr>
            <w:r w:rsidRPr="00170DBE">
              <w:rPr>
                <w:color w:val="000000"/>
                <w:sz w:val="20"/>
                <w:szCs w:val="20"/>
                <w:lang w:val="en-US"/>
              </w:rPr>
              <w:t>12</w:t>
            </w:r>
          </w:p>
        </w:tc>
        <w:tc>
          <w:tcPr>
            <w:tcW w:w="992" w:type="dxa"/>
            <w:tcBorders>
              <w:top w:val="nil"/>
              <w:left w:val="nil"/>
              <w:bottom w:val="nil"/>
              <w:right w:val="nil"/>
            </w:tcBorders>
            <w:shd w:val="clear" w:color="auto" w:fill="F2F2F2" w:themeFill="background1" w:themeFillShade="F2"/>
            <w:vAlign w:val="center"/>
          </w:tcPr>
          <w:p w14:paraId="2A45133F" w14:textId="5EABB2C4" w:rsidR="00616EB1" w:rsidRPr="00170DBE" w:rsidRDefault="00616EB1" w:rsidP="00616EB1">
            <w:pPr>
              <w:jc w:val="center"/>
              <w:rPr>
                <w:sz w:val="20"/>
                <w:szCs w:val="20"/>
                <w:lang w:val="en-US"/>
              </w:rPr>
            </w:pPr>
            <w:r w:rsidRPr="00170DBE">
              <w:rPr>
                <w:color w:val="000000"/>
                <w:sz w:val="20"/>
                <w:szCs w:val="20"/>
                <w:lang w:val="en-US"/>
              </w:rPr>
              <w:t>1</w:t>
            </w:r>
          </w:p>
        </w:tc>
        <w:tc>
          <w:tcPr>
            <w:tcW w:w="851" w:type="dxa"/>
            <w:tcBorders>
              <w:top w:val="nil"/>
              <w:left w:val="nil"/>
              <w:bottom w:val="nil"/>
              <w:right w:val="nil"/>
            </w:tcBorders>
            <w:shd w:val="clear" w:color="auto" w:fill="F2F2F2" w:themeFill="background1" w:themeFillShade="F2"/>
            <w:vAlign w:val="center"/>
          </w:tcPr>
          <w:p w14:paraId="37002B0F" w14:textId="7BF5F22D" w:rsidR="00616EB1" w:rsidRPr="00170DBE" w:rsidRDefault="00616EB1" w:rsidP="00616EB1">
            <w:pPr>
              <w:jc w:val="center"/>
              <w:rPr>
                <w:sz w:val="20"/>
                <w:szCs w:val="20"/>
                <w:lang w:val="en-US"/>
              </w:rPr>
            </w:pPr>
            <w:r w:rsidRPr="00170DBE">
              <w:rPr>
                <w:color w:val="000000"/>
                <w:sz w:val="20"/>
                <w:szCs w:val="20"/>
                <w:lang w:val="en-US"/>
              </w:rPr>
              <w:t>8,3</w:t>
            </w:r>
          </w:p>
        </w:tc>
        <w:tc>
          <w:tcPr>
            <w:tcW w:w="992" w:type="dxa"/>
            <w:tcBorders>
              <w:top w:val="nil"/>
              <w:left w:val="nil"/>
              <w:bottom w:val="nil"/>
              <w:right w:val="nil"/>
            </w:tcBorders>
            <w:shd w:val="clear" w:color="auto" w:fill="F2F2F2" w:themeFill="background1" w:themeFillShade="F2"/>
            <w:vAlign w:val="center"/>
          </w:tcPr>
          <w:p w14:paraId="1ECDA230" w14:textId="2558948C" w:rsidR="00616EB1" w:rsidRPr="00170DBE" w:rsidRDefault="00616EB1" w:rsidP="00616EB1">
            <w:pPr>
              <w:jc w:val="center"/>
              <w:rPr>
                <w:sz w:val="20"/>
                <w:szCs w:val="20"/>
                <w:lang w:val="en-US"/>
              </w:rPr>
            </w:pPr>
            <w:r w:rsidRPr="00170DBE">
              <w:rPr>
                <w:color w:val="000000"/>
                <w:sz w:val="20"/>
                <w:szCs w:val="20"/>
                <w:lang w:val="en-US"/>
              </w:rPr>
              <w:t>11</w:t>
            </w:r>
          </w:p>
        </w:tc>
        <w:tc>
          <w:tcPr>
            <w:tcW w:w="992" w:type="dxa"/>
            <w:tcBorders>
              <w:top w:val="nil"/>
              <w:left w:val="nil"/>
              <w:bottom w:val="nil"/>
              <w:right w:val="single" w:sz="4" w:space="0" w:color="auto"/>
            </w:tcBorders>
            <w:shd w:val="clear" w:color="auto" w:fill="F2F2F2" w:themeFill="background1" w:themeFillShade="F2"/>
            <w:vAlign w:val="center"/>
          </w:tcPr>
          <w:p w14:paraId="51D3DDB5" w14:textId="52477D6C" w:rsidR="00616EB1" w:rsidRPr="00170DBE" w:rsidRDefault="00616EB1" w:rsidP="00616EB1">
            <w:pPr>
              <w:jc w:val="center"/>
              <w:rPr>
                <w:sz w:val="20"/>
                <w:szCs w:val="20"/>
                <w:lang w:val="en-US"/>
              </w:rPr>
            </w:pPr>
            <w:r w:rsidRPr="00170DBE">
              <w:rPr>
                <w:color w:val="000000"/>
                <w:sz w:val="20"/>
                <w:szCs w:val="20"/>
                <w:lang w:val="en-US"/>
              </w:rPr>
              <w:t>91,7</w:t>
            </w:r>
          </w:p>
        </w:tc>
      </w:tr>
      <w:tr w:rsidR="00616EB1" w:rsidRPr="00170DBE" w14:paraId="3E8F9F66" w14:textId="77777777" w:rsidTr="0017246C">
        <w:trPr>
          <w:trHeight w:val="284"/>
        </w:trPr>
        <w:tc>
          <w:tcPr>
            <w:tcW w:w="1447" w:type="dxa"/>
            <w:tcBorders>
              <w:top w:val="nil"/>
              <w:left w:val="single" w:sz="4" w:space="0" w:color="auto"/>
              <w:bottom w:val="nil"/>
              <w:right w:val="nil"/>
            </w:tcBorders>
            <w:shd w:val="clear" w:color="auto" w:fill="FFFFFF" w:themeFill="background1"/>
            <w:vAlign w:val="center"/>
          </w:tcPr>
          <w:p w14:paraId="76AA35A9" w14:textId="1BA38BC7" w:rsidR="00616EB1" w:rsidRPr="00170DBE" w:rsidRDefault="00616EB1" w:rsidP="00616EB1">
            <w:pPr>
              <w:jc w:val="center"/>
              <w:rPr>
                <w:sz w:val="20"/>
                <w:szCs w:val="20"/>
                <w:lang w:val="en-US"/>
              </w:rPr>
            </w:pPr>
            <w:r w:rsidRPr="00170DBE">
              <w:rPr>
                <w:color w:val="000000"/>
                <w:sz w:val="20"/>
                <w:szCs w:val="20"/>
                <w:lang w:val="en-US"/>
              </w:rPr>
              <w:t>8.1-10.0</w:t>
            </w:r>
          </w:p>
        </w:tc>
        <w:tc>
          <w:tcPr>
            <w:tcW w:w="709" w:type="dxa"/>
            <w:tcBorders>
              <w:top w:val="nil"/>
              <w:left w:val="nil"/>
              <w:bottom w:val="nil"/>
              <w:right w:val="nil"/>
            </w:tcBorders>
            <w:shd w:val="clear" w:color="auto" w:fill="FFFFFF" w:themeFill="background1"/>
            <w:vAlign w:val="center"/>
          </w:tcPr>
          <w:p w14:paraId="7AD98981" w14:textId="6C360837" w:rsidR="00616EB1" w:rsidRPr="00170DBE" w:rsidRDefault="00616EB1" w:rsidP="00616EB1">
            <w:pPr>
              <w:jc w:val="center"/>
              <w:rPr>
                <w:sz w:val="20"/>
                <w:szCs w:val="20"/>
                <w:lang w:val="en-US"/>
              </w:rPr>
            </w:pPr>
            <w:r w:rsidRPr="00170DBE">
              <w:rPr>
                <w:color w:val="000000"/>
                <w:sz w:val="20"/>
                <w:szCs w:val="20"/>
                <w:lang w:val="en-US"/>
              </w:rPr>
              <w:t>21</w:t>
            </w:r>
          </w:p>
        </w:tc>
        <w:tc>
          <w:tcPr>
            <w:tcW w:w="992" w:type="dxa"/>
            <w:tcBorders>
              <w:top w:val="nil"/>
              <w:left w:val="nil"/>
              <w:bottom w:val="nil"/>
              <w:right w:val="nil"/>
            </w:tcBorders>
            <w:shd w:val="clear" w:color="auto" w:fill="FFFFFF" w:themeFill="background1"/>
            <w:vAlign w:val="bottom"/>
          </w:tcPr>
          <w:p w14:paraId="067D1679" w14:textId="6FE60549" w:rsidR="00616EB1" w:rsidRPr="00170DBE" w:rsidRDefault="00616EB1" w:rsidP="00616EB1">
            <w:pPr>
              <w:jc w:val="center"/>
              <w:rPr>
                <w:sz w:val="20"/>
                <w:szCs w:val="20"/>
                <w:lang w:val="en-US"/>
              </w:rPr>
            </w:pPr>
            <w:r w:rsidRPr="00170DBE">
              <w:rPr>
                <w:rFonts w:ascii="Calibri" w:hAnsi="Calibri" w:cs="Calibri"/>
                <w:color w:val="000000"/>
                <w:sz w:val="20"/>
                <w:szCs w:val="20"/>
                <w:lang w:val="en-US"/>
              </w:rPr>
              <w:t>4</w:t>
            </w:r>
          </w:p>
        </w:tc>
        <w:tc>
          <w:tcPr>
            <w:tcW w:w="851" w:type="dxa"/>
            <w:tcBorders>
              <w:top w:val="nil"/>
              <w:left w:val="nil"/>
              <w:bottom w:val="nil"/>
              <w:right w:val="nil"/>
            </w:tcBorders>
            <w:shd w:val="clear" w:color="auto" w:fill="FFFFFF" w:themeFill="background1"/>
            <w:vAlign w:val="center"/>
          </w:tcPr>
          <w:p w14:paraId="07D3D622" w14:textId="6665C385" w:rsidR="00616EB1" w:rsidRPr="00170DBE" w:rsidRDefault="00616EB1" w:rsidP="00616EB1">
            <w:pPr>
              <w:jc w:val="center"/>
              <w:rPr>
                <w:sz w:val="20"/>
                <w:szCs w:val="20"/>
                <w:lang w:val="en-US"/>
              </w:rPr>
            </w:pPr>
            <w:r w:rsidRPr="00170DBE">
              <w:rPr>
                <w:color w:val="000000"/>
                <w:sz w:val="20"/>
                <w:szCs w:val="20"/>
                <w:lang w:val="en-US"/>
              </w:rPr>
              <w:t>19,0</w:t>
            </w:r>
          </w:p>
        </w:tc>
        <w:tc>
          <w:tcPr>
            <w:tcW w:w="992" w:type="dxa"/>
            <w:tcBorders>
              <w:top w:val="nil"/>
              <w:left w:val="nil"/>
              <w:bottom w:val="nil"/>
              <w:right w:val="nil"/>
            </w:tcBorders>
            <w:shd w:val="clear" w:color="auto" w:fill="FFFFFF" w:themeFill="background1"/>
            <w:vAlign w:val="bottom"/>
          </w:tcPr>
          <w:p w14:paraId="69B75C11" w14:textId="690AA4D9" w:rsidR="00616EB1" w:rsidRPr="00170DBE" w:rsidRDefault="00616EB1" w:rsidP="00616EB1">
            <w:pPr>
              <w:jc w:val="center"/>
              <w:rPr>
                <w:sz w:val="20"/>
                <w:szCs w:val="20"/>
                <w:lang w:val="en-US"/>
              </w:rPr>
            </w:pPr>
            <w:r w:rsidRPr="00170DBE">
              <w:rPr>
                <w:rFonts w:ascii="Calibri" w:hAnsi="Calibri" w:cs="Calibri"/>
                <w:color w:val="000000"/>
                <w:sz w:val="20"/>
                <w:szCs w:val="20"/>
                <w:lang w:val="en-US"/>
              </w:rPr>
              <w:t>17</w:t>
            </w:r>
          </w:p>
        </w:tc>
        <w:tc>
          <w:tcPr>
            <w:tcW w:w="992" w:type="dxa"/>
            <w:tcBorders>
              <w:top w:val="nil"/>
              <w:left w:val="nil"/>
              <w:bottom w:val="nil"/>
              <w:right w:val="single" w:sz="4" w:space="0" w:color="auto"/>
            </w:tcBorders>
            <w:shd w:val="clear" w:color="auto" w:fill="FFFFFF" w:themeFill="background1"/>
            <w:vAlign w:val="center"/>
          </w:tcPr>
          <w:p w14:paraId="3A53DE9A" w14:textId="58630960" w:rsidR="00616EB1" w:rsidRPr="00170DBE" w:rsidRDefault="00616EB1" w:rsidP="00616EB1">
            <w:pPr>
              <w:jc w:val="center"/>
              <w:rPr>
                <w:sz w:val="20"/>
                <w:szCs w:val="20"/>
                <w:lang w:val="en-US"/>
              </w:rPr>
            </w:pPr>
            <w:r w:rsidRPr="00170DBE">
              <w:rPr>
                <w:color w:val="000000"/>
                <w:sz w:val="20"/>
                <w:szCs w:val="20"/>
                <w:lang w:val="en-US"/>
              </w:rPr>
              <w:t>81,0</w:t>
            </w:r>
          </w:p>
        </w:tc>
      </w:tr>
      <w:tr w:rsidR="00616EB1" w:rsidRPr="00170DBE" w14:paraId="2EB25240" w14:textId="77777777" w:rsidTr="0017246C">
        <w:trPr>
          <w:trHeight w:val="284"/>
        </w:trPr>
        <w:tc>
          <w:tcPr>
            <w:tcW w:w="1447" w:type="dxa"/>
            <w:tcBorders>
              <w:top w:val="nil"/>
              <w:left w:val="single" w:sz="4" w:space="0" w:color="auto"/>
              <w:bottom w:val="nil"/>
              <w:right w:val="nil"/>
            </w:tcBorders>
            <w:shd w:val="clear" w:color="auto" w:fill="F2F2F2" w:themeFill="background1" w:themeFillShade="F2"/>
            <w:vAlign w:val="center"/>
          </w:tcPr>
          <w:p w14:paraId="26E2E3A6" w14:textId="6A6B7AF8" w:rsidR="00616EB1" w:rsidRPr="00170DBE" w:rsidRDefault="00616EB1" w:rsidP="00616EB1">
            <w:pPr>
              <w:jc w:val="center"/>
              <w:rPr>
                <w:sz w:val="20"/>
                <w:szCs w:val="20"/>
                <w:lang w:val="en-US"/>
              </w:rPr>
            </w:pPr>
            <w:r w:rsidRPr="00170DBE">
              <w:rPr>
                <w:color w:val="000000"/>
                <w:sz w:val="20"/>
                <w:szCs w:val="20"/>
                <w:lang w:val="en-US"/>
              </w:rPr>
              <w:t>10.1-12.0</w:t>
            </w:r>
          </w:p>
        </w:tc>
        <w:tc>
          <w:tcPr>
            <w:tcW w:w="709" w:type="dxa"/>
            <w:tcBorders>
              <w:top w:val="nil"/>
              <w:left w:val="nil"/>
              <w:bottom w:val="nil"/>
              <w:right w:val="nil"/>
            </w:tcBorders>
            <w:shd w:val="clear" w:color="auto" w:fill="F2F2F2" w:themeFill="background1" w:themeFillShade="F2"/>
            <w:vAlign w:val="center"/>
          </w:tcPr>
          <w:p w14:paraId="694417BE" w14:textId="385966CB" w:rsidR="00616EB1" w:rsidRPr="00170DBE" w:rsidRDefault="00616EB1" w:rsidP="00616EB1">
            <w:pPr>
              <w:jc w:val="center"/>
              <w:rPr>
                <w:sz w:val="20"/>
                <w:szCs w:val="20"/>
                <w:lang w:val="en-US"/>
              </w:rPr>
            </w:pPr>
            <w:r w:rsidRPr="00170DBE">
              <w:rPr>
                <w:color w:val="000000"/>
                <w:sz w:val="20"/>
                <w:szCs w:val="20"/>
                <w:lang w:val="en-US"/>
              </w:rPr>
              <w:t>23</w:t>
            </w:r>
          </w:p>
        </w:tc>
        <w:tc>
          <w:tcPr>
            <w:tcW w:w="992" w:type="dxa"/>
            <w:tcBorders>
              <w:top w:val="nil"/>
              <w:left w:val="nil"/>
              <w:bottom w:val="nil"/>
              <w:right w:val="nil"/>
            </w:tcBorders>
            <w:shd w:val="clear" w:color="auto" w:fill="F2F2F2" w:themeFill="background1" w:themeFillShade="F2"/>
            <w:vAlign w:val="center"/>
          </w:tcPr>
          <w:p w14:paraId="744FB5F4" w14:textId="58C94666" w:rsidR="00616EB1" w:rsidRPr="00170DBE" w:rsidRDefault="00616EB1" w:rsidP="00616EB1">
            <w:pPr>
              <w:jc w:val="center"/>
              <w:rPr>
                <w:sz w:val="20"/>
                <w:szCs w:val="20"/>
                <w:lang w:val="en-US"/>
              </w:rPr>
            </w:pPr>
            <w:r w:rsidRPr="00170DBE">
              <w:rPr>
                <w:color w:val="000000"/>
                <w:sz w:val="20"/>
                <w:szCs w:val="20"/>
                <w:lang w:val="en-US"/>
              </w:rPr>
              <w:t>3</w:t>
            </w:r>
          </w:p>
        </w:tc>
        <w:tc>
          <w:tcPr>
            <w:tcW w:w="851" w:type="dxa"/>
            <w:tcBorders>
              <w:top w:val="nil"/>
              <w:left w:val="nil"/>
              <w:bottom w:val="nil"/>
              <w:right w:val="nil"/>
            </w:tcBorders>
            <w:shd w:val="clear" w:color="auto" w:fill="F2F2F2" w:themeFill="background1" w:themeFillShade="F2"/>
            <w:vAlign w:val="center"/>
          </w:tcPr>
          <w:p w14:paraId="31043AFE" w14:textId="3C9E89ED" w:rsidR="00616EB1" w:rsidRPr="00170DBE" w:rsidRDefault="00616EB1" w:rsidP="00616EB1">
            <w:pPr>
              <w:jc w:val="center"/>
              <w:rPr>
                <w:sz w:val="20"/>
                <w:szCs w:val="20"/>
                <w:lang w:val="en-US"/>
              </w:rPr>
            </w:pPr>
            <w:r w:rsidRPr="00170DBE">
              <w:rPr>
                <w:color w:val="000000"/>
                <w:sz w:val="20"/>
                <w:szCs w:val="20"/>
                <w:lang w:val="en-US"/>
              </w:rPr>
              <w:t>13,0</w:t>
            </w:r>
          </w:p>
        </w:tc>
        <w:tc>
          <w:tcPr>
            <w:tcW w:w="992" w:type="dxa"/>
            <w:tcBorders>
              <w:top w:val="nil"/>
              <w:left w:val="nil"/>
              <w:bottom w:val="nil"/>
              <w:right w:val="nil"/>
            </w:tcBorders>
            <w:shd w:val="clear" w:color="auto" w:fill="F2F2F2" w:themeFill="background1" w:themeFillShade="F2"/>
            <w:vAlign w:val="center"/>
          </w:tcPr>
          <w:p w14:paraId="2EDCDAC2" w14:textId="291E1EE4" w:rsidR="00616EB1" w:rsidRPr="00170DBE" w:rsidRDefault="00616EB1" w:rsidP="00616EB1">
            <w:pPr>
              <w:jc w:val="center"/>
              <w:rPr>
                <w:sz w:val="20"/>
                <w:szCs w:val="20"/>
                <w:lang w:val="en-US"/>
              </w:rPr>
            </w:pPr>
            <w:r w:rsidRPr="00170DBE">
              <w:rPr>
                <w:color w:val="000000"/>
                <w:sz w:val="20"/>
                <w:szCs w:val="20"/>
                <w:lang w:val="en-US"/>
              </w:rPr>
              <w:t>20</w:t>
            </w:r>
          </w:p>
        </w:tc>
        <w:tc>
          <w:tcPr>
            <w:tcW w:w="992" w:type="dxa"/>
            <w:tcBorders>
              <w:top w:val="nil"/>
              <w:left w:val="nil"/>
              <w:bottom w:val="nil"/>
              <w:right w:val="single" w:sz="4" w:space="0" w:color="auto"/>
            </w:tcBorders>
            <w:shd w:val="clear" w:color="auto" w:fill="F2F2F2" w:themeFill="background1" w:themeFillShade="F2"/>
            <w:vAlign w:val="center"/>
          </w:tcPr>
          <w:p w14:paraId="69C110E7" w14:textId="0393E9D9" w:rsidR="00616EB1" w:rsidRPr="00170DBE" w:rsidRDefault="00616EB1" w:rsidP="00616EB1">
            <w:pPr>
              <w:jc w:val="center"/>
              <w:rPr>
                <w:sz w:val="20"/>
                <w:szCs w:val="20"/>
                <w:lang w:val="en-US"/>
              </w:rPr>
            </w:pPr>
            <w:r w:rsidRPr="00170DBE">
              <w:rPr>
                <w:color w:val="000000"/>
                <w:sz w:val="20"/>
                <w:szCs w:val="20"/>
                <w:lang w:val="en-US"/>
              </w:rPr>
              <w:t>87,0</w:t>
            </w:r>
          </w:p>
        </w:tc>
      </w:tr>
      <w:tr w:rsidR="00616EB1" w:rsidRPr="00170DBE" w14:paraId="0AD060F7" w14:textId="77777777" w:rsidTr="0017246C">
        <w:trPr>
          <w:trHeight w:val="284"/>
        </w:trPr>
        <w:tc>
          <w:tcPr>
            <w:tcW w:w="1447" w:type="dxa"/>
            <w:tcBorders>
              <w:top w:val="nil"/>
              <w:left w:val="single" w:sz="4" w:space="0" w:color="auto"/>
              <w:bottom w:val="nil"/>
              <w:right w:val="nil"/>
            </w:tcBorders>
            <w:shd w:val="clear" w:color="auto" w:fill="FFFFFF" w:themeFill="background1"/>
            <w:vAlign w:val="center"/>
          </w:tcPr>
          <w:p w14:paraId="0A0A1D0C" w14:textId="5C7ED537" w:rsidR="00616EB1" w:rsidRPr="00170DBE" w:rsidRDefault="00616EB1" w:rsidP="00616EB1">
            <w:pPr>
              <w:jc w:val="center"/>
              <w:rPr>
                <w:sz w:val="20"/>
                <w:szCs w:val="20"/>
                <w:lang w:val="en-US"/>
              </w:rPr>
            </w:pPr>
            <w:r w:rsidRPr="00170DBE">
              <w:rPr>
                <w:color w:val="000000"/>
                <w:sz w:val="20"/>
                <w:szCs w:val="20"/>
                <w:lang w:val="en-US"/>
              </w:rPr>
              <w:t>12.1-14.0</w:t>
            </w:r>
          </w:p>
        </w:tc>
        <w:tc>
          <w:tcPr>
            <w:tcW w:w="709" w:type="dxa"/>
            <w:tcBorders>
              <w:top w:val="nil"/>
              <w:left w:val="nil"/>
              <w:bottom w:val="nil"/>
              <w:right w:val="nil"/>
            </w:tcBorders>
            <w:shd w:val="clear" w:color="auto" w:fill="FFFFFF" w:themeFill="background1"/>
            <w:vAlign w:val="center"/>
          </w:tcPr>
          <w:p w14:paraId="410906E3" w14:textId="08C67F58" w:rsidR="00616EB1" w:rsidRPr="00170DBE" w:rsidRDefault="00616EB1" w:rsidP="00616EB1">
            <w:pPr>
              <w:jc w:val="center"/>
              <w:rPr>
                <w:sz w:val="20"/>
                <w:szCs w:val="20"/>
                <w:lang w:val="en-US"/>
              </w:rPr>
            </w:pPr>
            <w:r w:rsidRPr="00170DBE">
              <w:rPr>
                <w:color w:val="000000"/>
                <w:sz w:val="20"/>
                <w:szCs w:val="20"/>
                <w:lang w:val="en-US"/>
              </w:rPr>
              <w:t>42</w:t>
            </w:r>
          </w:p>
        </w:tc>
        <w:tc>
          <w:tcPr>
            <w:tcW w:w="992" w:type="dxa"/>
            <w:tcBorders>
              <w:top w:val="nil"/>
              <w:left w:val="nil"/>
              <w:bottom w:val="nil"/>
              <w:right w:val="nil"/>
            </w:tcBorders>
            <w:shd w:val="clear" w:color="auto" w:fill="FFFFFF" w:themeFill="background1"/>
            <w:vAlign w:val="center"/>
          </w:tcPr>
          <w:p w14:paraId="125A0EC8" w14:textId="420FF6B6" w:rsidR="00616EB1" w:rsidRPr="00170DBE" w:rsidRDefault="00616EB1" w:rsidP="00616EB1">
            <w:pPr>
              <w:jc w:val="center"/>
              <w:rPr>
                <w:sz w:val="20"/>
                <w:szCs w:val="20"/>
                <w:lang w:val="en-US"/>
              </w:rPr>
            </w:pPr>
            <w:r w:rsidRPr="00170DBE">
              <w:rPr>
                <w:color w:val="000000"/>
                <w:sz w:val="20"/>
                <w:szCs w:val="20"/>
                <w:lang w:val="en-US"/>
              </w:rPr>
              <w:t>30</w:t>
            </w:r>
          </w:p>
        </w:tc>
        <w:tc>
          <w:tcPr>
            <w:tcW w:w="851" w:type="dxa"/>
            <w:tcBorders>
              <w:top w:val="nil"/>
              <w:left w:val="nil"/>
              <w:bottom w:val="nil"/>
              <w:right w:val="nil"/>
            </w:tcBorders>
            <w:shd w:val="clear" w:color="auto" w:fill="FFFFFF" w:themeFill="background1"/>
            <w:vAlign w:val="center"/>
          </w:tcPr>
          <w:p w14:paraId="23F5B9BE" w14:textId="7978703E" w:rsidR="00616EB1" w:rsidRPr="00170DBE" w:rsidRDefault="00616EB1" w:rsidP="00616EB1">
            <w:pPr>
              <w:jc w:val="center"/>
              <w:rPr>
                <w:sz w:val="20"/>
                <w:szCs w:val="20"/>
                <w:lang w:val="en-US"/>
              </w:rPr>
            </w:pPr>
            <w:r w:rsidRPr="00170DBE">
              <w:rPr>
                <w:color w:val="000000"/>
                <w:sz w:val="20"/>
                <w:szCs w:val="20"/>
                <w:lang w:val="en-US"/>
              </w:rPr>
              <w:t>71,4</w:t>
            </w:r>
          </w:p>
        </w:tc>
        <w:tc>
          <w:tcPr>
            <w:tcW w:w="992" w:type="dxa"/>
            <w:tcBorders>
              <w:top w:val="nil"/>
              <w:left w:val="nil"/>
              <w:bottom w:val="nil"/>
              <w:right w:val="nil"/>
            </w:tcBorders>
            <w:shd w:val="clear" w:color="auto" w:fill="FFFFFF" w:themeFill="background1"/>
            <w:vAlign w:val="center"/>
          </w:tcPr>
          <w:p w14:paraId="32477F8E" w14:textId="1C76E958" w:rsidR="00616EB1" w:rsidRPr="00170DBE" w:rsidRDefault="00616EB1" w:rsidP="00616EB1">
            <w:pPr>
              <w:jc w:val="center"/>
              <w:rPr>
                <w:sz w:val="20"/>
                <w:szCs w:val="20"/>
                <w:lang w:val="en-US"/>
              </w:rPr>
            </w:pPr>
            <w:r w:rsidRPr="00170DBE">
              <w:rPr>
                <w:color w:val="000000"/>
                <w:sz w:val="20"/>
                <w:szCs w:val="20"/>
                <w:lang w:val="en-US"/>
              </w:rPr>
              <w:t>12</w:t>
            </w:r>
          </w:p>
        </w:tc>
        <w:tc>
          <w:tcPr>
            <w:tcW w:w="992" w:type="dxa"/>
            <w:tcBorders>
              <w:top w:val="nil"/>
              <w:left w:val="nil"/>
              <w:bottom w:val="nil"/>
              <w:right w:val="single" w:sz="4" w:space="0" w:color="auto"/>
            </w:tcBorders>
            <w:shd w:val="clear" w:color="auto" w:fill="FFFFFF" w:themeFill="background1"/>
            <w:vAlign w:val="center"/>
          </w:tcPr>
          <w:p w14:paraId="7BF54120" w14:textId="18E2A153" w:rsidR="00616EB1" w:rsidRPr="00170DBE" w:rsidRDefault="00616EB1" w:rsidP="00616EB1">
            <w:pPr>
              <w:jc w:val="center"/>
              <w:rPr>
                <w:sz w:val="20"/>
                <w:szCs w:val="20"/>
                <w:lang w:val="en-US"/>
              </w:rPr>
            </w:pPr>
            <w:r w:rsidRPr="00170DBE">
              <w:rPr>
                <w:color w:val="000000"/>
                <w:sz w:val="20"/>
                <w:szCs w:val="20"/>
                <w:lang w:val="en-US"/>
              </w:rPr>
              <w:t>28,6</w:t>
            </w:r>
          </w:p>
        </w:tc>
      </w:tr>
      <w:tr w:rsidR="00616EB1" w:rsidRPr="00170DBE" w14:paraId="3868CE9D" w14:textId="77777777" w:rsidTr="0017246C">
        <w:trPr>
          <w:trHeight w:val="284"/>
        </w:trPr>
        <w:tc>
          <w:tcPr>
            <w:tcW w:w="1447" w:type="dxa"/>
            <w:tcBorders>
              <w:top w:val="nil"/>
              <w:left w:val="single" w:sz="4" w:space="0" w:color="auto"/>
              <w:bottom w:val="nil"/>
              <w:right w:val="nil"/>
            </w:tcBorders>
            <w:shd w:val="clear" w:color="auto" w:fill="F2F2F2" w:themeFill="background1" w:themeFillShade="F2"/>
            <w:vAlign w:val="center"/>
          </w:tcPr>
          <w:p w14:paraId="77248C6A" w14:textId="4953A426" w:rsidR="00616EB1" w:rsidRPr="00170DBE" w:rsidRDefault="00616EB1" w:rsidP="00616EB1">
            <w:pPr>
              <w:jc w:val="center"/>
              <w:rPr>
                <w:sz w:val="20"/>
                <w:szCs w:val="20"/>
                <w:lang w:val="en-US"/>
              </w:rPr>
            </w:pPr>
            <w:r w:rsidRPr="00170DBE">
              <w:rPr>
                <w:color w:val="000000"/>
                <w:sz w:val="20"/>
                <w:szCs w:val="20"/>
                <w:lang w:val="en-US"/>
              </w:rPr>
              <w:t>14.1-16.0</w:t>
            </w:r>
          </w:p>
        </w:tc>
        <w:tc>
          <w:tcPr>
            <w:tcW w:w="709" w:type="dxa"/>
            <w:tcBorders>
              <w:top w:val="nil"/>
              <w:left w:val="nil"/>
              <w:bottom w:val="nil"/>
              <w:right w:val="nil"/>
            </w:tcBorders>
            <w:shd w:val="clear" w:color="auto" w:fill="F2F2F2" w:themeFill="background1" w:themeFillShade="F2"/>
            <w:vAlign w:val="center"/>
          </w:tcPr>
          <w:p w14:paraId="502BB08C" w14:textId="28CD2C15" w:rsidR="00616EB1" w:rsidRPr="00170DBE" w:rsidRDefault="00616EB1" w:rsidP="00616EB1">
            <w:pPr>
              <w:jc w:val="center"/>
              <w:rPr>
                <w:sz w:val="20"/>
                <w:szCs w:val="20"/>
                <w:lang w:val="en-US"/>
              </w:rPr>
            </w:pPr>
            <w:r w:rsidRPr="00170DBE">
              <w:rPr>
                <w:color w:val="000000"/>
                <w:sz w:val="20"/>
                <w:szCs w:val="20"/>
                <w:lang w:val="en-US"/>
              </w:rPr>
              <w:t>35</w:t>
            </w:r>
          </w:p>
        </w:tc>
        <w:tc>
          <w:tcPr>
            <w:tcW w:w="992" w:type="dxa"/>
            <w:tcBorders>
              <w:top w:val="nil"/>
              <w:left w:val="nil"/>
              <w:bottom w:val="nil"/>
              <w:right w:val="nil"/>
            </w:tcBorders>
            <w:shd w:val="clear" w:color="auto" w:fill="F2F2F2" w:themeFill="background1" w:themeFillShade="F2"/>
            <w:vAlign w:val="center"/>
          </w:tcPr>
          <w:p w14:paraId="3720D662" w14:textId="6220F925" w:rsidR="00616EB1" w:rsidRPr="00170DBE" w:rsidRDefault="00616EB1" w:rsidP="00616EB1">
            <w:pPr>
              <w:jc w:val="center"/>
              <w:rPr>
                <w:sz w:val="20"/>
                <w:szCs w:val="20"/>
                <w:lang w:val="en-US"/>
              </w:rPr>
            </w:pPr>
            <w:r w:rsidRPr="00170DBE">
              <w:rPr>
                <w:color w:val="000000"/>
                <w:sz w:val="20"/>
                <w:szCs w:val="20"/>
                <w:lang w:val="en-US"/>
              </w:rPr>
              <w:t>33</w:t>
            </w:r>
          </w:p>
        </w:tc>
        <w:tc>
          <w:tcPr>
            <w:tcW w:w="851" w:type="dxa"/>
            <w:tcBorders>
              <w:top w:val="nil"/>
              <w:left w:val="nil"/>
              <w:bottom w:val="nil"/>
              <w:right w:val="nil"/>
            </w:tcBorders>
            <w:shd w:val="clear" w:color="auto" w:fill="F2F2F2" w:themeFill="background1" w:themeFillShade="F2"/>
            <w:vAlign w:val="center"/>
          </w:tcPr>
          <w:p w14:paraId="01CD3A2F" w14:textId="2602E047" w:rsidR="00616EB1" w:rsidRPr="00170DBE" w:rsidRDefault="00616EB1" w:rsidP="00616EB1">
            <w:pPr>
              <w:jc w:val="center"/>
              <w:rPr>
                <w:sz w:val="20"/>
                <w:szCs w:val="20"/>
                <w:lang w:val="en-US"/>
              </w:rPr>
            </w:pPr>
            <w:r w:rsidRPr="00170DBE">
              <w:rPr>
                <w:color w:val="000000"/>
                <w:sz w:val="20"/>
                <w:szCs w:val="20"/>
                <w:lang w:val="en-US"/>
              </w:rPr>
              <w:t>94,3</w:t>
            </w:r>
          </w:p>
        </w:tc>
        <w:tc>
          <w:tcPr>
            <w:tcW w:w="992" w:type="dxa"/>
            <w:tcBorders>
              <w:top w:val="nil"/>
              <w:left w:val="nil"/>
              <w:bottom w:val="nil"/>
              <w:right w:val="nil"/>
            </w:tcBorders>
            <w:shd w:val="clear" w:color="auto" w:fill="F2F2F2" w:themeFill="background1" w:themeFillShade="F2"/>
            <w:vAlign w:val="center"/>
          </w:tcPr>
          <w:p w14:paraId="255F8BEC" w14:textId="5762C37B" w:rsidR="00616EB1" w:rsidRPr="00170DBE" w:rsidRDefault="00616EB1" w:rsidP="00616EB1">
            <w:pPr>
              <w:jc w:val="center"/>
              <w:rPr>
                <w:sz w:val="20"/>
                <w:szCs w:val="20"/>
                <w:lang w:val="en-US"/>
              </w:rPr>
            </w:pPr>
            <w:r w:rsidRPr="00170DBE">
              <w:rPr>
                <w:color w:val="000000"/>
                <w:sz w:val="20"/>
                <w:szCs w:val="20"/>
                <w:lang w:val="en-US"/>
              </w:rPr>
              <w:t>2</w:t>
            </w:r>
          </w:p>
        </w:tc>
        <w:tc>
          <w:tcPr>
            <w:tcW w:w="992" w:type="dxa"/>
            <w:tcBorders>
              <w:top w:val="nil"/>
              <w:left w:val="nil"/>
              <w:bottom w:val="nil"/>
              <w:right w:val="single" w:sz="4" w:space="0" w:color="auto"/>
            </w:tcBorders>
            <w:shd w:val="clear" w:color="auto" w:fill="F2F2F2" w:themeFill="background1" w:themeFillShade="F2"/>
            <w:vAlign w:val="center"/>
          </w:tcPr>
          <w:p w14:paraId="5D87A8EF" w14:textId="02F22EAA" w:rsidR="00616EB1" w:rsidRPr="00170DBE" w:rsidRDefault="00616EB1" w:rsidP="00616EB1">
            <w:pPr>
              <w:jc w:val="center"/>
              <w:rPr>
                <w:sz w:val="20"/>
                <w:szCs w:val="20"/>
                <w:lang w:val="en-US"/>
              </w:rPr>
            </w:pPr>
            <w:r w:rsidRPr="00170DBE">
              <w:rPr>
                <w:color w:val="000000"/>
                <w:sz w:val="20"/>
                <w:szCs w:val="20"/>
                <w:lang w:val="en-US"/>
              </w:rPr>
              <w:t>5,7</w:t>
            </w:r>
          </w:p>
        </w:tc>
      </w:tr>
      <w:tr w:rsidR="00616EB1" w:rsidRPr="00170DBE" w14:paraId="29616F03" w14:textId="77777777" w:rsidTr="0017246C">
        <w:trPr>
          <w:trHeight w:val="284"/>
        </w:trPr>
        <w:tc>
          <w:tcPr>
            <w:tcW w:w="1447" w:type="dxa"/>
            <w:tcBorders>
              <w:top w:val="nil"/>
              <w:left w:val="single" w:sz="4" w:space="0" w:color="auto"/>
              <w:bottom w:val="nil"/>
              <w:right w:val="nil"/>
            </w:tcBorders>
            <w:shd w:val="clear" w:color="auto" w:fill="FFFFFF" w:themeFill="background1"/>
            <w:vAlign w:val="center"/>
          </w:tcPr>
          <w:p w14:paraId="27CB2531" w14:textId="1FF4CF3B" w:rsidR="00616EB1" w:rsidRPr="00170DBE" w:rsidRDefault="00616EB1" w:rsidP="00616EB1">
            <w:pPr>
              <w:jc w:val="center"/>
              <w:rPr>
                <w:sz w:val="20"/>
                <w:szCs w:val="20"/>
                <w:lang w:val="en-US"/>
              </w:rPr>
            </w:pPr>
            <w:r w:rsidRPr="00170DBE">
              <w:rPr>
                <w:color w:val="000000"/>
                <w:sz w:val="20"/>
                <w:szCs w:val="20"/>
                <w:lang w:val="en-US"/>
              </w:rPr>
              <w:t>16.1-18.0</w:t>
            </w:r>
          </w:p>
        </w:tc>
        <w:tc>
          <w:tcPr>
            <w:tcW w:w="709" w:type="dxa"/>
            <w:tcBorders>
              <w:top w:val="nil"/>
              <w:left w:val="nil"/>
              <w:bottom w:val="nil"/>
              <w:right w:val="nil"/>
            </w:tcBorders>
            <w:shd w:val="clear" w:color="auto" w:fill="FFFFFF" w:themeFill="background1"/>
            <w:vAlign w:val="center"/>
          </w:tcPr>
          <w:p w14:paraId="375E9F92" w14:textId="0DBEC901" w:rsidR="00616EB1" w:rsidRPr="00170DBE" w:rsidRDefault="00616EB1" w:rsidP="00616EB1">
            <w:pPr>
              <w:jc w:val="center"/>
              <w:rPr>
                <w:sz w:val="20"/>
                <w:szCs w:val="20"/>
                <w:lang w:val="en-US"/>
              </w:rPr>
            </w:pPr>
            <w:r w:rsidRPr="00170DBE">
              <w:rPr>
                <w:color w:val="000000"/>
                <w:sz w:val="20"/>
                <w:szCs w:val="20"/>
                <w:lang w:val="en-US"/>
              </w:rPr>
              <w:t>31</w:t>
            </w:r>
          </w:p>
        </w:tc>
        <w:tc>
          <w:tcPr>
            <w:tcW w:w="992" w:type="dxa"/>
            <w:tcBorders>
              <w:top w:val="nil"/>
              <w:left w:val="nil"/>
              <w:bottom w:val="nil"/>
              <w:right w:val="nil"/>
            </w:tcBorders>
            <w:shd w:val="clear" w:color="auto" w:fill="FFFFFF" w:themeFill="background1"/>
            <w:vAlign w:val="center"/>
          </w:tcPr>
          <w:p w14:paraId="441C648D" w14:textId="6B31E92D" w:rsidR="00616EB1" w:rsidRPr="00170DBE" w:rsidRDefault="00616EB1" w:rsidP="00616EB1">
            <w:pPr>
              <w:jc w:val="center"/>
              <w:rPr>
                <w:sz w:val="20"/>
                <w:szCs w:val="20"/>
                <w:lang w:val="en-US"/>
              </w:rPr>
            </w:pPr>
            <w:r w:rsidRPr="00170DBE">
              <w:rPr>
                <w:color w:val="000000"/>
                <w:sz w:val="20"/>
                <w:szCs w:val="20"/>
                <w:lang w:val="en-US"/>
              </w:rPr>
              <w:t>28</w:t>
            </w:r>
          </w:p>
        </w:tc>
        <w:tc>
          <w:tcPr>
            <w:tcW w:w="851" w:type="dxa"/>
            <w:tcBorders>
              <w:top w:val="nil"/>
              <w:left w:val="nil"/>
              <w:bottom w:val="nil"/>
              <w:right w:val="nil"/>
            </w:tcBorders>
            <w:shd w:val="clear" w:color="auto" w:fill="FFFFFF" w:themeFill="background1"/>
            <w:vAlign w:val="center"/>
          </w:tcPr>
          <w:p w14:paraId="104A5E20" w14:textId="74CB5DED" w:rsidR="00616EB1" w:rsidRPr="00170DBE" w:rsidRDefault="00616EB1" w:rsidP="00616EB1">
            <w:pPr>
              <w:jc w:val="center"/>
              <w:rPr>
                <w:sz w:val="20"/>
                <w:szCs w:val="20"/>
                <w:lang w:val="en-US"/>
              </w:rPr>
            </w:pPr>
            <w:r w:rsidRPr="00170DBE">
              <w:rPr>
                <w:color w:val="000000"/>
                <w:sz w:val="20"/>
                <w:szCs w:val="20"/>
                <w:lang w:val="en-US"/>
              </w:rPr>
              <w:t>90,3</w:t>
            </w:r>
          </w:p>
        </w:tc>
        <w:tc>
          <w:tcPr>
            <w:tcW w:w="992" w:type="dxa"/>
            <w:tcBorders>
              <w:top w:val="nil"/>
              <w:left w:val="nil"/>
              <w:bottom w:val="nil"/>
              <w:right w:val="nil"/>
            </w:tcBorders>
            <w:shd w:val="clear" w:color="auto" w:fill="FFFFFF" w:themeFill="background1"/>
            <w:vAlign w:val="center"/>
          </w:tcPr>
          <w:p w14:paraId="36803FAB" w14:textId="38DF5398" w:rsidR="00616EB1" w:rsidRPr="00170DBE" w:rsidRDefault="00616EB1" w:rsidP="00616EB1">
            <w:pPr>
              <w:jc w:val="center"/>
              <w:rPr>
                <w:sz w:val="20"/>
                <w:szCs w:val="20"/>
                <w:lang w:val="en-US"/>
              </w:rPr>
            </w:pPr>
            <w:r w:rsidRPr="00170DBE">
              <w:rPr>
                <w:color w:val="000000"/>
                <w:sz w:val="20"/>
                <w:szCs w:val="20"/>
                <w:lang w:val="en-US"/>
              </w:rPr>
              <w:t>3</w:t>
            </w:r>
          </w:p>
        </w:tc>
        <w:tc>
          <w:tcPr>
            <w:tcW w:w="992" w:type="dxa"/>
            <w:tcBorders>
              <w:top w:val="nil"/>
              <w:left w:val="nil"/>
              <w:bottom w:val="nil"/>
              <w:right w:val="single" w:sz="4" w:space="0" w:color="auto"/>
            </w:tcBorders>
            <w:shd w:val="clear" w:color="auto" w:fill="FFFFFF" w:themeFill="background1"/>
            <w:vAlign w:val="center"/>
          </w:tcPr>
          <w:p w14:paraId="711763ED" w14:textId="6A96C9DB" w:rsidR="00616EB1" w:rsidRPr="00170DBE" w:rsidRDefault="00616EB1" w:rsidP="00616EB1">
            <w:pPr>
              <w:jc w:val="center"/>
              <w:rPr>
                <w:sz w:val="20"/>
                <w:szCs w:val="20"/>
                <w:lang w:val="en-US"/>
              </w:rPr>
            </w:pPr>
            <w:r w:rsidRPr="00170DBE">
              <w:rPr>
                <w:color w:val="000000"/>
                <w:sz w:val="20"/>
                <w:szCs w:val="20"/>
                <w:lang w:val="en-US"/>
              </w:rPr>
              <w:t>9,7</w:t>
            </w:r>
          </w:p>
        </w:tc>
      </w:tr>
      <w:tr w:rsidR="00616EB1" w:rsidRPr="00170DBE" w14:paraId="4E8A291A" w14:textId="77777777" w:rsidTr="0017246C">
        <w:trPr>
          <w:trHeight w:val="284"/>
        </w:trPr>
        <w:tc>
          <w:tcPr>
            <w:tcW w:w="1447" w:type="dxa"/>
            <w:tcBorders>
              <w:top w:val="nil"/>
              <w:left w:val="single" w:sz="4" w:space="0" w:color="auto"/>
              <w:bottom w:val="nil"/>
              <w:right w:val="nil"/>
            </w:tcBorders>
            <w:shd w:val="clear" w:color="auto" w:fill="F2F2F2" w:themeFill="background1" w:themeFillShade="F2"/>
            <w:vAlign w:val="center"/>
          </w:tcPr>
          <w:p w14:paraId="19EC9FEE" w14:textId="35CAB605" w:rsidR="00616EB1" w:rsidRPr="00170DBE" w:rsidRDefault="00616EB1" w:rsidP="00616EB1">
            <w:pPr>
              <w:jc w:val="center"/>
              <w:rPr>
                <w:sz w:val="20"/>
                <w:szCs w:val="20"/>
                <w:lang w:val="en-US"/>
              </w:rPr>
            </w:pPr>
            <w:r w:rsidRPr="00170DBE">
              <w:rPr>
                <w:color w:val="000000"/>
                <w:sz w:val="20"/>
                <w:szCs w:val="20"/>
                <w:lang w:val="en-US"/>
              </w:rPr>
              <w:t>18.1-20.0</w:t>
            </w:r>
          </w:p>
        </w:tc>
        <w:tc>
          <w:tcPr>
            <w:tcW w:w="709" w:type="dxa"/>
            <w:tcBorders>
              <w:top w:val="nil"/>
              <w:left w:val="nil"/>
              <w:bottom w:val="nil"/>
              <w:right w:val="nil"/>
            </w:tcBorders>
            <w:shd w:val="clear" w:color="auto" w:fill="F2F2F2" w:themeFill="background1" w:themeFillShade="F2"/>
            <w:vAlign w:val="center"/>
          </w:tcPr>
          <w:p w14:paraId="25C03F22" w14:textId="3CB5A107" w:rsidR="00616EB1" w:rsidRPr="00170DBE" w:rsidRDefault="00616EB1" w:rsidP="00616EB1">
            <w:pPr>
              <w:jc w:val="center"/>
              <w:rPr>
                <w:sz w:val="20"/>
                <w:szCs w:val="20"/>
                <w:lang w:val="en-US"/>
              </w:rPr>
            </w:pPr>
            <w:r w:rsidRPr="00170DBE">
              <w:rPr>
                <w:color w:val="000000"/>
                <w:sz w:val="20"/>
                <w:szCs w:val="20"/>
                <w:lang w:val="en-US"/>
              </w:rPr>
              <w:t>31</w:t>
            </w:r>
          </w:p>
        </w:tc>
        <w:tc>
          <w:tcPr>
            <w:tcW w:w="992" w:type="dxa"/>
            <w:tcBorders>
              <w:top w:val="nil"/>
              <w:left w:val="nil"/>
              <w:bottom w:val="nil"/>
              <w:right w:val="nil"/>
            </w:tcBorders>
            <w:shd w:val="clear" w:color="auto" w:fill="F2F2F2" w:themeFill="background1" w:themeFillShade="F2"/>
            <w:vAlign w:val="center"/>
          </w:tcPr>
          <w:p w14:paraId="5B42D4BD" w14:textId="1EEF60C3" w:rsidR="00616EB1" w:rsidRPr="00170DBE" w:rsidRDefault="00616EB1" w:rsidP="00616EB1">
            <w:pPr>
              <w:jc w:val="center"/>
              <w:rPr>
                <w:sz w:val="20"/>
                <w:szCs w:val="20"/>
                <w:lang w:val="en-US"/>
              </w:rPr>
            </w:pPr>
            <w:r w:rsidRPr="00170DBE">
              <w:rPr>
                <w:color w:val="000000"/>
                <w:sz w:val="20"/>
                <w:szCs w:val="20"/>
                <w:lang w:val="en-US"/>
              </w:rPr>
              <w:t>31</w:t>
            </w:r>
          </w:p>
        </w:tc>
        <w:tc>
          <w:tcPr>
            <w:tcW w:w="851" w:type="dxa"/>
            <w:tcBorders>
              <w:top w:val="nil"/>
              <w:left w:val="nil"/>
              <w:bottom w:val="nil"/>
              <w:right w:val="nil"/>
            </w:tcBorders>
            <w:shd w:val="clear" w:color="auto" w:fill="F2F2F2" w:themeFill="background1" w:themeFillShade="F2"/>
            <w:vAlign w:val="center"/>
          </w:tcPr>
          <w:p w14:paraId="2DE84B40" w14:textId="605FDCCC" w:rsidR="00616EB1" w:rsidRPr="00170DBE" w:rsidRDefault="00616EB1" w:rsidP="00616EB1">
            <w:pPr>
              <w:jc w:val="center"/>
              <w:rPr>
                <w:sz w:val="20"/>
                <w:szCs w:val="20"/>
                <w:lang w:val="en-US"/>
              </w:rPr>
            </w:pPr>
            <w:r w:rsidRPr="00170DBE">
              <w:rPr>
                <w:color w:val="000000"/>
                <w:sz w:val="20"/>
                <w:szCs w:val="20"/>
                <w:lang w:val="en-US"/>
              </w:rPr>
              <w:t>100,0</w:t>
            </w:r>
          </w:p>
        </w:tc>
        <w:tc>
          <w:tcPr>
            <w:tcW w:w="992" w:type="dxa"/>
            <w:tcBorders>
              <w:top w:val="nil"/>
              <w:left w:val="nil"/>
              <w:bottom w:val="nil"/>
              <w:right w:val="nil"/>
            </w:tcBorders>
            <w:shd w:val="clear" w:color="auto" w:fill="F2F2F2" w:themeFill="background1" w:themeFillShade="F2"/>
            <w:vAlign w:val="center"/>
          </w:tcPr>
          <w:p w14:paraId="3486067D" w14:textId="58A674A5" w:rsidR="00616EB1" w:rsidRPr="00170DBE" w:rsidRDefault="00616EB1" w:rsidP="00616EB1">
            <w:pPr>
              <w:jc w:val="center"/>
              <w:rPr>
                <w:sz w:val="20"/>
                <w:szCs w:val="20"/>
                <w:lang w:val="en-US"/>
              </w:rPr>
            </w:pPr>
            <w:r w:rsidRPr="00170DBE">
              <w:rPr>
                <w:color w:val="000000"/>
                <w:sz w:val="20"/>
                <w:szCs w:val="20"/>
                <w:lang w:val="en-US"/>
              </w:rPr>
              <w:t>0</w:t>
            </w:r>
          </w:p>
        </w:tc>
        <w:tc>
          <w:tcPr>
            <w:tcW w:w="992" w:type="dxa"/>
            <w:tcBorders>
              <w:top w:val="nil"/>
              <w:left w:val="nil"/>
              <w:bottom w:val="nil"/>
              <w:right w:val="single" w:sz="4" w:space="0" w:color="auto"/>
            </w:tcBorders>
            <w:shd w:val="clear" w:color="auto" w:fill="F2F2F2" w:themeFill="background1" w:themeFillShade="F2"/>
            <w:vAlign w:val="center"/>
          </w:tcPr>
          <w:p w14:paraId="14B3BDEF" w14:textId="04D5C56C" w:rsidR="00616EB1" w:rsidRPr="00170DBE" w:rsidRDefault="00616EB1" w:rsidP="00616EB1">
            <w:pPr>
              <w:jc w:val="center"/>
              <w:rPr>
                <w:sz w:val="20"/>
                <w:szCs w:val="20"/>
                <w:lang w:val="en-US"/>
              </w:rPr>
            </w:pPr>
            <w:r w:rsidRPr="00170DBE">
              <w:rPr>
                <w:color w:val="000000"/>
                <w:sz w:val="20"/>
                <w:szCs w:val="20"/>
                <w:lang w:val="en-US"/>
              </w:rPr>
              <w:t>0,0</w:t>
            </w:r>
          </w:p>
        </w:tc>
      </w:tr>
      <w:tr w:rsidR="00616EB1" w:rsidRPr="00170DBE" w14:paraId="16F1E663" w14:textId="77777777" w:rsidTr="0017246C">
        <w:trPr>
          <w:trHeight w:val="397"/>
        </w:trPr>
        <w:tc>
          <w:tcPr>
            <w:tcW w:w="1447" w:type="dxa"/>
            <w:tcBorders>
              <w:top w:val="single" w:sz="4" w:space="0" w:color="auto"/>
              <w:left w:val="single" w:sz="4" w:space="0" w:color="auto"/>
              <w:bottom w:val="single" w:sz="4" w:space="0" w:color="auto"/>
              <w:right w:val="nil"/>
            </w:tcBorders>
            <w:shd w:val="clear" w:color="auto" w:fill="D9D9D9" w:themeFill="background1" w:themeFillShade="D9"/>
            <w:vAlign w:val="center"/>
          </w:tcPr>
          <w:p w14:paraId="09DD9E69" w14:textId="77777777" w:rsidR="00616EB1" w:rsidRPr="00170DBE" w:rsidRDefault="00616EB1" w:rsidP="00616EB1">
            <w:pPr>
              <w:spacing w:before="14" w:after="14"/>
              <w:jc w:val="center"/>
              <w:rPr>
                <w:i/>
                <w:sz w:val="20"/>
                <w:szCs w:val="20"/>
                <w:lang w:val="en-US"/>
              </w:rPr>
            </w:pPr>
            <w:r w:rsidRPr="00170DBE">
              <w:rPr>
                <w:i/>
                <w:sz w:val="20"/>
                <w:szCs w:val="20"/>
                <w:lang w:val="en-US"/>
              </w:rPr>
              <w:t>Total</w:t>
            </w:r>
          </w:p>
        </w:tc>
        <w:tc>
          <w:tcPr>
            <w:tcW w:w="709" w:type="dxa"/>
            <w:tcBorders>
              <w:top w:val="single" w:sz="4" w:space="0" w:color="auto"/>
              <w:left w:val="nil"/>
              <w:bottom w:val="single" w:sz="4" w:space="0" w:color="auto"/>
              <w:right w:val="nil"/>
            </w:tcBorders>
            <w:shd w:val="clear" w:color="auto" w:fill="D9D9D9" w:themeFill="background1" w:themeFillShade="D9"/>
            <w:vAlign w:val="center"/>
          </w:tcPr>
          <w:p w14:paraId="1612D28D" w14:textId="5C16C07A" w:rsidR="00616EB1" w:rsidRPr="00170DBE" w:rsidRDefault="00616EB1" w:rsidP="00616EB1">
            <w:pPr>
              <w:spacing w:before="14" w:after="14"/>
              <w:jc w:val="center"/>
              <w:rPr>
                <w:i/>
                <w:sz w:val="20"/>
                <w:szCs w:val="20"/>
                <w:lang w:val="en-US"/>
              </w:rPr>
            </w:pPr>
            <w:r w:rsidRPr="00170DBE">
              <w:rPr>
                <w:color w:val="000000"/>
                <w:sz w:val="20"/>
                <w:szCs w:val="20"/>
                <w:lang w:val="en-US"/>
              </w:rPr>
              <w:t>215</w:t>
            </w:r>
          </w:p>
        </w:tc>
        <w:tc>
          <w:tcPr>
            <w:tcW w:w="992" w:type="dxa"/>
            <w:tcBorders>
              <w:top w:val="single" w:sz="4" w:space="0" w:color="auto"/>
              <w:left w:val="nil"/>
              <w:bottom w:val="single" w:sz="4" w:space="0" w:color="auto"/>
              <w:right w:val="nil"/>
            </w:tcBorders>
            <w:shd w:val="clear" w:color="auto" w:fill="D9D9D9" w:themeFill="background1" w:themeFillShade="D9"/>
            <w:vAlign w:val="center"/>
          </w:tcPr>
          <w:p w14:paraId="6B242BBC" w14:textId="6FE2E574" w:rsidR="00616EB1" w:rsidRPr="00170DBE" w:rsidRDefault="00616EB1" w:rsidP="00616EB1">
            <w:pPr>
              <w:spacing w:before="14" w:after="14"/>
              <w:jc w:val="center"/>
              <w:rPr>
                <w:i/>
                <w:sz w:val="20"/>
                <w:szCs w:val="20"/>
                <w:lang w:val="en-US"/>
              </w:rPr>
            </w:pPr>
            <w:r w:rsidRPr="00170DBE">
              <w:rPr>
                <w:color w:val="000000"/>
                <w:sz w:val="20"/>
                <w:szCs w:val="20"/>
                <w:lang w:val="en-US"/>
              </w:rPr>
              <w:t>133</w:t>
            </w:r>
          </w:p>
        </w:tc>
        <w:tc>
          <w:tcPr>
            <w:tcW w:w="851" w:type="dxa"/>
            <w:tcBorders>
              <w:top w:val="single" w:sz="4" w:space="0" w:color="auto"/>
              <w:left w:val="nil"/>
              <w:bottom w:val="single" w:sz="4" w:space="0" w:color="auto"/>
              <w:right w:val="nil"/>
            </w:tcBorders>
            <w:shd w:val="clear" w:color="auto" w:fill="D9D9D9" w:themeFill="background1" w:themeFillShade="D9"/>
            <w:vAlign w:val="center"/>
          </w:tcPr>
          <w:p w14:paraId="65AEB432" w14:textId="2DA19768" w:rsidR="00616EB1" w:rsidRPr="00170DBE" w:rsidRDefault="00616EB1" w:rsidP="00616EB1">
            <w:pPr>
              <w:spacing w:before="14" w:after="14"/>
              <w:jc w:val="center"/>
              <w:rPr>
                <w:i/>
                <w:sz w:val="20"/>
                <w:szCs w:val="20"/>
                <w:lang w:val="en-US"/>
              </w:rPr>
            </w:pPr>
            <w:r w:rsidRPr="00170DBE">
              <w:rPr>
                <w:color w:val="000000"/>
                <w:sz w:val="20"/>
                <w:szCs w:val="20"/>
                <w:lang w:val="en-US"/>
              </w:rPr>
              <w:t>N.A.</w:t>
            </w:r>
          </w:p>
        </w:tc>
        <w:tc>
          <w:tcPr>
            <w:tcW w:w="992" w:type="dxa"/>
            <w:tcBorders>
              <w:top w:val="single" w:sz="4" w:space="0" w:color="auto"/>
              <w:left w:val="nil"/>
              <w:bottom w:val="single" w:sz="4" w:space="0" w:color="auto"/>
              <w:right w:val="nil"/>
            </w:tcBorders>
            <w:shd w:val="clear" w:color="auto" w:fill="D9D9D9" w:themeFill="background1" w:themeFillShade="D9"/>
            <w:vAlign w:val="center"/>
          </w:tcPr>
          <w:p w14:paraId="1A5DC631" w14:textId="2B3A3724" w:rsidR="00616EB1" w:rsidRPr="00170DBE" w:rsidRDefault="00616EB1" w:rsidP="00616EB1">
            <w:pPr>
              <w:spacing w:before="14" w:after="14"/>
              <w:jc w:val="center"/>
              <w:rPr>
                <w:i/>
                <w:sz w:val="20"/>
                <w:szCs w:val="20"/>
                <w:lang w:val="en-US"/>
              </w:rPr>
            </w:pPr>
            <w:r w:rsidRPr="00170DBE">
              <w:rPr>
                <w:color w:val="000000"/>
                <w:sz w:val="20"/>
                <w:szCs w:val="20"/>
                <w:lang w:val="en-US"/>
              </w:rPr>
              <w:t>82</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A890E2F" w14:textId="17CDFB25" w:rsidR="00616EB1" w:rsidRPr="00170DBE" w:rsidRDefault="00616EB1" w:rsidP="00616EB1">
            <w:pPr>
              <w:spacing w:before="14" w:after="14"/>
              <w:jc w:val="center"/>
              <w:rPr>
                <w:i/>
                <w:sz w:val="20"/>
                <w:szCs w:val="20"/>
                <w:lang w:val="en-US"/>
              </w:rPr>
            </w:pPr>
            <w:r w:rsidRPr="00170DBE">
              <w:rPr>
                <w:color w:val="000000"/>
                <w:sz w:val="20"/>
                <w:szCs w:val="20"/>
                <w:lang w:val="en-US"/>
              </w:rPr>
              <w:t>N.A.</w:t>
            </w:r>
          </w:p>
        </w:tc>
      </w:tr>
    </w:tbl>
    <w:p w14:paraId="4D628BAC" w14:textId="41284728" w:rsidR="00B92F98" w:rsidRPr="000940A5" w:rsidRDefault="00B92F98" w:rsidP="008874FD">
      <w:pPr>
        <w:pStyle w:val="Corpo"/>
        <w:tabs>
          <w:tab w:val="left" w:pos="5529"/>
        </w:tabs>
        <w:spacing w:line="480" w:lineRule="auto"/>
        <w:jc w:val="both"/>
        <w:outlineLvl w:val="0"/>
        <w:rPr>
          <w:rFonts w:hAnsi="Times New Roman" w:cs="Times New Roman"/>
          <w:b/>
          <w:bCs/>
          <w:i/>
          <w:iCs/>
          <w:sz w:val="12"/>
          <w:szCs w:val="12"/>
        </w:rPr>
      </w:pPr>
    </w:p>
    <w:p w14:paraId="19259B2C" w14:textId="0D4F779C" w:rsidR="000940A5" w:rsidRDefault="00A50BC9" w:rsidP="00027C4A">
      <w:pPr>
        <w:pStyle w:val="Corpo"/>
        <w:tabs>
          <w:tab w:val="left" w:pos="5529"/>
        </w:tabs>
        <w:jc w:val="both"/>
        <w:outlineLvl w:val="0"/>
        <w:rPr>
          <w:rFonts w:hAnsi="Times New Roman" w:cs="Times New Roman"/>
        </w:rPr>
      </w:pPr>
      <w:r>
        <w:rPr>
          <w:rFonts w:hAnsi="Times New Roman" w:cs="Times New Roman"/>
        </w:rPr>
        <w:t>The number (N) and the proportion (%) of patients stratified for subtype diagnosis (</w:t>
      </w:r>
      <w:r w:rsidR="001B660F">
        <w:rPr>
          <w:rFonts w:hAnsi="Times New Roman" w:cs="Times New Roman"/>
        </w:rPr>
        <w:t>unilateral PA</w:t>
      </w:r>
      <w:r>
        <w:rPr>
          <w:rFonts w:hAnsi="Times New Roman" w:cs="Times New Roman"/>
        </w:rPr>
        <w:t xml:space="preserve"> </w:t>
      </w:r>
      <w:r w:rsidRPr="00A50BC9">
        <w:rPr>
          <w:rFonts w:hAnsi="Times New Roman" w:cs="Times New Roman"/>
          <w:i/>
          <w:iCs/>
        </w:rPr>
        <w:t>v</w:t>
      </w:r>
      <w:r w:rsidR="001B660F">
        <w:rPr>
          <w:rFonts w:hAnsi="Times New Roman" w:cs="Times New Roman"/>
          <w:i/>
          <w:iCs/>
        </w:rPr>
        <w:t>er</w:t>
      </w:r>
      <w:r w:rsidRPr="00A50BC9">
        <w:rPr>
          <w:rFonts w:hAnsi="Times New Roman" w:cs="Times New Roman"/>
          <w:i/>
          <w:iCs/>
        </w:rPr>
        <w:t>s</w:t>
      </w:r>
      <w:r w:rsidR="001B660F">
        <w:rPr>
          <w:rFonts w:hAnsi="Times New Roman" w:cs="Times New Roman"/>
          <w:i/>
          <w:iCs/>
        </w:rPr>
        <w:t>us</w:t>
      </w:r>
      <w:r>
        <w:rPr>
          <w:rFonts w:hAnsi="Times New Roman" w:cs="Times New Roman"/>
        </w:rPr>
        <w:t xml:space="preserve"> </w:t>
      </w:r>
      <w:r w:rsidR="001B660F">
        <w:rPr>
          <w:rFonts w:hAnsi="Times New Roman" w:cs="Times New Roman"/>
        </w:rPr>
        <w:t>bilateral PA</w:t>
      </w:r>
      <w:r>
        <w:rPr>
          <w:rFonts w:hAnsi="Times New Roman" w:cs="Times New Roman"/>
        </w:rPr>
        <w:t xml:space="preserve">) </w:t>
      </w:r>
      <w:r w:rsidR="0063367A">
        <w:rPr>
          <w:rFonts w:hAnsi="Times New Roman" w:cs="Times New Roman"/>
        </w:rPr>
        <w:t>is shown according to the AVS score</w:t>
      </w:r>
      <w:r w:rsidR="00594447">
        <w:rPr>
          <w:rFonts w:hAnsi="Times New Roman" w:cs="Times New Roman"/>
        </w:rPr>
        <w:t xml:space="preserve"> in the combined cohort (N = 215). N.A., Not Applicable.</w:t>
      </w:r>
    </w:p>
    <w:p w14:paraId="3CAC603B" w14:textId="3BF498FE" w:rsidR="008849A4" w:rsidRDefault="008849A4" w:rsidP="00027C4A">
      <w:pPr>
        <w:pStyle w:val="Corpo"/>
        <w:tabs>
          <w:tab w:val="left" w:pos="5529"/>
        </w:tabs>
        <w:jc w:val="both"/>
        <w:outlineLvl w:val="0"/>
        <w:rPr>
          <w:rFonts w:hAnsi="Times New Roman" w:cs="Times New Roman"/>
        </w:rPr>
      </w:pPr>
    </w:p>
    <w:p w14:paraId="319E0EC8" w14:textId="17A9E593" w:rsidR="008849A4" w:rsidRDefault="008849A4">
      <w:pPr>
        <w:rPr>
          <w:rFonts w:eastAsia="Arial Unicode MS"/>
          <w:color w:val="000000"/>
          <w:u w:color="000000"/>
          <w:bdr w:val="nil"/>
          <w:lang w:val="en-US" w:eastAsia="en-US"/>
        </w:rPr>
      </w:pPr>
      <w:r w:rsidRPr="00B865A8">
        <w:rPr>
          <w:lang w:val="en-US"/>
        </w:rPr>
        <w:br w:type="page"/>
      </w:r>
    </w:p>
    <w:p w14:paraId="7FE8B9D9" w14:textId="60C57E3D" w:rsidR="008849A4" w:rsidRPr="006A4033" w:rsidRDefault="003606D4" w:rsidP="008849A4">
      <w:pPr>
        <w:pStyle w:val="Corpo"/>
        <w:tabs>
          <w:tab w:val="left" w:pos="5529"/>
        </w:tabs>
        <w:spacing w:line="480" w:lineRule="auto"/>
        <w:jc w:val="both"/>
        <w:outlineLvl w:val="0"/>
        <w:rPr>
          <w:rFonts w:hAnsi="Times New Roman" w:cs="Times New Roman"/>
          <w:b/>
          <w:bCs/>
        </w:rPr>
      </w:pPr>
      <w:r w:rsidRPr="008F2D54">
        <w:rPr>
          <w:rFonts w:hAnsi="Times New Roman" w:cs="Times New Roman"/>
          <w:b/>
          <w:bCs/>
        </w:rPr>
        <w:lastRenderedPageBreak/>
        <w:t>Supplementa</w:t>
      </w:r>
      <w:r>
        <w:rPr>
          <w:rFonts w:hAnsi="Times New Roman" w:cs="Times New Roman"/>
          <w:b/>
          <w:bCs/>
        </w:rPr>
        <w:t xml:space="preserve">ry </w:t>
      </w:r>
      <w:r w:rsidRPr="008F2D54">
        <w:rPr>
          <w:rFonts w:hAnsi="Times New Roman" w:cs="Times New Roman"/>
          <w:b/>
          <w:bCs/>
        </w:rPr>
        <w:t xml:space="preserve">Table </w:t>
      </w:r>
      <w:r>
        <w:rPr>
          <w:rFonts w:hAnsi="Times New Roman" w:cs="Times New Roman"/>
          <w:b/>
          <w:bCs/>
        </w:rPr>
        <w:t>6</w:t>
      </w:r>
      <w:r w:rsidR="008849A4" w:rsidRPr="006A4033">
        <w:rPr>
          <w:rFonts w:hAnsi="Times New Roman" w:cs="Times New Roman"/>
          <w:b/>
          <w:bCs/>
        </w:rPr>
        <w:t>. Previously proposed score-systems</w:t>
      </w:r>
    </w:p>
    <w:tbl>
      <w:tblPr>
        <w:tblW w:w="8779" w:type="dxa"/>
        <w:tblCellMar>
          <w:left w:w="70" w:type="dxa"/>
          <w:right w:w="70" w:type="dxa"/>
        </w:tblCellMar>
        <w:tblLook w:val="04A0" w:firstRow="1" w:lastRow="0" w:firstColumn="1" w:lastColumn="0" w:noHBand="0" w:noVBand="1"/>
      </w:tblPr>
      <w:tblGrid>
        <w:gridCol w:w="1550"/>
        <w:gridCol w:w="850"/>
        <w:gridCol w:w="6379"/>
      </w:tblGrid>
      <w:tr w:rsidR="008849A4" w:rsidRPr="00C8381E" w14:paraId="037B27D0" w14:textId="77777777" w:rsidTr="00C8381E">
        <w:trPr>
          <w:trHeight w:val="289"/>
        </w:trPr>
        <w:tc>
          <w:tcPr>
            <w:tcW w:w="8779" w:type="dxa"/>
            <w:gridSpan w:val="3"/>
            <w:tcBorders>
              <w:top w:val="single" w:sz="8" w:space="0" w:color="auto"/>
              <w:left w:val="single" w:sz="8" w:space="0" w:color="auto"/>
              <w:bottom w:val="nil"/>
              <w:right w:val="single" w:sz="8" w:space="0" w:color="000000"/>
            </w:tcBorders>
            <w:shd w:val="clear" w:color="000000" w:fill="A6A6A6"/>
            <w:noWrap/>
            <w:vAlign w:val="center"/>
            <w:hideMark/>
          </w:tcPr>
          <w:p w14:paraId="1E2EC653" w14:textId="01449D45" w:rsidR="008849A4" w:rsidRPr="00C8381E" w:rsidRDefault="008849A4" w:rsidP="00C8381E">
            <w:pPr>
              <w:rPr>
                <w:b/>
                <w:bCs/>
                <w:color w:val="000000"/>
                <w:sz w:val="20"/>
                <w:szCs w:val="20"/>
                <w:lang w:val="en-US"/>
              </w:rPr>
            </w:pPr>
            <w:r w:rsidRPr="00C8381E">
              <w:rPr>
                <w:b/>
                <w:bCs/>
                <w:color w:val="000000"/>
                <w:sz w:val="20"/>
                <w:szCs w:val="20"/>
                <w:lang w:val="en-US"/>
              </w:rPr>
              <w:t>Küpers score</w:t>
            </w:r>
            <w:r w:rsidR="00C53ED7" w:rsidRPr="00C8381E">
              <w:rPr>
                <w:b/>
                <w:sz w:val="20"/>
                <w:szCs w:val="20"/>
                <w:lang w:val="en-US"/>
              </w:rPr>
              <w:t xml:space="preserve"> [</w:t>
            </w:r>
            <w:r w:rsidR="00877D1D">
              <w:rPr>
                <w:b/>
                <w:sz w:val="20"/>
                <w:szCs w:val="20"/>
                <w:lang w:val="en-US"/>
              </w:rPr>
              <w:t>8</w:t>
            </w:r>
            <w:r w:rsidR="00C53ED7" w:rsidRPr="00C8381E">
              <w:rPr>
                <w:b/>
                <w:sz w:val="20"/>
                <w:szCs w:val="20"/>
                <w:lang w:val="en-US"/>
              </w:rPr>
              <w:t>]</w:t>
            </w:r>
          </w:p>
        </w:tc>
      </w:tr>
      <w:tr w:rsidR="008849A4" w:rsidRPr="00A35F6E" w14:paraId="427E7F5D" w14:textId="77777777" w:rsidTr="00C8381E">
        <w:trPr>
          <w:trHeight w:val="289"/>
        </w:trPr>
        <w:tc>
          <w:tcPr>
            <w:tcW w:w="1550" w:type="dxa"/>
            <w:vMerge w:val="restart"/>
            <w:tcBorders>
              <w:top w:val="single" w:sz="8" w:space="0" w:color="auto"/>
              <w:left w:val="single" w:sz="8" w:space="0" w:color="auto"/>
              <w:bottom w:val="single" w:sz="8" w:space="0" w:color="000000"/>
              <w:right w:val="single" w:sz="4" w:space="0" w:color="auto"/>
            </w:tcBorders>
            <w:shd w:val="clear" w:color="000000" w:fill="D9D9D9"/>
            <w:vAlign w:val="center"/>
            <w:hideMark/>
          </w:tcPr>
          <w:p w14:paraId="26B2F8E2" w14:textId="77777777" w:rsidR="008849A4" w:rsidRPr="00C8381E" w:rsidRDefault="008849A4" w:rsidP="00C8381E">
            <w:pPr>
              <w:jc w:val="center"/>
              <w:rPr>
                <w:color w:val="000000"/>
                <w:sz w:val="20"/>
                <w:szCs w:val="20"/>
                <w:lang w:val="en-US"/>
              </w:rPr>
            </w:pPr>
            <w:r w:rsidRPr="00C8381E">
              <w:rPr>
                <w:color w:val="000000"/>
                <w:sz w:val="20"/>
                <w:szCs w:val="20"/>
                <w:lang w:val="en-US"/>
              </w:rPr>
              <w:t>Cut-off &gt;/= 5     [= UPA]</w:t>
            </w:r>
          </w:p>
        </w:tc>
        <w:tc>
          <w:tcPr>
            <w:tcW w:w="850" w:type="dxa"/>
            <w:tcBorders>
              <w:top w:val="single" w:sz="8" w:space="0" w:color="auto"/>
              <w:left w:val="single" w:sz="4" w:space="0" w:color="auto"/>
              <w:bottom w:val="single" w:sz="4" w:space="0" w:color="auto"/>
              <w:right w:val="single" w:sz="4" w:space="0" w:color="auto"/>
            </w:tcBorders>
            <w:shd w:val="clear" w:color="000000" w:fill="F2F2F2"/>
            <w:noWrap/>
            <w:vAlign w:val="center"/>
            <w:hideMark/>
          </w:tcPr>
          <w:p w14:paraId="3B02B0EC" w14:textId="77777777" w:rsidR="008849A4" w:rsidRPr="00C8381E" w:rsidRDefault="008849A4" w:rsidP="00C8381E">
            <w:pPr>
              <w:jc w:val="center"/>
              <w:rPr>
                <w:color w:val="000000"/>
                <w:sz w:val="20"/>
                <w:szCs w:val="20"/>
                <w:lang w:val="en-US"/>
              </w:rPr>
            </w:pPr>
            <w:r w:rsidRPr="00C8381E">
              <w:rPr>
                <w:color w:val="000000"/>
                <w:sz w:val="20"/>
                <w:szCs w:val="20"/>
                <w:lang w:val="en-US"/>
              </w:rPr>
              <w:t>3</w:t>
            </w:r>
          </w:p>
        </w:tc>
        <w:tc>
          <w:tcPr>
            <w:tcW w:w="6379" w:type="dxa"/>
            <w:tcBorders>
              <w:top w:val="single" w:sz="8" w:space="0" w:color="auto"/>
              <w:left w:val="nil"/>
              <w:bottom w:val="single" w:sz="4" w:space="0" w:color="auto"/>
              <w:right w:val="single" w:sz="8" w:space="0" w:color="auto"/>
            </w:tcBorders>
            <w:shd w:val="clear" w:color="000000" w:fill="F2F2F2"/>
            <w:noWrap/>
            <w:vAlign w:val="center"/>
            <w:hideMark/>
          </w:tcPr>
          <w:p w14:paraId="714A17C3" w14:textId="77777777" w:rsidR="008849A4" w:rsidRPr="00C8381E" w:rsidRDefault="008849A4" w:rsidP="00C8381E">
            <w:pPr>
              <w:rPr>
                <w:color w:val="000000"/>
                <w:sz w:val="20"/>
                <w:szCs w:val="20"/>
                <w:lang w:val="en-US"/>
              </w:rPr>
            </w:pPr>
            <w:r w:rsidRPr="00C8381E">
              <w:rPr>
                <w:color w:val="000000"/>
                <w:sz w:val="20"/>
                <w:szCs w:val="20"/>
                <w:lang w:val="en-US"/>
              </w:rPr>
              <w:t>Adrenal nodule &gt;/= 10 mm and normal contralateral gland</w:t>
            </w:r>
          </w:p>
        </w:tc>
      </w:tr>
      <w:tr w:rsidR="008849A4" w:rsidRPr="00C8381E" w14:paraId="43FFB70A" w14:textId="77777777" w:rsidTr="00C8381E">
        <w:trPr>
          <w:trHeight w:val="289"/>
        </w:trPr>
        <w:tc>
          <w:tcPr>
            <w:tcW w:w="1550" w:type="dxa"/>
            <w:vMerge/>
            <w:tcBorders>
              <w:top w:val="single" w:sz="8" w:space="0" w:color="auto"/>
              <w:left w:val="single" w:sz="8" w:space="0" w:color="auto"/>
              <w:bottom w:val="single" w:sz="8" w:space="0" w:color="000000"/>
              <w:right w:val="single" w:sz="4" w:space="0" w:color="auto"/>
            </w:tcBorders>
            <w:vAlign w:val="center"/>
            <w:hideMark/>
          </w:tcPr>
          <w:p w14:paraId="09E8DF71" w14:textId="77777777" w:rsidR="008849A4" w:rsidRPr="00C8381E" w:rsidRDefault="008849A4" w:rsidP="00C8381E">
            <w:pPr>
              <w:jc w:val="center"/>
              <w:rPr>
                <w:color w:val="000000"/>
                <w:sz w:val="20"/>
                <w:szCs w:val="20"/>
                <w:lang w:val="en-US"/>
              </w:rPr>
            </w:pPr>
          </w:p>
        </w:tc>
        <w:tc>
          <w:tcPr>
            <w:tcW w:w="850" w:type="dxa"/>
            <w:tcBorders>
              <w:top w:val="nil"/>
              <w:left w:val="single" w:sz="4" w:space="0" w:color="auto"/>
              <w:bottom w:val="nil"/>
              <w:right w:val="single" w:sz="4" w:space="0" w:color="auto"/>
            </w:tcBorders>
            <w:shd w:val="clear" w:color="auto" w:fill="auto"/>
            <w:noWrap/>
            <w:vAlign w:val="center"/>
            <w:hideMark/>
          </w:tcPr>
          <w:p w14:paraId="45D09E8F" w14:textId="77777777" w:rsidR="008849A4" w:rsidRPr="00C8381E" w:rsidRDefault="008849A4" w:rsidP="00C8381E">
            <w:pPr>
              <w:jc w:val="center"/>
              <w:rPr>
                <w:color w:val="000000"/>
                <w:sz w:val="20"/>
                <w:szCs w:val="20"/>
                <w:lang w:val="en-US"/>
              </w:rPr>
            </w:pPr>
            <w:r w:rsidRPr="00C8381E">
              <w:rPr>
                <w:color w:val="000000"/>
                <w:sz w:val="20"/>
                <w:szCs w:val="20"/>
                <w:lang w:val="en-US"/>
              </w:rPr>
              <w:t>2</w:t>
            </w:r>
          </w:p>
        </w:tc>
        <w:tc>
          <w:tcPr>
            <w:tcW w:w="6379" w:type="dxa"/>
            <w:tcBorders>
              <w:top w:val="nil"/>
              <w:left w:val="nil"/>
              <w:bottom w:val="nil"/>
              <w:right w:val="single" w:sz="8" w:space="0" w:color="auto"/>
            </w:tcBorders>
            <w:shd w:val="clear" w:color="auto" w:fill="auto"/>
            <w:noWrap/>
            <w:vAlign w:val="center"/>
            <w:hideMark/>
          </w:tcPr>
          <w:p w14:paraId="6F5FA9BD" w14:textId="77777777" w:rsidR="008849A4" w:rsidRPr="00C8381E" w:rsidRDefault="008849A4" w:rsidP="00C8381E">
            <w:pPr>
              <w:rPr>
                <w:color w:val="000000"/>
                <w:sz w:val="20"/>
                <w:szCs w:val="20"/>
                <w:lang w:val="en-US"/>
              </w:rPr>
            </w:pPr>
            <w:r w:rsidRPr="00C8381E">
              <w:rPr>
                <w:color w:val="000000"/>
                <w:sz w:val="20"/>
                <w:szCs w:val="20"/>
                <w:lang w:val="en-US"/>
              </w:rPr>
              <w:t>Potassium levels &lt; 3.5 mEq/L</w:t>
            </w:r>
          </w:p>
        </w:tc>
      </w:tr>
      <w:tr w:rsidR="008849A4" w:rsidRPr="00A35F6E" w14:paraId="604A1410" w14:textId="77777777" w:rsidTr="00C8381E">
        <w:trPr>
          <w:trHeight w:val="289"/>
        </w:trPr>
        <w:tc>
          <w:tcPr>
            <w:tcW w:w="1550" w:type="dxa"/>
            <w:vMerge/>
            <w:tcBorders>
              <w:top w:val="single" w:sz="8" w:space="0" w:color="auto"/>
              <w:left w:val="single" w:sz="8" w:space="0" w:color="auto"/>
              <w:bottom w:val="single" w:sz="8" w:space="0" w:color="000000"/>
              <w:right w:val="single" w:sz="4" w:space="0" w:color="auto"/>
            </w:tcBorders>
            <w:vAlign w:val="center"/>
            <w:hideMark/>
          </w:tcPr>
          <w:p w14:paraId="441DCC61" w14:textId="77777777" w:rsidR="008849A4" w:rsidRPr="00C8381E" w:rsidRDefault="008849A4" w:rsidP="00C8381E">
            <w:pPr>
              <w:jc w:val="center"/>
              <w:rPr>
                <w:color w:val="000000"/>
                <w:sz w:val="20"/>
                <w:szCs w:val="20"/>
                <w:lang w:val="en-US"/>
              </w:rPr>
            </w:pPr>
          </w:p>
        </w:tc>
        <w:tc>
          <w:tcPr>
            <w:tcW w:w="850" w:type="dxa"/>
            <w:tcBorders>
              <w:top w:val="single" w:sz="4" w:space="0" w:color="auto"/>
              <w:left w:val="single" w:sz="4" w:space="0" w:color="auto"/>
              <w:bottom w:val="nil"/>
              <w:right w:val="single" w:sz="4" w:space="0" w:color="auto"/>
            </w:tcBorders>
            <w:shd w:val="clear" w:color="000000" w:fill="F2F2F2"/>
            <w:noWrap/>
            <w:vAlign w:val="center"/>
            <w:hideMark/>
          </w:tcPr>
          <w:p w14:paraId="46368599" w14:textId="77777777" w:rsidR="008849A4" w:rsidRPr="00C8381E" w:rsidRDefault="008849A4" w:rsidP="00C8381E">
            <w:pPr>
              <w:jc w:val="center"/>
              <w:rPr>
                <w:color w:val="000000"/>
                <w:sz w:val="20"/>
                <w:szCs w:val="20"/>
                <w:lang w:val="en-US"/>
              </w:rPr>
            </w:pPr>
            <w:r w:rsidRPr="00C8381E">
              <w:rPr>
                <w:color w:val="000000"/>
                <w:sz w:val="20"/>
                <w:szCs w:val="20"/>
                <w:lang w:val="en-US"/>
              </w:rPr>
              <w:t>0</w:t>
            </w:r>
          </w:p>
        </w:tc>
        <w:tc>
          <w:tcPr>
            <w:tcW w:w="6379" w:type="dxa"/>
            <w:tcBorders>
              <w:top w:val="single" w:sz="4" w:space="0" w:color="auto"/>
              <w:left w:val="nil"/>
              <w:bottom w:val="nil"/>
              <w:right w:val="single" w:sz="8" w:space="0" w:color="auto"/>
            </w:tcBorders>
            <w:shd w:val="clear" w:color="000000" w:fill="F2F2F2"/>
            <w:noWrap/>
            <w:vAlign w:val="center"/>
            <w:hideMark/>
          </w:tcPr>
          <w:p w14:paraId="34B008B0" w14:textId="77777777" w:rsidR="008849A4" w:rsidRPr="00C8381E" w:rsidRDefault="008849A4" w:rsidP="00C8381E">
            <w:pPr>
              <w:rPr>
                <w:color w:val="000000"/>
                <w:sz w:val="20"/>
                <w:szCs w:val="20"/>
                <w:lang w:val="en-US"/>
              </w:rPr>
            </w:pPr>
            <w:r w:rsidRPr="00C8381E">
              <w:rPr>
                <w:color w:val="000000"/>
                <w:sz w:val="20"/>
                <w:szCs w:val="20"/>
                <w:lang w:val="en-US"/>
              </w:rPr>
              <w:t>eGFR (MDRD) &lt; 80 mL/min/1.73sqm</w:t>
            </w:r>
          </w:p>
        </w:tc>
      </w:tr>
      <w:tr w:rsidR="008849A4" w:rsidRPr="00A35F6E" w14:paraId="17D6FEB7" w14:textId="77777777" w:rsidTr="00C8381E">
        <w:trPr>
          <w:trHeight w:val="289"/>
        </w:trPr>
        <w:tc>
          <w:tcPr>
            <w:tcW w:w="1550" w:type="dxa"/>
            <w:vMerge/>
            <w:tcBorders>
              <w:top w:val="single" w:sz="8" w:space="0" w:color="auto"/>
              <w:left w:val="single" w:sz="8" w:space="0" w:color="auto"/>
              <w:bottom w:val="single" w:sz="8" w:space="0" w:color="000000"/>
              <w:right w:val="single" w:sz="4" w:space="0" w:color="auto"/>
            </w:tcBorders>
            <w:vAlign w:val="center"/>
            <w:hideMark/>
          </w:tcPr>
          <w:p w14:paraId="14F098A2" w14:textId="77777777" w:rsidR="008849A4" w:rsidRPr="00C8381E" w:rsidRDefault="008849A4" w:rsidP="00C8381E">
            <w:pPr>
              <w:jc w:val="center"/>
              <w:rPr>
                <w:color w:val="000000"/>
                <w:sz w:val="20"/>
                <w:szCs w:val="20"/>
                <w:lang w:val="en-US"/>
              </w:rPr>
            </w:pPr>
          </w:p>
        </w:tc>
        <w:tc>
          <w:tcPr>
            <w:tcW w:w="850" w:type="dxa"/>
            <w:tcBorders>
              <w:top w:val="nil"/>
              <w:left w:val="single" w:sz="4" w:space="0" w:color="auto"/>
              <w:bottom w:val="nil"/>
              <w:right w:val="single" w:sz="4" w:space="0" w:color="auto"/>
            </w:tcBorders>
            <w:shd w:val="clear" w:color="auto" w:fill="auto"/>
            <w:noWrap/>
            <w:vAlign w:val="center"/>
            <w:hideMark/>
          </w:tcPr>
          <w:p w14:paraId="6D1C4B20" w14:textId="77777777" w:rsidR="008849A4" w:rsidRPr="00C8381E" w:rsidRDefault="008849A4" w:rsidP="00C8381E">
            <w:pPr>
              <w:jc w:val="center"/>
              <w:rPr>
                <w:color w:val="000000"/>
                <w:sz w:val="20"/>
                <w:szCs w:val="20"/>
                <w:lang w:val="en-US"/>
              </w:rPr>
            </w:pPr>
            <w:r w:rsidRPr="00C8381E">
              <w:rPr>
                <w:color w:val="000000"/>
                <w:sz w:val="20"/>
                <w:szCs w:val="20"/>
                <w:lang w:val="en-US"/>
              </w:rPr>
              <w:t>1</w:t>
            </w:r>
          </w:p>
        </w:tc>
        <w:tc>
          <w:tcPr>
            <w:tcW w:w="6379" w:type="dxa"/>
            <w:tcBorders>
              <w:top w:val="nil"/>
              <w:left w:val="nil"/>
              <w:bottom w:val="nil"/>
              <w:right w:val="single" w:sz="8" w:space="0" w:color="auto"/>
            </w:tcBorders>
            <w:shd w:val="clear" w:color="auto" w:fill="auto"/>
            <w:noWrap/>
            <w:vAlign w:val="center"/>
            <w:hideMark/>
          </w:tcPr>
          <w:p w14:paraId="717B0761" w14:textId="77777777" w:rsidR="008849A4" w:rsidRPr="00C8381E" w:rsidRDefault="008849A4" w:rsidP="00C8381E">
            <w:pPr>
              <w:rPr>
                <w:color w:val="000000"/>
                <w:sz w:val="20"/>
                <w:szCs w:val="20"/>
                <w:lang w:val="en-US"/>
              </w:rPr>
            </w:pPr>
            <w:r w:rsidRPr="00C8381E">
              <w:rPr>
                <w:color w:val="000000"/>
                <w:sz w:val="20"/>
                <w:szCs w:val="20"/>
                <w:lang w:val="en-US"/>
              </w:rPr>
              <w:t>eGFR (MDRD) 80-99 mL/min/1.73sqm</w:t>
            </w:r>
          </w:p>
        </w:tc>
      </w:tr>
      <w:tr w:rsidR="008849A4" w:rsidRPr="00A35F6E" w14:paraId="7FDDCD24" w14:textId="77777777" w:rsidTr="00C8381E">
        <w:trPr>
          <w:trHeight w:val="289"/>
        </w:trPr>
        <w:tc>
          <w:tcPr>
            <w:tcW w:w="1550" w:type="dxa"/>
            <w:vMerge/>
            <w:tcBorders>
              <w:top w:val="single" w:sz="8" w:space="0" w:color="auto"/>
              <w:left w:val="single" w:sz="8" w:space="0" w:color="auto"/>
              <w:bottom w:val="single" w:sz="8" w:space="0" w:color="000000"/>
              <w:right w:val="single" w:sz="4" w:space="0" w:color="auto"/>
            </w:tcBorders>
            <w:vAlign w:val="center"/>
            <w:hideMark/>
          </w:tcPr>
          <w:p w14:paraId="2DF66A4E" w14:textId="77777777" w:rsidR="008849A4" w:rsidRPr="00C8381E" w:rsidRDefault="008849A4" w:rsidP="00C8381E">
            <w:pPr>
              <w:jc w:val="center"/>
              <w:rPr>
                <w:color w:val="000000"/>
                <w:sz w:val="20"/>
                <w:szCs w:val="20"/>
                <w:lang w:val="en-US"/>
              </w:rPr>
            </w:pPr>
          </w:p>
        </w:tc>
        <w:tc>
          <w:tcPr>
            <w:tcW w:w="850" w:type="dxa"/>
            <w:tcBorders>
              <w:top w:val="nil"/>
              <w:left w:val="single" w:sz="4" w:space="0" w:color="auto"/>
              <w:bottom w:val="single" w:sz="8" w:space="0" w:color="auto"/>
              <w:right w:val="single" w:sz="4" w:space="0" w:color="auto"/>
            </w:tcBorders>
            <w:shd w:val="clear" w:color="000000" w:fill="F2F2F2"/>
            <w:noWrap/>
            <w:vAlign w:val="center"/>
            <w:hideMark/>
          </w:tcPr>
          <w:p w14:paraId="6158F22C" w14:textId="77777777" w:rsidR="008849A4" w:rsidRPr="00C8381E" w:rsidRDefault="008849A4" w:rsidP="00C8381E">
            <w:pPr>
              <w:jc w:val="center"/>
              <w:rPr>
                <w:color w:val="000000"/>
                <w:sz w:val="20"/>
                <w:szCs w:val="20"/>
                <w:lang w:val="en-US"/>
              </w:rPr>
            </w:pPr>
            <w:r w:rsidRPr="00C8381E">
              <w:rPr>
                <w:color w:val="000000"/>
                <w:sz w:val="20"/>
                <w:szCs w:val="20"/>
                <w:lang w:val="en-US"/>
              </w:rPr>
              <w:t>2</w:t>
            </w:r>
          </w:p>
        </w:tc>
        <w:tc>
          <w:tcPr>
            <w:tcW w:w="6379" w:type="dxa"/>
            <w:tcBorders>
              <w:top w:val="nil"/>
              <w:left w:val="nil"/>
              <w:bottom w:val="single" w:sz="8" w:space="0" w:color="auto"/>
              <w:right w:val="single" w:sz="8" w:space="0" w:color="auto"/>
            </w:tcBorders>
            <w:shd w:val="clear" w:color="000000" w:fill="F2F2F2"/>
            <w:noWrap/>
            <w:vAlign w:val="center"/>
            <w:hideMark/>
          </w:tcPr>
          <w:p w14:paraId="2C4F78E6" w14:textId="77777777" w:rsidR="008849A4" w:rsidRPr="00C8381E" w:rsidRDefault="008849A4" w:rsidP="00C8381E">
            <w:pPr>
              <w:rPr>
                <w:color w:val="000000"/>
                <w:sz w:val="20"/>
                <w:szCs w:val="20"/>
                <w:lang w:val="en-US"/>
              </w:rPr>
            </w:pPr>
            <w:r w:rsidRPr="00C8381E">
              <w:rPr>
                <w:color w:val="000000"/>
                <w:sz w:val="20"/>
                <w:szCs w:val="20"/>
                <w:lang w:val="en-US"/>
              </w:rPr>
              <w:t>eGFR (MDRD) &gt;/= 100 mL/min/1.73sqm</w:t>
            </w:r>
          </w:p>
        </w:tc>
      </w:tr>
      <w:tr w:rsidR="008849A4" w:rsidRPr="00C8381E" w14:paraId="46096D78" w14:textId="77777777" w:rsidTr="00C8381E">
        <w:trPr>
          <w:trHeight w:val="289"/>
        </w:trPr>
        <w:tc>
          <w:tcPr>
            <w:tcW w:w="8779" w:type="dxa"/>
            <w:gridSpan w:val="3"/>
            <w:tcBorders>
              <w:top w:val="nil"/>
              <w:left w:val="single" w:sz="8" w:space="0" w:color="auto"/>
              <w:bottom w:val="single" w:sz="8" w:space="0" w:color="auto"/>
              <w:right w:val="single" w:sz="8" w:space="0" w:color="000000"/>
            </w:tcBorders>
            <w:shd w:val="clear" w:color="000000" w:fill="A6A6A6"/>
            <w:noWrap/>
            <w:vAlign w:val="center"/>
            <w:hideMark/>
          </w:tcPr>
          <w:p w14:paraId="7B13EA1E" w14:textId="2A2E915E" w:rsidR="008849A4" w:rsidRPr="00C8381E" w:rsidRDefault="008849A4" w:rsidP="00C8381E">
            <w:pPr>
              <w:rPr>
                <w:b/>
                <w:bCs/>
                <w:color w:val="000000"/>
                <w:sz w:val="20"/>
                <w:szCs w:val="20"/>
                <w:lang w:val="en-US"/>
              </w:rPr>
            </w:pPr>
            <w:r w:rsidRPr="00C8381E">
              <w:rPr>
                <w:b/>
                <w:bCs/>
                <w:color w:val="000000"/>
                <w:sz w:val="20"/>
                <w:szCs w:val="20"/>
                <w:lang w:val="en-US"/>
              </w:rPr>
              <w:t>Namba score</w:t>
            </w:r>
            <w:r w:rsidR="00C53ED7" w:rsidRPr="00C8381E">
              <w:rPr>
                <w:b/>
                <w:sz w:val="20"/>
                <w:szCs w:val="20"/>
                <w:lang w:val="en-US"/>
              </w:rPr>
              <w:t xml:space="preserve"> [</w:t>
            </w:r>
            <w:r w:rsidR="00877D1D">
              <w:rPr>
                <w:b/>
                <w:sz w:val="20"/>
                <w:szCs w:val="20"/>
                <w:lang w:val="en-US"/>
              </w:rPr>
              <w:t>9</w:t>
            </w:r>
            <w:r w:rsidR="00C53ED7" w:rsidRPr="00C8381E">
              <w:rPr>
                <w:b/>
                <w:sz w:val="20"/>
                <w:szCs w:val="20"/>
                <w:lang w:val="en-US"/>
              </w:rPr>
              <w:t>]</w:t>
            </w:r>
          </w:p>
        </w:tc>
      </w:tr>
      <w:tr w:rsidR="008849A4" w:rsidRPr="00C8381E" w14:paraId="7BF81072" w14:textId="77777777" w:rsidTr="00C8381E">
        <w:trPr>
          <w:trHeight w:val="289"/>
        </w:trPr>
        <w:tc>
          <w:tcPr>
            <w:tcW w:w="1550" w:type="dxa"/>
            <w:vMerge w:val="restart"/>
            <w:tcBorders>
              <w:top w:val="nil"/>
              <w:left w:val="single" w:sz="8" w:space="0" w:color="auto"/>
              <w:bottom w:val="single" w:sz="8" w:space="0" w:color="000000"/>
              <w:right w:val="single" w:sz="4" w:space="0" w:color="auto"/>
            </w:tcBorders>
            <w:shd w:val="clear" w:color="000000" w:fill="D9D9D9"/>
            <w:vAlign w:val="center"/>
            <w:hideMark/>
          </w:tcPr>
          <w:p w14:paraId="72B97613" w14:textId="77777777" w:rsidR="008849A4" w:rsidRPr="00C8381E" w:rsidRDefault="008849A4" w:rsidP="00C8381E">
            <w:pPr>
              <w:jc w:val="center"/>
              <w:rPr>
                <w:color w:val="000000"/>
                <w:sz w:val="20"/>
                <w:szCs w:val="20"/>
                <w:lang w:val="en-US"/>
              </w:rPr>
            </w:pPr>
            <w:r w:rsidRPr="00C8381E">
              <w:rPr>
                <w:color w:val="000000"/>
                <w:sz w:val="20"/>
                <w:szCs w:val="20"/>
                <w:lang w:val="en-US"/>
              </w:rPr>
              <w:t>Cut-off &gt;/= 5     [= UPA]</w:t>
            </w:r>
          </w:p>
        </w:tc>
        <w:tc>
          <w:tcPr>
            <w:tcW w:w="850" w:type="dxa"/>
            <w:tcBorders>
              <w:top w:val="nil"/>
              <w:left w:val="nil"/>
              <w:bottom w:val="single" w:sz="4" w:space="0" w:color="auto"/>
              <w:right w:val="single" w:sz="4" w:space="0" w:color="auto"/>
            </w:tcBorders>
            <w:shd w:val="clear" w:color="auto" w:fill="auto"/>
            <w:noWrap/>
            <w:vAlign w:val="center"/>
            <w:hideMark/>
          </w:tcPr>
          <w:p w14:paraId="4FF39CCE" w14:textId="77777777" w:rsidR="008849A4" w:rsidRPr="00C8381E" w:rsidRDefault="008849A4" w:rsidP="00C8381E">
            <w:pPr>
              <w:jc w:val="center"/>
              <w:rPr>
                <w:color w:val="000000"/>
                <w:sz w:val="20"/>
                <w:szCs w:val="20"/>
                <w:lang w:val="en-US"/>
              </w:rPr>
            </w:pPr>
            <w:r w:rsidRPr="00C8381E">
              <w:rPr>
                <w:color w:val="000000"/>
                <w:sz w:val="20"/>
                <w:szCs w:val="20"/>
                <w:lang w:val="en-US"/>
              </w:rPr>
              <w:t>2</w:t>
            </w:r>
          </w:p>
        </w:tc>
        <w:tc>
          <w:tcPr>
            <w:tcW w:w="6379" w:type="dxa"/>
            <w:tcBorders>
              <w:top w:val="nil"/>
              <w:left w:val="nil"/>
              <w:bottom w:val="single" w:sz="4" w:space="0" w:color="auto"/>
              <w:right w:val="single" w:sz="8" w:space="0" w:color="auto"/>
            </w:tcBorders>
            <w:shd w:val="clear" w:color="auto" w:fill="auto"/>
            <w:noWrap/>
            <w:vAlign w:val="center"/>
            <w:hideMark/>
          </w:tcPr>
          <w:p w14:paraId="4FD365E0" w14:textId="77777777" w:rsidR="008849A4" w:rsidRPr="00C8381E" w:rsidRDefault="008849A4" w:rsidP="00C8381E">
            <w:pPr>
              <w:rPr>
                <w:color w:val="000000"/>
                <w:sz w:val="20"/>
                <w:szCs w:val="20"/>
                <w:lang w:val="en-US"/>
              </w:rPr>
            </w:pPr>
            <w:r w:rsidRPr="00C8381E">
              <w:rPr>
                <w:color w:val="000000"/>
                <w:sz w:val="20"/>
                <w:szCs w:val="20"/>
                <w:lang w:val="en-US"/>
              </w:rPr>
              <w:t>Potassium levels &lt; 3.5 mEq/L</w:t>
            </w:r>
          </w:p>
        </w:tc>
      </w:tr>
      <w:tr w:rsidR="008849A4" w:rsidRPr="00A35F6E" w14:paraId="5142AD6E" w14:textId="77777777" w:rsidTr="00C8381E">
        <w:trPr>
          <w:trHeight w:val="289"/>
        </w:trPr>
        <w:tc>
          <w:tcPr>
            <w:tcW w:w="1550" w:type="dxa"/>
            <w:vMerge/>
            <w:tcBorders>
              <w:top w:val="nil"/>
              <w:left w:val="single" w:sz="8" w:space="0" w:color="auto"/>
              <w:bottom w:val="single" w:sz="8" w:space="0" w:color="000000"/>
              <w:right w:val="single" w:sz="4" w:space="0" w:color="auto"/>
            </w:tcBorders>
            <w:vAlign w:val="center"/>
            <w:hideMark/>
          </w:tcPr>
          <w:p w14:paraId="769BEFF4" w14:textId="77777777" w:rsidR="008849A4" w:rsidRPr="00C8381E" w:rsidRDefault="008849A4" w:rsidP="00C8381E">
            <w:pPr>
              <w:jc w:val="center"/>
              <w:rPr>
                <w:color w:val="000000"/>
                <w:sz w:val="20"/>
                <w:szCs w:val="20"/>
                <w:lang w:val="en-US"/>
              </w:rPr>
            </w:pPr>
          </w:p>
        </w:tc>
        <w:tc>
          <w:tcPr>
            <w:tcW w:w="850" w:type="dxa"/>
            <w:tcBorders>
              <w:top w:val="nil"/>
              <w:left w:val="nil"/>
              <w:bottom w:val="single" w:sz="4" w:space="0" w:color="auto"/>
              <w:right w:val="single" w:sz="4" w:space="0" w:color="auto"/>
            </w:tcBorders>
            <w:shd w:val="clear" w:color="000000" w:fill="F2F2F2"/>
            <w:noWrap/>
            <w:vAlign w:val="center"/>
            <w:hideMark/>
          </w:tcPr>
          <w:p w14:paraId="57515E4C" w14:textId="77777777" w:rsidR="008849A4" w:rsidRPr="00C8381E" w:rsidRDefault="008849A4" w:rsidP="00C8381E">
            <w:pPr>
              <w:jc w:val="center"/>
              <w:rPr>
                <w:color w:val="000000"/>
                <w:sz w:val="20"/>
                <w:szCs w:val="20"/>
                <w:lang w:val="en-US"/>
              </w:rPr>
            </w:pPr>
            <w:r w:rsidRPr="00C8381E">
              <w:rPr>
                <w:color w:val="000000"/>
                <w:sz w:val="20"/>
                <w:szCs w:val="20"/>
                <w:lang w:val="en-US"/>
              </w:rPr>
              <w:t>3</w:t>
            </w:r>
          </w:p>
        </w:tc>
        <w:tc>
          <w:tcPr>
            <w:tcW w:w="6379" w:type="dxa"/>
            <w:tcBorders>
              <w:top w:val="nil"/>
              <w:left w:val="nil"/>
              <w:bottom w:val="single" w:sz="4" w:space="0" w:color="auto"/>
              <w:right w:val="single" w:sz="8" w:space="0" w:color="auto"/>
            </w:tcBorders>
            <w:shd w:val="clear" w:color="000000" w:fill="F2F2F2"/>
            <w:noWrap/>
            <w:vAlign w:val="center"/>
            <w:hideMark/>
          </w:tcPr>
          <w:p w14:paraId="679B70C9" w14:textId="77777777" w:rsidR="008849A4" w:rsidRPr="00C8381E" w:rsidRDefault="008849A4" w:rsidP="00C8381E">
            <w:pPr>
              <w:rPr>
                <w:color w:val="000000"/>
                <w:sz w:val="20"/>
                <w:szCs w:val="20"/>
                <w:lang w:val="en-US"/>
              </w:rPr>
            </w:pPr>
            <w:r w:rsidRPr="00C8381E">
              <w:rPr>
                <w:color w:val="000000"/>
                <w:sz w:val="20"/>
                <w:szCs w:val="20"/>
                <w:lang w:val="en-US"/>
              </w:rPr>
              <w:t>Aldosterone at screening &gt;/= 16.5 ng/dL</w:t>
            </w:r>
          </w:p>
        </w:tc>
      </w:tr>
      <w:tr w:rsidR="008849A4" w:rsidRPr="00A35F6E" w14:paraId="0783FFD2" w14:textId="77777777" w:rsidTr="00C8381E">
        <w:trPr>
          <w:trHeight w:val="289"/>
        </w:trPr>
        <w:tc>
          <w:tcPr>
            <w:tcW w:w="1550" w:type="dxa"/>
            <w:vMerge/>
            <w:tcBorders>
              <w:top w:val="nil"/>
              <w:left w:val="single" w:sz="8" w:space="0" w:color="auto"/>
              <w:bottom w:val="single" w:sz="8" w:space="0" w:color="000000"/>
              <w:right w:val="single" w:sz="4" w:space="0" w:color="auto"/>
            </w:tcBorders>
            <w:vAlign w:val="center"/>
            <w:hideMark/>
          </w:tcPr>
          <w:p w14:paraId="060429B5" w14:textId="77777777" w:rsidR="008849A4" w:rsidRPr="00C8381E" w:rsidRDefault="008849A4" w:rsidP="00C8381E">
            <w:pPr>
              <w:jc w:val="center"/>
              <w:rPr>
                <w:color w:val="000000"/>
                <w:sz w:val="20"/>
                <w:szCs w:val="20"/>
                <w:lang w:val="en-US"/>
              </w:rPr>
            </w:pPr>
          </w:p>
        </w:tc>
        <w:tc>
          <w:tcPr>
            <w:tcW w:w="850" w:type="dxa"/>
            <w:tcBorders>
              <w:top w:val="nil"/>
              <w:left w:val="nil"/>
              <w:bottom w:val="single" w:sz="8" w:space="0" w:color="auto"/>
              <w:right w:val="single" w:sz="4" w:space="0" w:color="auto"/>
            </w:tcBorders>
            <w:shd w:val="clear" w:color="auto" w:fill="auto"/>
            <w:noWrap/>
            <w:vAlign w:val="center"/>
            <w:hideMark/>
          </w:tcPr>
          <w:p w14:paraId="68C0C8F0" w14:textId="77777777" w:rsidR="008849A4" w:rsidRPr="00C8381E" w:rsidRDefault="008849A4" w:rsidP="00C8381E">
            <w:pPr>
              <w:jc w:val="center"/>
              <w:rPr>
                <w:color w:val="000000"/>
                <w:sz w:val="20"/>
                <w:szCs w:val="20"/>
                <w:lang w:val="en-US"/>
              </w:rPr>
            </w:pPr>
            <w:r w:rsidRPr="00C8381E">
              <w:rPr>
                <w:color w:val="000000"/>
                <w:sz w:val="20"/>
                <w:szCs w:val="20"/>
                <w:lang w:val="en-US"/>
              </w:rPr>
              <w:t>3</w:t>
            </w:r>
          </w:p>
        </w:tc>
        <w:tc>
          <w:tcPr>
            <w:tcW w:w="6379" w:type="dxa"/>
            <w:tcBorders>
              <w:top w:val="nil"/>
              <w:left w:val="nil"/>
              <w:bottom w:val="single" w:sz="8" w:space="0" w:color="auto"/>
              <w:right w:val="single" w:sz="8" w:space="0" w:color="auto"/>
            </w:tcBorders>
            <w:shd w:val="clear" w:color="auto" w:fill="auto"/>
            <w:noWrap/>
            <w:vAlign w:val="center"/>
            <w:hideMark/>
          </w:tcPr>
          <w:p w14:paraId="46E98444" w14:textId="77777777" w:rsidR="008849A4" w:rsidRPr="00C8381E" w:rsidRDefault="008849A4" w:rsidP="00C8381E">
            <w:pPr>
              <w:rPr>
                <w:color w:val="000000"/>
                <w:sz w:val="20"/>
                <w:szCs w:val="20"/>
                <w:lang w:val="en-US"/>
              </w:rPr>
            </w:pPr>
            <w:r w:rsidRPr="00C8381E">
              <w:rPr>
                <w:color w:val="000000"/>
                <w:sz w:val="20"/>
                <w:szCs w:val="20"/>
                <w:lang w:val="en-US"/>
              </w:rPr>
              <w:t>ARR post captopril challenge test &gt;/= 100 [ng/dL]/[ng/mL/h]</w:t>
            </w:r>
          </w:p>
        </w:tc>
      </w:tr>
      <w:tr w:rsidR="008849A4" w:rsidRPr="00C8381E" w14:paraId="22C60F27" w14:textId="77777777" w:rsidTr="00C8381E">
        <w:trPr>
          <w:trHeight w:val="289"/>
        </w:trPr>
        <w:tc>
          <w:tcPr>
            <w:tcW w:w="8779" w:type="dxa"/>
            <w:gridSpan w:val="3"/>
            <w:tcBorders>
              <w:top w:val="single" w:sz="8" w:space="0" w:color="auto"/>
              <w:left w:val="single" w:sz="8" w:space="0" w:color="auto"/>
              <w:bottom w:val="single" w:sz="8" w:space="0" w:color="auto"/>
              <w:right w:val="single" w:sz="8" w:space="0" w:color="000000"/>
            </w:tcBorders>
            <w:shd w:val="clear" w:color="000000" w:fill="A6A6A6"/>
            <w:noWrap/>
            <w:vAlign w:val="center"/>
            <w:hideMark/>
          </w:tcPr>
          <w:p w14:paraId="6DF9C9F8" w14:textId="613D59C8" w:rsidR="008849A4" w:rsidRPr="00C8381E" w:rsidRDefault="008849A4" w:rsidP="00C8381E">
            <w:pPr>
              <w:rPr>
                <w:b/>
                <w:bCs/>
                <w:color w:val="000000"/>
                <w:sz w:val="20"/>
                <w:szCs w:val="20"/>
                <w:lang w:val="en-US"/>
              </w:rPr>
            </w:pPr>
            <w:r w:rsidRPr="00C8381E">
              <w:rPr>
                <w:b/>
                <w:bCs/>
                <w:color w:val="000000"/>
                <w:sz w:val="20"/>
                <w:szCs w:val="20"/>
                <w:lang w:val="en-US"/>
              </w:rPr>
              <w:t>Kocjan score</w:t>
            </w:r>
            <w:r w:rsidR="00C53ED7" w:rsidRPr="00C8381E">
              <w:rPr>
                <w:b/>
                <w:sz w:val="20"/>
                <w:szCs w:val="20"/>
                <w:lang w:val="en-US"/>
              </w:rPr>
              <w:t xml:space="preserve"> [</w:t>
            </w:r>
            <w:r w:rsidR="00877D1D">
              <w:rPr>
                <w:b/>
                <w:sz w:val="20"/>
                <w:szCs w:val="20"/>
                <w:lang w:val="en-US"/>
              </w:rPr>
              <w:t>10</w:t>
            </w:r>
            <w:r w:rsidR="00C53ED7" w:rsidRPr="00C8381E">
              <w:rPr>
                <w:b/>
                <w:sz w:val="20"/>
                <w:szCs w:val="20"/>
                <w:lang w:val="en-US"/>
              </w:rPr>
              <w:t>]</w:t>
            </w:r>
          </w:p>
        </w:tc>
      </w:tr>
      <w:tr w:rsidR="008849A4" w:rsidRPr="00C8381E" w14:paraId="5BB836ED" w14:textId="77777777" w:rsidTr="00C8381E">
        <w:trPr>
          <w:trHeight w:val="289"/>
        </w:trPr>
        <w:tc>
          <w:tcPr>
            <w:tcW w:w="1550" w:type="dxa"/>
            <w:vMerge w:val="restart"/>
            <w:tcBorders>
              <w:top w:val="nil"/>
              <w:left w:val="single" w:sz="8" w:space="0" w:color="auto"/>
              <w:bottom w:val="single" w:sz="8" w:space="0" w:color="000000"/>
              <w:right w:val="single" w:sz="4" w:space="0" w:color="auto"/>
            </w:tcBorders>
            <w:shd w:val="clear" w:color="000000" w:fill="D9D9D9"/>
            <w:vAlign w:val="center"/>
            <w:hideMark/>
          </w:tcPr>
          <w:p w14:paraId="23401FEA" w14:textId="77777777" w:rsidR="008849A4" w:rsidRPr="00C8381E" w:rsidRDefault="008849A4" w:rsidP="00C8381E">
            <w:pPr>
              <w:jc w:val="center"/>
              <w:rPr>
                <w:color w:val="000000"/>
                <w:sz w:val="20"/>
                <w:szCs w:val="20"/>
                <w:lang w:val="en-US"/>
              </w:rPr>
            </w:pPr>
            <w:r w:rsidRPr="00C8381E">
              <w:rPr>
                <w:color w:val="000000"/>
                <w:sz w:val="20"/>
                <w:szCs w:val="20"/>
                <w:lang w:val="en-US"/>
              </w:rPr>
              <w:t>Cut-off &gt;/= 3     [= BPA]</w:t>
            </w:r>
          </w:p>
        </w:tc>
        <w:tc>
          <w:tcPr>
            <w:tcW w:w="850" w:type="dxa"/>
            <w:tcBorders>
              <w:top w:val="nil"/>
              <w:left w:val="nil"/>
              <w:bottom w:val="single" w:sz="4" w:space="0" w:color="auto"/>
              <w:right w:val="single" w:sz="4" w:space="0" w:color="auto"/>
            </w:tcBorders>
            <w:shd w:val="clear" w:color="000000" w:fill="F2F2F2"/>
            <w:noWrap/>
            <w:vAlign w:val="center"/>
            <w:hideMark/>
          </w:tcPr>
          <w:p w14:paraId="6E151831" w14:textId="77777777" w:rsidR="008849A4" w:rsidRPr="00C8381E" w:rsidRDefault="008849A4" w:rsidP="00C8381E">
            <w:pPr>
              <w:jc w:val="center"/>
              <w:rPr>
                <w:color w:val="000000"/>
                <w:sz w:val="20"/>
                <w:szCs w:val="20"/>
                <w:lang w:val="en-US"/>
              </w:rPr>
            </w:pPr>
            <w:r w:rsidRPr="00C8381E">
              <w:rPr>
                <w:color w:val="000000"/>
                <w:sz w:val="20"/>
                <w:szCs w:val="20"/>
                <w:lang w:val="en-US"/>
              </w:rPr>
              <w:t>1</w:t>
            </w:r>
          </w:p>
        </w:tc>
        <w:tc>
          <w:tcPr>
            <w:tcW w:w="6379" w:type="dxa"/>
            <w:tcBorders>
              <w:top w:val="nil"/>
              <w:left w:val="nil"/>
              <w:bottom w:val="single" w:sz="4" w:space="0" w:color="auto"/>
              <w:right w:val="single" w:sz="8" w:space="0" w:color="auto"/>
            </w:tcBorders>
            <w:shd w:val="clear" w:color="000000" w:fill="F2F2F2"/>
            <w:noWrap/>
            <w:vAlign w:val="center"/>
            <w:hideMark/>
          </w:tcPr>
          <w:p w14:paraId="3A4DF4E1" w14:textId="77777777" w:rsidR="008849A4" w:rsidRPr="00C8381E" w:rsidRDefault="008849A4" w:rsidP="00C8381E">
            <w:pPr>
              <w:rPr>
                <w:color w:val="000000"/>
                <w:sz w:val="20"/>
                <w:szCs w:val="20"/>
                <w:lang w:val="en-US"/>
              </w:rPr>
            </w:pPr>
            <w:r w:rsidRPr="00C8381E">
              <w:rPr>
                <w:color w:val="000000"/>
                <w:sz w:val="20"/>
                <w:szCs w:val="20"/>
                <w:lang w:val="en-US"/>
              </w:rPr>
              <w:t>Potassium Levels &gt;/= 3.5 mEq/L</w:t>
            </w:r>
          </w:p>
        </w:tc>
      </w:tr>
      <w:tr w:rsidR="008849A4" w:rsidRPr="00A35F6E" w14:paraId="7315BD51" w14:textId="77777777" w:rsidTr="00C8381E">
        <w:trPr>
          <w:trHeight w:val="289"/>
        </w:trPr>
        <w:tc>
          <w:tcPr>
            <w:tcW w:w="1550" w:type="dxa"/>
            <w:vMerge/>
            <w:tcBorders>
              <w:top w:val="nil"/>
              <w:left w:val="single" w:sz="8" w:space="0" w:color="auto"/>
              <w:bottom w:val="single" w:sz="8" w:space="0" w:color="000000"/>
              <w:right w:val="single" w:sz="4" w:space="0" w:color="auto"/>
            </w:tcBorders>
            <w:vAlign w:val="center"/>
            <w:hideMark/>
          </w:tcPr>
          <w:p w14:paraId="451FFE1C" w14:textId="77777777" w:rsidR="008849A4" w:rsidRPr="00C8381E" w:rsidRDefault="008849A4" w:rsidP="00C8381E">
            <w:pPr>
              <w:jc w:val="center"/>
              <w:rPr>
                <w:color w:val="000000"/>
                <w:sz w:val="20"/>
                <w:szCs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14:paraId="7764541B" w14:textId="77777777" w:rsidR="008849A4" w:rsidRPr="00C8381E" w:rsidRDefault="008849A4" w:rsidP="00C8381E">
            <w:pPr>
              <w:jc w:val="center"/>
              <w:rPr>
                <w:color w:val="000000"/>
                <w:sz w:val="20"/>
                <w:szCs w:val="20"/>
                <w:lang w:val="en-US"/>
              </w:rPr>
            </w:pPr>
            <w:r w:rsidRPr="00C8381E">
              <w:rPr>
                <w:color w:val="000000"/>
                <w:sz w:val="20"/>
                <w:szCs w:val="20"/>
                <w:lang w:val="en-US"/>
              </w:rPr>
              <w:t>1</w:t>
            </w:r>
          </w:p>
        </w:tc>
        <w:tc>
          <w:tcPr>
            <w:tcW w:w="6379" w:type="dxa"/>
            <w:tcBorders>
              <w:top w:val="nil"/>
              <w:left w:val="nil"/>
              <w:bottom w:val="single" w:sz="4" w:space="0" w:color="auto"/>
              <w:right w:val="single" w:sz="8" w:space="0" w:color="auto"/>
            </w:tcBorders>
            <w:shd w:val="clear" w:color="auto" w:fill="auto"/>
            <w:noWrap/>
            <w:vAlign w:val="center"/>
            <w:hideMark/>
          </w:tcPr>
          <w:p w14:paraId="5EFB8B24" w14:textId="77777777" w:rsidR="008849A4" w:rsidRPr="00C8381E" w:rsidRDefault="008849A4" w:rsidP="00C8381E">
            <w:pPr>
              <w:rPr>
                <w:color w:val="000000"/>
                <w:sz w:val="20"/>
                <w:szCs w:val="20"/>
                <w:lang w:val="en-US"/>
              </w:rPr>
            </w:pPr>
            <w:r w:rsidRPr="00C8381E">
              <w:rPr>
                <w:color w:val="000000"/>
                <w:sz w:val="20"/>
                <w:szCs w:val="20"/>
                <w:lang w:val="en-US"/>
              </w:rPr>
              <w:t>Aldosterone post saline infusion test &lt; 18 ng/dL</w:t>
            </w:r>
          </w:p>
        </w:tc>
      </w:tr>
      <w:tr w:rsidR="008849A4" w:rsidRPr="00A35F6E" w14:paraId="36E40162" w14:textId="77777777" w:rsidTr="00C8381E">
        <w:trPr>
          <w:trHeight w:val="289"/>
        </w:trPr>
        <w:tc>
          <w:tcPr>
            <w:tcW w:w="1550" w:type="dxa"/>
            <w:vMerge/>
            <w:tcBorders>
              <w:top w:val="nil"/>
              <w:left w:val="single" w:sz="8" w:space="0" w:color="auto"/>
              <w:bottom w:val="single" w:sz="8" w:space="0" w:color="000000"/>
              <w:right w:val="single" w:sz="4" w:space="0" w:color="auto"/>
            </w:tcBorders>
            <w:vAlign w:val="center"/>
            <w:hideMark/>
          </w:tcPr>
          <w:p w14:paraId="240CB314" w14:textId="77777777" w:rsidR="008849A4" w:rsidRPr="00C8381E" w:rsidRDefault="008849A4" w:rsidP="00C8381E">
            <w:pPr>
              <w:jc w:val="center"/>
              <w:rPr>
                <w:color w:val="000000"/>
                <w:sz w:val="20"/>
                <w:szCs w:val="20"/>
                <w:lang w:val="en-US"/>
              </w:rPr>
            </w:pPr>
          </w:p>
        </w:tc>
        <w:tc>
          <w:tcPr>
            <w:tcW w:w="850" w:type="dxa"/>
            <w:tcBorders>
              <w:top w:val="nil"/>
              <w:left w:val="nil"/>
              <w:bottom w:val="single" w:sz="8" w:space="0" w:color="auto"/>
              <w:right w:val="single" w:sz="4" w:space="0" w:color="auto"/>
            </w:tcBorders>
            <w:shd w:val="clear" w:color="000000" w:fill="F2F2F2"/>
            <w:noWrap/>
            <w:vAlign w:val="center"/>
            <w:hideMark/>
          </w:tcPr>
          <w:p w14:paraId="163EDA6A" w14:textId="77777777" w:rsidR="008849A4" w:rsidRPr="00C8381E" w:rsidRDefault="008849A4" w:rsidP="00C8381E">
            <w:pPr>
              <w:jc w:val="center"/>
              <w:rPr>
                <w:color w:val="000000"/>
                <w:sz w:val="20"/>
                <w:szCs w:val="20"/>
                <w:lang w:val="en-US"/>
              </w:rPr>
            </w:pPr>
            <w:r w:rsidRPr="00C8381E">
              <w:rPr>
                <w:color w:val="000000"/>
                <w:sz w:val="20"/>
                <w:szCs w:val="20"/>
                <w:lang w:val="en-US"/>
              </w:rPr>
              <w:t>1</w:t>
            </w:r>
          </w:p>
        </w:tc>
        <w:tc>
          <w:tcPr>
            <w:tcW w:w="6379" w:type="dxa"/>
            <w:tcBorders>
              <w:top w:val="nil"/>
              <w:left w:val="nil"/>
              <w:bottom w:val="single" w:sz="8" w:space="0" w:color="auto"/>
              <w:right w:val="single" w:sz="8" w:space="0" w:color="auto"/>
            </w:tcBorders>
            <w:shd w:val="clear" w:color="000000" w:fill="F2F2F2"/>
            <w:noWrap/>
            <w:vAlign w:val="center"/>
            <w:hideMark/>
          </w:tcPr>
          <w:p w14:paraId="044DC750" w14:textId="77777777" w:rsidR="008849A4" w:rsidRPr="00C8381E" w:rsidRDefault="008849A4" w:rsidP="00C8381E">
            <w:pPr>
              <w:rPr>
                <w:color w:val="000000"/>
                <w:sz w:val="20"/>
                <w:szCs w:val="20"/>
                <w:lang w:val="en-US"/>
              </w:rPr>
            </w:pPr>
            <w:r w:rsidRPr="00C8381E">
              <w:rPr>
                <w:color w:val="000000"/>
                <w:sz w:val="20"/>
                <w:szCs w:val="20"/>
                <w:lang w:val="en-US"/>
              </w:rPr>
              <w:t>Bilateral normal or abnormal CT scanning</w:t>
            </w:r>
          </w:p>
        </w:tc>
      </w:tr>
      <w:tr w:rsidR="008849A4" w:rsidRPr="00C8381E" w14:paraId="36F431B3" w14:textId="77777777" w:rsidTr="00C8381E">
        <w:trPr>
          <w:trHeight w:val="289"/>
        </w:trPr>
        <w:tc>
          <w:tcPr>
            <w:tcW w:w="8779" w:type="dxa"/>
            <w:gridSpan w:val="3"/>
            <w:tcBorders>
              <w:top w:val="single" w:sz="8" w:space="0" w:color="auto"/>
              <w:left w:val="single" w:sz="8" w:space="0" w:color="auto"/>
              <w:bottom w:val="single" w:sz="8" w:space="0" w:color="auto"/>
              <w:right w:val="single" w:sz="8" w:space="0" w:color="000000"/>
            </w:tcBorders>
            <w:shd w:val="clear" w:color="000000" w:fill="A6A6A6"/>
            <w:noWrap/>
            <w:vAlign w:val="center"/>
            <w:hideMark/>
          </w:tcPr>
          <w:p w14:paraId="6415E4B7" w14:textId="4C7BE3F6" w:rsidR="008849A4" w:rsidRPr="00C8381E" w:rsidRDefault="008849A4" w:rsidP="00C8381E">
            <w:pPr>
              <w:rPr>
                <w:b/>
                <w:bCs/>
                <w:color w:val="000000"/>
                <w:sz w:val="20"/>
                <w:szCs w:val="20"/>
                <w:lang w:val="en-US"/>
              </w:rPr>
            </w:pPr>
            <w:r w:rsidRPr="00C8381E">
              <w:rPr>
                <w:b/>
                <w:bCs/>
                <w:color w:val="000000"/>
                <w:sz w:val="20"/>
                <w:szCs w:val="20"/>
                <w:lang w:val="en-US"/>
              </w:rPr>
              <w:t>Kamemura score</w:t>
            </w:r>
            <w:r w:rsidR="00C53ED7" w:rsidRPr="00C8381E">
              <w:rPr>
                <w:b/>
                <w:sz w:val="20"/>
                <w:szCs w:val="20"/>
                <w:lang w:val="en-US"/>
              </w:rPr>
              <w:t xml:space="preserve"> [</w:t>
            </w:r>
            <w:r w:rsidR="00877D1D">
              <w:rPr>
                <w:b/>
                <w:sz w:val="20"/>
                <w:szCs w:val="20"/>
                <w:lang w:val="en-US"/>
              </w:rPr>
              <w:t>11</w:t>
            </w:r>
            <w:r w:rsidR="00C53ED7" w:rsidRPr="00C8381E">
              <w:rPr>
                <w:b/>
                <w:sz w:val="20"/>
                <w:szCs w:val="20"/>
                <w:lang w:val="en-US"/>
              </w:rPr>
              <w:t>]</w:t>
            </w:r>
          </w:p>
        </w:tc>
      </w:tr>
      <w:tr w:rsidR="008849A4" w:rsidRPr="00C8381E" w14:paraId="6B7B44C4" w14:textId="77777777" w:rsidTr="00C8381E">
        <w:trPr>
          <w:trHeight w:val="289"/>
        </w:trPr>
        <w:tc>
          <w:tcPr>
            <w:tcW w:w="1550" w:type="dxa"/>
            <w:vMerge w:val="restart"/>
            <w:tcBorders>
              <w:top w:val="nil"/>
              <w:left w:val="single" w:sz="8" w:space="0" w:color="auto"/>
              <w:bottom w:val="single" w:sz="8" w:space="0" w:color="000000"/>
              <w:right w:val="single" w:sz="4" w:space="0" w:color="auto"/>
            </w:tcBorders>
            <w:shd w:val="clear" w:color="000000" w:fill="D9D9D9"/>
            <w:vAlign w:val="center"/>
            <w:hideMark/>
          </w:tcPr>
          <w:p w14:paraId="5123651C" w14:textId="77777777" w:rsidR="008849A4" w:rsidRPr="00C8381E" w:rsidRDefault="008849A4" w:rsidP="00C8381E">
            <w:pPr>
              <w:jc w:val="center"/>
              <w:rPr>
                <w:color w:val="000000"/>
                <w:sz w:val="20"/>
                <w:szCs w:val="20"/>
                <w:lang w:val="en-US"/>
              </w:rPr>
            </w:pPr>
            <w:r w:rsidRPr="00C8381E">
              <w:rPr>
                <w:color w:val="000000"/>
                <w:sz w:val="20"/>
                <w:szCs w:val="20"/>
                <w:lang w:val="en-US"/>
              </w:rPr>
              <w:t>Cut-off &gt;/= 2     [= BPA]</w:t>
            </w:r>
          </w:p>
        </w:tc>
        <w:tc>
          <w:tcPr>
            <w:tcW w:w="850" w:type="dxa"/>
            <w:tcBorders>
              <w:top w:val="nil"/>
              <w:left w:val="nil"/>
              <w:bottom w:val="single" w:sz="4" w:space="0" w:color="auto"/>
              <w:right w:val="single" w:sz="4" w:space="0" w:color="auto"/>
            </w:tcBorders>
            <w:shd w:val="clear" w:color="auto" w:fill="auto"/>
            <w:noWrap/>
            <w:vAlign w:val="center"/>
            <w:hideMark/>
          </w:tcPr>
          <w:p w14:paraId="55EACF24" w14:textId="77777777" w:rsidR="008849A4" w:rsidRPr="00C8381E" w:rsidRDefault="008849A4" w:rsidP="00C8381E">
            <w:pPr>
              <w:jc w:val="center"/>
              <w:rPr>
                <w:color w:val="000000"/>
                <w:sz w:val="20"/>
                <w:szCs w:val="20"/>
                <w:lang w:val="en-US"/>
              </w:rPr>
            </w:pPr>
            <w:r w:rsidRPr="00C8381E">
              <w:rPr>
                <w:color w:val="000000"/>
                <w:sz w:val="20"/>
                <w:szCs w:val="20"/>
                <w:lang w:val="en-US"/>
              </w:rPr>
              <w:t>1</w:t>
            </w:r>
          </w:p>
        </w:tc>
        <w:tc>
          <w:tcPr>
            <w:tcW w:w="6379" w:type="dxa"/>
            <w:tcBorders>
              <w:top w:val="nil"/>
              <w:left w:val="nil"/>
              <w:bottom w:val="single" w:sz="4" w:space="0" w:color="auto"/>
              <w:right w:val="single" w:sz="8" w:space="0" w:color="auto"/>
            </w:tcBorders>
            <w:shd w:val="clear" w:color="auto" w:fill="auto"/>
            <w:noWrap/>
            <w:vAlign w:val="center"/>
            <w:hideMark/>
          </w:tcPr>
          <w:p w14:paraId="2C198E77" w14:textId="77777777" w:rsidR="008849A4" w:rsidRPr="00C8381E" w:rsidRDefault="008849A4" w:rsidP="00C8381E">
            <w:pPr>
              <w:rPr>
                <w:color w:val="000000"/>
                <w:sz w:val="20"/>
                <w:szCs w:val="20"/>
                <w:lang w:val="en-US"/>
              </w:rPr>
            </w:pPr>
            <w:r w:rsidRPr="00C8381E">
              <w:rPr>
                <w:color w:val="000000"/>
                <w:sz w:val="20"/>
                <w:szCs w:val="20"/>
                <w:lang w:val="en-US"/>
              </w:rPr>
              <w:t>Female sex</w:t>
            </w:r>
          </w:p>
        </w:tc>
      </w:tr>
      <w:tr w:rsidR="008849A4" w:rsidRPr="00C8381E" w14:paraId="160E4692" w14:textId="77777777" w:rsidTr="00C8381E">
        <w:trPr>
          <w:trHeight w:val="289"/>
        </w:trPr>
        <w:tc>
          <w:tcPr>
            <w:tcW w:w="1550" w:type="dxa"/>
            <w:vMerge/>
            <w:tcBorders>
              <w:top w:val="nil"/>
              <w:left w:val="single" w:sz="8" w:space="0" w:color="auto"/>
              <w:bottom w:val="single" w:sz="8" w:space="0" w:color="000000"/>
              <w:right w:val="single" w:sz="4" w:space="0" w:color="auto"/>
            </w:tcBorders>
            <w:vAlign w:val="center"/>
            <w:hideMark/>
          </w:tcPr>
          <w:p w14:paraId="730A15BA" w14:textId="77777777" w:rsidR="008849A4" w:rsidRPr="00C8381E" w:rsidRDefault="008849A4" w:rsidP="00C8381E">
            <w:pPr>
              <w:jc w:val="center"/>
              <w:rPr>
                <w:color w:val="000000"/>
                <w:sz w:val="20"/>
                <w:szCs w:val="20"/>
                <w:lang w:val="en-US"/>
              </w:rPr>
            </w:pPr>
          </w:p>
        </w:tc>
        <w:tc>
          <w:tcPr>
            <w:tcW w:w="850" w:type="dxa"/>
            <w:tcBorders>
              <w:top w:val="nil"/>
              <w:left w:val="nil"/>
              <w:bottom w:val="single" w:sz="4" w:space="0" w:color="auto"/>
              <w:right w:val="single" w:sz="4" w:space="0" w:color="auto"/>
            </w:tcBorders>
            <w:shd w:val="clear" w:color="000000" w:fill="F2F2F2"/>
            <w:noWrap/>
            <w:vAlign w:val="center"/>
            <w:hideMark/>
          </w:tcPr>
          <w:p w14:paraId="64F06A98" w14:textId="77777777" w:rsidR="008849A4" w:rsidRPr="00C8381E" w:rsidRDefault="008849A4" w:rsidP="00C8381E">
            <w:pPr>
              <w:jc w:val="center"/>
              <w:rPr>
                <w:color w:val="000000"/>
                <w:sz w:val="20"/>
                <w:szCs w:val="20"/>
                <w:lang w:val="en-US"/>
              </w:rPr>
            </w:pPr>
            <w:r w:rsidRPr="00C8381E">
              <w:rPr>
                <w:color w:val="000000"/>
                <w:sz w:val="20"/>
                <w:szCs w:val="20"/>
                <w:lang w:val="en-US"/>
              </w:rPr>
              <w:t>1</w:t>
            </w:r>
          </w:p>
        </w:tc>
        <w:tc>
          <w:tcPr>
            <w:tcW w:w="6379" w:type="dxa"/>
            <w:tcBorders>
              <w:top w:val="nil"/>
              <w:left w:val="nil"/>
              <w:bottom w:val="single" w:sz="4" w:space="0" w:color="auto"/>
              <w:right w:val="single" w:sz="8" w:space="0" w:color="auto"/>
            </w:tcBorders>
            <w:shd w:val="clear" w:color="000000" w:fill="F2F2F2"/>
            <w:noWrap/>
            <w:vAlign w:val="center"/>
            <w:hideMark/>
          </w:tcPr>
          <w:p w14:paraId="763623F4" w14:textId="77777777" w:rsidR="008849A4" w:rsidRPr="00C8381E" w:rsidRDefault="008849A4" w:rsidP="00C8381E">
            <w:pPr>
              <w:rPr>
                <w:color w:val="000000"/>
                <w:sz w:val="20"/>
                <w:szCs w:val="20"/>
                <w:lang w:val="en-US"/>
              </w:rPr>
            </w:pPr>
            <w:r w:rsidRPr="00C8381E">
              <w:rPr>
                <w:color w:val="000000"/>
                <w:sz w:val="20"/>
                <w:szCs w:val="20"/>
                <w:lang w:val="en-US"/>
              </w:rPr>
              <w:t>Potassium levels &gt;/= 3.8 mEq/L</w:t>
            </w:r>
          </w:p>
        </w:tc>
      </w:tr>
      <w:tr w:rsidR="008849A4" w:rsidRPr="00A35F6E" w14:paraId="1DCF312D" w14:textId="77777777" w:rsidTr="00C8381E">
        <w:trPr>
          <w:trHeight w:val="289"/>
        </w:trPr>
        <w:tc>
          <w:tcPr>
            <w:tcW w:w="1550" w:type="dxa"/>
            <w:vMerge/>
            <w:tcBorders>
              <w:top w:val="nil"/>
              <w:left w:val="single" w:sz="8" w:space="0" w:color="auto"/>
              <w:bottom w:val="single" w:sz="8" w:space="0" w:color="000000"/>
              <w:right w:val="single" w:sz="4" w:space="0" w:color="auto"/>
            </w:tcBorders>
            <w:vAlign w:val="center"/>
            <w:hideMark/>
          </w:tcPr>
          <w:p w14:paraId="3CB61D7D" w14:textId="77777777" w:rsidR="008849A4" w:rsidRPr="00C8381E" w:rsidRDefault="008849A4" w:rsidP="00C8381E">
            <w:pPr>
              <w:jc w:val="center"/>
              <w:rPr>
                <w:color w:val="000000"/>
                <w:sz w:val="20"/>
                <w:szCs w:val="20"/>
                <w:lang w:val="en-US"/>
              </w:rPr>
            </w:pPr>
          </w:p>
        </w:tc>
        <w:tc>
          <w:tcPr>
            <w:tcW w:w="850" w:type="dxa"/>
            <w:tcBorders>
              <w:top w:val="nil"/>
              <w:left w:val="nil"/>
              <w:bottom w:val="single" w:sz="8" w:space="0" w:color="auto"/>
              <w:right w:val="single" w:sz="4" w:space="0" w:color="auto"/>
            </w:tcBorders>
            <w:shd w:val="clear" w:color="auto" w:fill="auto"/>
            <w:noWrap/>
            <w:vAlign w:val="center"/>
            <w:hideMark/>
          </w:tcPr>
          <w:p w14:paraId="31962512" w14:textId="77777777" w:rsidR="008849A4" w:rsidRPr="00C8381E" w:rsidRDefault="008849A4" w:rsidP="00C8381E">
            <w:pPr>
              <w:jc w:val="center"/>
              <w:rPr>
                <w:color w:val="000000"/>
                <w:sz w:val="20"/>
                <w:szCs w:val="20"/>
                <w:lang w:val="en-US"/>
              </w:rPr>
            </w:pPr>
            <w:r w:rsidRPr="00C8381E">
              <w:rPr>
                <w:color w:val="000000"/>
                <w:sz w:val="20"/>
                <w:szCs w:val="20"/>
                <w:lang w:val="en-US"/>
              </w:rPr>
              <w:t>1</w:t>
            </w:r>
          </w:p>
        </w:tc>
        <w:tc>
          <w:tcPr>
            <w:tcW w:w="6379" w:type="dxa"/>
            <w:tcBorders>
              <w:top w:val="nil"/>
              <w:left w:val="nil"/>
              <w:bottom w:val="single" w:sz="8" w:space="0" w:color="auto"/>
              <w:right w:val="single" w:sz="8" w:space="0" w:color="auto"/>
            </w:tcBorders>
            <w:shd w:val="clear" w:color="auto" w:fill="auto"/>
            <w:noWrap/>
            <w:vAlign w:val="center"/>
            <w:hideMark/>
          </w:tcPr>
          <w:p w14:paraId="6818E327" w14:textId="77777777" w:rsidR="008849A4" w:rsidRPr="00C8381E" w:rsidRDefault="008849A4" w:rsidP="00C8381E">
            <w:pPr>
              <w:rPr>
                <w:color w:val="000000"/>
                <w:sz w:val="20"/>
                <w:szCs w:val="20"/>
                <w:lang w:val="en-US"/>
              </w:rPr>
            </w:pPr>
            <w:r w:rsidRPr="00C8381E">
              <w:rPr>
                <w:color w:val="000000"/>
                <w:sz w:val="20"/>
                <w:szCs w:val="20"/>
                <w:lang w:val="en-US"/>
              </w:rPr>
              <w:t>ARR at screening &lt;/= 55 [ng/dL]/[ng/mL/h]</w:t>
            </w:r>
          </w:p>
        </w:tc>
      </w:tr>
      <w:tr w:rsidR="008849A4" w:rsidRPr="00C8381E" w14:paraId="453B4F87" w14:textId="77777777" w:rsidTr="00C8381E">
        <w:trPr>
          <w:trHeight w:val="289"/>
        </w:trPr>
        <w:tc>
          <w:tcPr>
            <w:tcW w:w="8779" w:type="dxa"/>
            <w:gridSpan w:val="3"/>
            <w:tcBorders>
              <w:top w:val="single" w:sz="8" w:space="0" w:color="auto"/>
              <w:left w:val="single" w:sz="8" w:space="0" w:color="auto"/>
              <w:bottom w:val="single" w:sz="8" w:space="0" w:color="auto"/>
              <w:right w:val="single" w:sz="8" w:space="0" w:color="000000"/>
            </w:tcBorders>
            <w:shd w:val="clear" w:color="000000" w:fill="A6A6A6"/>
            <w:noWrap/>
            <w:vAlign w:val="center"/>
            <w:hideMark/>
          </w:tcPr>
          <w:p w14:paraId="309E554E" w14:textId="1A07573D" w:rsidR="008849A4" w:rsidRPr="00C8381E" w:rsidRDefault="008849A4" w:rsidP="00C8381E">
            <w:pPr>
              <w:rPr>
                <w:b/>
                <w:bCs/>
                <w:color w:val="000000"/>
                <w:sz w:val="20"/>
                <w:szCs w:val="20"/>
                <w:lang w:val="en-US"/>
              </w:rPr>
            </w:pPr>
            <w:r w:rsidRPr="00C8381E">
              <w:rPr>
                <w:b/>
                <w:bCs/>
                <w:color w:val="000000"/>
                <w:sz w:val="20"/>
                <w:szCs w:val="20"/>
                <w:lang w:val="en-US"/>
              </w:rPr>
              <w:t xml:space="preserve">Kobayashi score </w:t>
            </w:r>
            <w:r w:rsidR="00C53ED7" w:rsidRPr="00C8381E">
              <w:rPr>
                <w:b/>
                <w:sz w:val="20"/>
                <w:szCs w:val="20"/>
                <w:lang w:val="en-US"/>
              </w:rPr>
              <w:t>[</w:t>
            </w:r>
            <w:r w:rsidR="00877D1D">
              <w:rPr>
                <w:b/>
                <w:sz w:val="20"/>
                <w:szCs w:val="20"/>
                <w:lang w:val="en-US"/>
              </w:rPr>
              <w:t>12</w:t>
            </w:r>
            <w:r w:rsidR="00C53ED7" w:rsidRPr="00C8381E">
              <w:rPr>
                <w:b/>
                <w:sz w:val="20"/>
                <w:szCs w:val="20"/>
                <w:lang w:val="en-US"/>
              </w:rPr>
              <w:t>]</w:t>
            </w:r>
          </w:p>
        </w:tc>
      </w:tr>
      <w:tr w:rsidR="008849A4" w:rsidRPr="00C8381E" w14:paraId="343F7A5A" w14:textId="77777777" w:rsidTr="00C8381E">
        <w:trPr>
          <w:trHeight w:val="289"/>
        </w:trPr>
        <w:tc>
          <w:tcPr>
            <w:tcW w:w="1550" w:type="dxa"/>
            <w:vMerge w:val="restart"/>
            <w:tcBorders>
              <w:top w:val="nil"/>
              <w:left w:val="single" w:sz="8" w:space="0" w:color="auto"/>
              <w:bottom w:val="single" w:sz="8" w:space="0" w:color="000000"/>
              <w:right w:val="single" w:sz="4" w:space="0" w:color="auto"/>
            </w:tcBorders>
            <w:shd w:val="clear" w:color="000000" w:fill="D9D9D9"/>
            <w:vAlign w:val="center"/>
            <w:hideMark/>
          </w:tcPr>
          <w:p w14:paraId="0F66BEBE" w14:textId="77777777" w:rsidR="008849A4" w:rsidRPr="00C8381E" w:rsidRDefault="008849A4" w:rsidP="00C8381E">
            <w:pPr>
              <w:jc w:val="center"/>
              <w:rPr>
                <w:color w:val="000000"/>
                <w:sz w:val="20"/>
                <w:szCs w:val="20"/>
                <w:lang w:val="en-US"/>
              </w:rPr>
            </w:pPr>
            <w:r w:rsidRPr="00C8381E">
              <w:rPr>
                <w:color w:val="000000"/>
                <w:sz w:val="20"/>
                <w:szCs w:val="20"/>
                <w:lang w:val="en-US"/>
              </w:rPr>
              <w:t>Cut-off &gt;/= 5     [= BPA]</w:t>
            </w:r>
          </w:p>
        </w:tc>
        <w:tc>
          <w:tcPr>
            <w:tcW w:w="850" w:type="dxa"/>
            <w:tcBorders>
              <w:top w:val="nil"/>
              <w:left w:val="nil"/>
              <w:bottom w:val="single" w:sz="4" w:space="0" w:color="auto"/>
              <w:right w:val="single" w:sz="4" w:space="0" w:color="auto"/>
            </w:tcBorders>
            <w:shd w:val="clear" w:color="000000" w:fill="F2F2F2"/>
            <w:noWrap/>
            <w:vAlign w:val="center"/>
            <w:hideMark/>
          </w:tcPr>
          <w:p w14:paraId="73B04A8C" w14:textId="77777777" w:rsidR="008849A4" w:rsidRPr="00C8381E" w:rsidRDefault="008849A4" w:rsidP="00C8381E">
            <w:pPr>
              <w:jc w:val="center"/>
              <w:rPr>
                <w:color w:val="000000"/>
                <w:sz w:val="20"/>
                <w:szCs w:val="20"/>
                <w:lang w:val="en-US"/>
              </w:rPr>
            </w:pPr>
            <w:r w:rsidRPr="00C8381E">
              <w:rPr>
                <w:color w:val="000000"/>
                <w:sz w:val="20"/>
                <w:szCs w:val="20"/>
                <w:lang w:val="en-US"/>
              </w:rPr>
              <w:t>2</w:t>
            </w:r>
          </w:p>
        </w:tc>
        <w:tc>
          <w:tcPr>
            <w:tcW w:w="6379" w:type="dxa"/>
            <w:tcBorders>
              <w:top w:val="nil"/>
              <w:left w:val="nil"/>
              <w:bottom w:val="single" w:sz="4" w:space="0" w:color="auto"/>
              <w:right w:val="single" w:sz="8" w:space="0" w:color="auto"/>
            </w:tcBorders>
            <w:shd w:val="clear" w:color="000000" w:fill="F2F2F2"/>
            <w:noWrap/>
            <w:vAlign w:val="center"/>
            <w:hideMark/>
          </w:tcPr>
          <w:p w14:paraId="4D28E0A8" w14:textId="77777777" w:rsidR="008849A4" w:rsidRPr="00C8381E" w:rsidRDefault="008849A4" w:rsidP="00C8381E">
            <w:pPr>
              <w:rPr>
                <w:color w:val="000000"/>
                <w:sz w:val="20"/>
                <w:szCs w:val="20"/>
                <w:lang w:val="en-US"/>
              </w:rPr>
            </w:pPr>
            <w:r w:rsidRPr="00C8381E">
              <w:rPr>
                <w:color w:val="000000"/>
                <w:sz w:val="20"/>
                <w:szCs w:val="20"/>
                <w:lang w:val="en-US"/>
              </w:rPr>
              <w:t>Lowest Potassium &gt;/= 3.5 mEq/L</w:t>
            </w:r>
          </w:p>
        </w:tc>
      </w:tr>
      <w:tr w:rsidR="008849A4" w:rsidRPr="00A35F6E" w14:paraId="3935D6B3" w14:textId="77777777" w:rsidTr="00C8381E">
        <w:trPr>
          <w:trHeight w:val="289"/>
        </w:trPr>
        <w:tc>
          <w:tcPr>
            <w:tcW w:w="1550" w:type="dxa"/>
            <w:vMerge/>
            <w:tcBorders>
              <w:top w:val="nil"/>
              <w:left w:val="single" w:sz="8" w:space="0" w:color="auto"/>
              <w:bottom w:val="single" w:sz="8" w:space="0" w:color="000000"/>
              <w:right w:val="single" w:sz="4" w:space="0" w:color="auto"/>
            </w:tcBorders>
            <w:vAlign w:val="center"/>
            <w:hideMark/>
          </w:tcPr>
          <w:p w14:paraId="0245A910" w14:textId="77777777" w:rsidR="008849A4" w:rsidRPr="00C8381E" w:rsidRDefault="008849A4" w:rsidP="00C8381E">
            <w:pPr>
              <w:jc w:val="center"/>
              <w:rPr>
                <w:color w:val="000000"/>
                <w:sz w:val="20"/>
                <w:szCs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14:paraId="45738089" w14:textId="77777777" w:rsidR="008849A4" w:rsidRPr="00C8381E" w:rsidRDefault="008849A4" w:rsidP="00C8381E">
            <w:pPr>
              <w:jc w:val="center"/>
              <w:rPr>
                <w:color w:val="000000"/>
                <w:sz w:val="20"/>
                <w:szCs w:val="20"/>
                <w:lang w:val="en-US"/>
              </w:rPr>
            </w:pPr>
            <w:r w:rsidRPr="00C8381E">
              <w:rPr>
                <w:color w:val="000000"/>
                <w:sz w:val="20"/>
                <w:szCs w:val="20"/>
                <w:lang w:val="en-US"/>
              </w:rPr>
              <w:t>2</w:t>
            </w:r>
          </w:p>
        </w:tc>
        <w:tc>
          <w:tcPr>
            <w:tcW w:w="6379" w:type="dxa"/>
            <w:tcBorders>
              <w:top w:val="nil"/>
              <w:left w:val="nil"/>
              <w:bottom w:val="single" w:sz="4" w:space="0" w:color="auto"/>
              <w:right w:val="single" w:sz="8" w:space="0" w:color="auto"/>
            </w:tcBorders>
            <w:shd w:val="clear" w:color="auto" w:fill="auto"/>
            <w:noWrap/>
            <w:vAlign w:val="center"/>
            <w:hideMark/>
          </w:tcPr>
          <w:p w14:paraId="7B16EAAD" w14:textId="77777777" w:rsidR="008849A4" w:rsidRPr="00C8381E" w:rsidRDefault="008849A4" w:rsidP="00C8381E">
            <w:pPr>
              <w:rPr>
                <w:color w:val="000000"/>
                <w:sz w:val="20"/>
                <w:szCs w:val="20"/>
                <w:lang w:val="en-US"/>
              </w:rPr>
            </w:pPr>
            <w:r w:rsidRPr="00C8381E">
              <w:rPr>
                <w:color w:val="000000"/>
                <w:sz w:val="20"/>
                <w:szCs w:val="20"/>
                <w:lang w:val="en-US"/>
              </w:rPr>
              <w:t>ARR post captopril challenge test &lt; 49 [ng/dL]/[ng/mL/h]</w:t>
            </w:r>
          </w:p>
        </w:tc>
      </w:tr>
      <w:tr w:rsidR="008849A4" w:rsidRPr="00A35F6E" w14:paraId="4511E8CB" w14:textId="77777777" w:rsidTr="00C8381E">
        <w:trPr>
          <w:trHeight w:val="289"/>
        </w:trPr>
        <w:tc>
          <w:tcPr>
            <w:tcW w:w="1550" w:type="dxa"/>
            <w:vMerge/>
            <w:tcBorders>
              <w:top w:val="nil"/>
              <w:left w:val="single" w:sz="8" w:space="0" w:color="auto"/>
              <w:bottom w:val="single" w:sz="8" w:space="0" w:color="000000"/>
              <w:right w:val="single" w:sz="4" w:space="0" w:color="auto"/>
            </w:tcBorders>
            <w:vAlign w:val="center"/>
            <w:hideMark/>
          </w:tcPr>
          <w:p w14:paraId="617A6193" w14:textId="77777777" w:rsidR="008849A4" w:rsidRPr="00C8381E" w:rsidRDefault="008849A4" w:rsidP="00C8381E">
            <w:pPr>
              <w:jc w:val="center"/>
              <w:rPr>
                <w:color w:val="000000"/>
                <w:sz w:val="20"/>
                <w:szCs w:val="20"/>
                <w:lang w:val="en-US"/>
              </w:rPr>
            </w:pPr>
          </w:p>
        </w:tc>
        <w:tc>
          <w:tcPr>
            <w:tcW w:w="850" w:type="dxa"/>
            <w:tcBorders>
              <w:top w:val="nil"/>
              <w:left w:val="nil"/>
              <w:bottom w:val="single" w:sz="8" w:space="0" w:color="auto"/>
              <w:right w:val="single" w:sz="4" w:space="0" w:color="auto"/>
            </w:tcBorders>
            <w:shd w:val="clear" w:color="000000" w:fill="F2F2F2"/>
            <w:noWrap/>
            <w:vAlign w:val="center"/>
            <w:hideMark/>
          </w:tcPr>
          <w:p w14:paraId="2EFE285C" w14:textId="77777777" w:rsidR="008849A4" w:rsidRPr="00C8381E" w:rsidRDefault="008849A4" w:rsidP="00C8381E">
            <w:pPr>
              <w:jc w:val="center"/>
              <w:rPr>
                <w:color w:val="000000"/>
                <w:sz w:val="20"/>
                <w:szCs w:val="20"/>
                <w:lang w:val="en-US"/>
              </w:rPr>
            </w:pPr>
            <w:r w:rsidRPr="00C8381E">
              <w:rPr>
                <w:color w:val="000000"/>
                <w:sz w:val="20"/>
                <w:szCs w:val="20"/>
                <w:lang w:val="en-US"/>
              </w:rPr>
              <w:t>3</w:t>
            </w:r>
          </w:p>
        </w:tc>
        <w:tc>
          <w:tcPr>
            <w:tcW w:w="6379" w:type="dxa"/>
            <w:tcBorders>
              <w:top w:val="nil"/>
              <w:left w:val="nil"/>
              <w:bottom w:val="single" w:sz="8" w:space="0" w:color="auto"/>
              <w:right w:val="single" w:sz="8" w:space="0" w:color="auto"/>
            </w:tcBorders>
            <w:shd w:val="clear" w:color="000000" w:fill="F2F2F2"/>
            <w:noWrap/>
            <w:vAlign w:val="center"/>
            <w:hideMark/>
          </w:tcPr>
          <w:p w14:paraId="675F10BC" w14:textId="77777777" w:rsidR="008849A4" w:rsidRPr="00C8381E" w:rsidRDefault="008849A4" w:rsidP="00C8381E">
            <w:pPr>
              <w:rPr>
                <w:color w:val="000000"/>
                <w:sz w:val="20"/>
                <w:szCs w:val="20"/>
                <w:lang w:val="en-US"/>
              </w:rPr>
            </w:pPr>
            <w:r w:rsidRPr="00C8381E">
              <w:rPr>
                <w:color w:val="000000"/>
                <w:sz w:val="20"/>
                <w:szCs w:val="20"/>
                <w:lang w:val="en-US"/>
              </w:rPr>
              <w:t>No adrenal nodules at CT scanning</w:t>
            </w:r>
          </w:p>
        </w:tc>
      </w:tr>
      <w:tr w:rsidR="008849A4" w:rsidRPr="00C8381E" w14:paraId="71878420" w14:textId="77777777" w:rsidTr="00C8381E">
        <w:trPr>
          <w:trHeight w:val="289"/>
        </w:trPr>
        <w:tc>
          <w:tcPr>
            <w:tcW w:w="8779" w:type="dxa"/>
            <w:gridSpan w:val="3"/>
            <w:tcBorders>
              <w:top w:val="single" w:sz="8" w:space="0" w:color="auto"/>
              <w:left w:val="single" w:sz="8" w:space="0" w:color="auto"/>
              <w:bottom w:val="nil"/>
              <w:right w:val="single" w:sz="8" w:space="0" w:color="000000"/>
            </w:tcBorders>
            <w:shd w:val="clear" w:color="000000" w:fill="A6A6A6"/>
            <w:noWrap/>
            <w:vAlign w:val="center"/>
            <w:hideMark/>
          </w:tcPr>
          <w:p w14:paraId="5B1C8E2F" w14:textId="11187992" w:rsidR="008849A4" w:rsidRPr="00C8381E" w:rsidRDefault="008849A4" w:rsidP="00C8381E">
            <w:pPr>
              <w:rPr>
                <w:b/>
                <w:bCs/>
                <w:color w:val="000000"/>
                <w:sz w:val="20"/>
                <w:szCs w:val="20"/>
                <w:lang w:val="en-US"/>
              </w:rPr>
            </w:pPr>
            <w:r w:rsidRPr="00C8381E">
              <w:rPr>
                <w:b/>
                <w:bCs/>
                <w:color w:val="000000"/>
                <w:sz w:val="20"/>
                <w:szCs w:val="20"/>
                <w:lang w:val="en-US"/>
              </w:rPr>
              <w:t>Kobayashi score</w:t>
            </w:r>
            <w:r w:rsidR="00C53ED7" w:rsidRPr="00C8381E">
              <w:rPr>
                <w:b/>
                <w:sz w:val="20"/>
                <w:szCs w:val="20"/>
                <w:lang w:val="en-US"/>
              </w:rPr>
              <w:t xml:space="preserve"> [</w:t>
            </w:r>
            <w:r w:rsidR="00877D1D">
              <w:rPr>
                <w:b/>
                <w:sz w:val="20"/>
                <w:szCs w:val="20"/>
                <w:lang w:val="en-US"/>
              </w:rPr>
              <w:t>13</w:t>
            </w:r>
            <w:r w:rsidR="00C53ED7" w:rsidRPr="00C8381E">
              <w:rPr>
                <w:b/>
                <w:sz w:val="20"/>
                <w:szCs w:val="20"/>
                <w:lang w:val="en-US"/>
              </w:rPr>
              <w:t>]</w:t>
            </w:r>
          </w:p>
        </w:tc>
      </w:tr>
      <w:tr w:rsidR="008849A4" w:rsidRPr="00C8381E" w14:paraId="323491E3" w14:textId="77777777" w:rsidTr="00C8381E">
        <w:trPr>
          <w:trHeight w:val="289"/>
        </w:trPr>
        <w:tc>
          <w:tcPr>
            <w:tcW w:w="1550" w:type="dxa"/>
            <w:vMerge w:val="restart"/>
            <w:tcBorders>
              <w:top w:val="single" w:sz="8" w:space="0" w:color="auto"/>
              <w:left w:val="single" w:sz="8" w:space="0" w:color="auto"/>
              <w:bottom w:val="single" w:sz="8" w:space="0" w:color="000000"/>
              <w:right w:val="single" w:sz="4" w:space="0" w:color="000000"/>
            </w:tcBorders>
            <w:shd w:val="clear" w:color="000000" w:fill="D9D9D9"/>
            <w:vAlign w:val="center"/>
            <w:hideMark/>
          </w:tcPr>
          <w:p w14:paraId="76E4C4C5" w14:textId="77777777" w:rsidR="008849A4" w:rsidRPr="00C8381E" w:rsidRDefault="008849A4" w:rsidP="00C8381E">
            <w:pPr>
              <w:jc w:val="center"/>
              <w:rPr>
                <w:color w:val="000000"/>
                <w:sz w:val="20"/>
                <w:szCs w:val="20"/>
                <w:lang w:val="en-US"/>
              </w:rPr>
            </w:pPr>
            <w:r w:rsidRPr="00C8381E">
              <w:rPr>
                <w:color w:val="000000"/>
                <w:sz w:val="20"/>
                <w:szCs w:val="20"/>
                <w:lang w:val="en-US"/>
              </w:rPr>
              <w:t>Cut-off &gt;/= 8     [= BPA]</w:t>
            </w:r>
          </w:p>
        </w:tc>
        <w:tc>
          <w:tcPr>
            <w:tcW w:w="850" w:type="dxa"/>
            <w:tcBorders>
              <w:top w:val="single" w:sz="8" w:space="0" w:color="auto"/>
              <w:left w:val="nil"/>
              <w:bottom w:val="nil"/>
              <w:right w:val="single" w:sz="4" w:space="0" w:color="auto"/>
            </w:tcBorders>
            <w:shd w:val="clear" w:color="auto" w:fill="auto"/>
            <w:noWrap/>
            <w:vAlign w:val="center"/>
            <w:hideMark/>
          </w:tcPr>
          <w:p w14:paraId="415DB13A" w14:textId="77777777" w:rsidR="008849A4" w:rsidRPr="00C8381E" w:rsidRDefault="008849A4" w:rsidP="00C8381E">
            <w:pPr>
              <w:jc w:val="center"/>
              <w:rPr>
                <w:color w:val="000000"/>
                <w:sz w:val="20"/>
                <w:szCs w:val="20"/>
                <w:lang w:val="en-US"/>
              </w:rPr>
            </w:pPr>
            <w:r w:rsidRPr="00C8381E">
              <w:rPr>
                <w:color w:val="000000"/>
                <w:sz w:val="20"/>
                <w:szCs w:val="20"/>
                <w:lang w:val="en-US"/>
              </w:rPr>
              <w:t>4</w:t>
            </w:r>
          </w:p>
        </w:tc>
        <w:tc>
          <w:tcPr>
            <w:tcW w:w="6379" w:type="dxa"/>
            <w:tcBorders>
              <w:top w:val="single" w:sz="8" w:space="0" w:color="auto"/>
              <w:left w:val="nil"/>
              <w:bottom w:val="nil"/>
              <w:right w:val="single" w:sz="8" w:space="0" w:color="auto"/>
            </w:tcBorders>
            <w:shd w:val="clear" w:color="auto" w:fill="auto"/>
            <w:noWrap/>
            <w:vAlign w:val="center"/>
            <w:hideMark/>
          </w:tcPr>
          <w:p w14:paraId="4264DB0E" w14:textId="77777777" w:rsidR="008849A4" w:rsidRPr="00C8381E" w:rsidRDefault="008849A4" w:rsidP="00C8381E">
            <w:pPr>
              <w:rPr>
                <w:color w:val="000000"/>
                <w:sz w:val="20"/>
                <w:szCs w:val="20"/>
                <w:lang w:val="en-US"/>
              </w:rPr>
            </w:pPr>
            <w:r w:rsidRPr="00C8381E">
              <w:rPr>
                <w:color w:val="000000"/>
                <w:sz w:val="20"/>
                <w:szCs w:val="20"/>
                <w:lang w:val="en-US"/>
              </w:rPr>
              <w:t>Potassium levels &gt; 3.9 mEq/L</w:t>
            </w:r>
          </w:p>
        </w:tc>
      </w:tr>
      <w:tr w:rsidR="008849A4" w:rsidRPr="00C8381E" w14:paraId="2D6BEDC9" w14:textId="77777777" w:rsidTr="00C8381E">
        <w:trPr>
          <w:trHeight w:val="289"/>
        </w:trPr>
        <w:tc>
          <w:tcPr>
            <w:tcW w:w="1550" w:type="dxa"/>
            <w:vMerge/>
            <w:tcBorders>
              <w:top w:val="single" w:sz="8" w:space="0" w:color="auto"/>
              <w:left w:val="single" w:sz="8" w:space="0" w:color="auto"/>
              <w:bottom w:val="single" w:sz="8" w:space="0" w:color="000000"/>
              <w:right w:val="single" w:sz="4" w:space="0" w:color="000000"/>
            </w:tcBorders>
            <w:vAlign w:val="center"/>
            <w:hideMark/>
          </w:tcPr>
          <w:p w14:paraId="25CD773A" w14:textId="77777777" w:rsidR="008849A4" w:rsidRPr="00C8381E" w:rsidRDefault="008849A4" w:rsidP="00C8381E">
            <w:pPr>
              <w:jc w:val="center"/>
              <w:rPr>
                <w:color w:val="000000"/>
                <w:sz w:val="20"/>
                <w:szCs w:val="20"/>
                <w:lang w:val="en-US"/>
              </w:rPr>
            </w:pPr>
          </w:p>
        </w:tc>
        <w:tc>
          <w:tcPr>
            <w:tcW w:w="850" w:type="dxa"/>
            <w:tcBorders>
              <w:top w:val="nil"/>
              <w:left w:val="nil"/>
              <w:bottom w:val="single" w:sz="4" w:space="0" w:color="auto"/>
              <w:right w:val="single" w:sz="4" w:space="0" w:color="auto"/>
            </w:tcBorders>
            <w:shd w:val="clear" w:color="000000" w:fill="F2F2F2"/>
            <w:noWrap/>
            <w:vAlign w:val="center"/>
            <w:hideMark/>
          </w:tcPr>
          <w:p w14:paraId="5663A3AB" w14:textId="77777777" w:rsidR="008849A4" w:rsidRPr="00C8381E" w:rsidRDefault="008849A4" w:rsidP="00C8381E">
            <w:pPr>
              <w:jc w:val="center"/>
              <w:rPr>
                <w:color w:val="000000"/>
                <w:sz w:val="20"/>
                <w:szCs w:val="20"/>
                <w:lang w:val="en-US"/>
              </w:rPr>
            </w:pPr>
            <w:r w:rsidRPr="00C8381E">
              <w:rPr>
                <w:color w:val="000000"/>
                <w:sz w:val="20"/>
                <w:szCs w:val="20"/>
                <w:lang w:val="en-US"/>
              </w:rPr>
              <w:t>3</w:t>
            </w:r>
          </w:p>
        </w:tc>
        <w:tc>
          <w:tcPr>
            <w:tcW w:w="6379" w:type="dxa"/>
            <w:tcBorders>
              <w:top w:val="nil"/>
              <w:left w:val="nil"/>
              <w:bottom w:val="single" w:sz="4" w:space="0" w:color="auto"/>
              <w:right w:val="single" w:sz="8" w:space="0" w:color="auto"/>
            </w:tcBorders>
            <w:shd w:val="clear" w:color="000000" w:fill="F2F2F2"/>
            <w:noWrap/>
            <w:vAlign w:val="center"/>
            <w:hideMark/>
          </w:tcPr>
          <w:p w14:paraId="478AA86B" w14:textId="77777777" w:rsidR="008849A4" w:rsidRPr="00C8381E" w:rsidRDefault="008849A4" w:rsidP="00C8381E">
            <w:pPr>
              <w:rPr>
                <w:color w:val="000000"/>
                <w:sz w:val="20"/>
                <w:szCs w:val="20"/>
                <w:lang w:val="en-US"/>
              </w:rPr>
            </w:pPr>
            <w:r w:rsidRPr="00C8381E">
              <w:rPr>
                <w:color w:val="000000"/>
                <w:sz w:val="20"/>
                <w:szCs w:val="20"/>
                <w:lang w:val="en-US"/>
              </w:rPr>
              <w:t>Potassium levels 3.5-3.9 mEq/L</w:t>
            </w:r>
          </w:p>
        </w:tc>
      </w:tr>
      <w:tr w:rsidR="008849A4" w:rsidRPr="00A35F6E" w14:paraId="7260A569" w14:textId="77777777" w:rsidTr="00C8381E">
        <w:trPr>
          <w:trHeight w:val="289"/>
        </w:trPr>
        <w:tc>
          <w:tcPr>
            <w:tcW w:w="1550" w:type="dxa"/>
            <w:vMerge/>
            <w:tcBorders>
              <w:top w:val="single" w:sz="8" w:space="0" w:color="auto"/>
              <w:left w:val="single" w:sz="8" w:space="0" w:color="auto"/>
              <w:bottom w:val="single" w:sz="8" w:space="0" w:color="000000"/>
              <w:right w:val="single" w:sz="4" w:space="0" w:color="000000"/>
            </w:tcBorders>
            <w:vAlign w:val="center"/>
            <w:hideMark/>
          </w:tcPr>
          <w:p w14:paraId="208DF47D" w14:textId="77777777" w:rsidR="008849A4" w:rsidRPr="00C8381E" w:rsidRDefault="008849A4" w:rsidP="00C8381E">
            <w:pPr>
              <w:jc w:val="center"/>
              <w:rPr>
                <w:color w:val="000000"/>
                <w:sz w:val="20"/>
                <w:szCs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14:paraId="00E9294B" w14:textId="77777777" w:rsidR="008849A4" w:rsidRPr="00C8381E" w:rsidRDefault="008849A4" w:rsidP="00C8381E">
            <w:pPr>
              <w:jc w:val="center"/>
              <w:rPr>
                <w:color w:val="000000"/>
                <w:sz w:val="20"/>
                <w:szCs w:val="20"/>
                <w:lang w:val="en-US"/>
              </w:rPr>
            </w:pPr>
            <w:r w:rsidRPr="00C8381E">
              <w:rPr>
                <w:color w:val="000000"/>
                <w:sz w:val="20"/>
                <w:szCs w:val="20"/>
                <w:lang w:val="en-US"/>
              </w:rPr>
              <w:t>3</w:t>
            </w:r>
          </w:p>
        </w:tc>
        <w:tc>
          <w:tcPr>
            <w:tcW w:w="6379" w:type="dxa"/>
            <w:tcBorders>
              <w:top w:val="nil"/>
              <w:left w:val="nil"/>
              <w:bottom w:val="single" w:sz="4" w:space="0" w:color="auto"/>
              <w:right w:val="single" w:sz="8" w:space="0" w:color="auto"/>
            </w:tcBorders>
            <w:shd w:val="clear" w:color="auto" w:fill="auto"/>
            <w:noWrap/>
            <w:vAlign w:val="center"/>
            <w:hideMark/>
          </w:tcPr>
          <w:p w14:paraId="0BE1D979" w14:textId="77777777" w:rsidR="008849A4" w:rsidRPr="00C8381E" w:rsidRDefault="008849A4" w:rsidP="00C8381E">
            <w:pPr>
              <w:rPr>
                <w:color w:val="000000"/>
                <w:sz w:val="20"/>
                <w:szCs w:val="20"/>
                <w:lang w:val="en-US"/>
              </w:rPr>
            </w:pPr>
            <w:r w:rsidRPr="00C8381E">
              <w:rPr>
                <w:color w:val="000000"/>
                <w:sz w:val="20"/>
                <w:szCs w:val="20"/>
                <w:lang w:val="en-US"/>
              </w:rPr>
              <w:t>No adrenal nodules at CT scanning</w:t>
            </w:r>
          </w:p>
        </w:tc>
      </w:tr>
      <w:tr w:rsidR="008849A4" w:rsidRPr="00A35F6E" w14:paraId="76C58018" w14:textId="77777777" w:rsidTr="00C8381E">
        <w:trPr>
          <w:trHeight w:val="289"/>
        </w:trPr>
        <w:tc>
          <w:tcPr>
            <w:tcW w:w="1550" w:type="dxa"/>
            <w:vMerge/>
            <w:tcBorders>
              <w:top w:val="single" w:sz="8" w:space="0" w:color="auto"/>
              <w:left w:val="single" w:sz="8" w:space="0" w:color="auto"/>
              <w:bottom w:val="single" w:sz="8" w:space="0" w:color="000000"/>
              <w:right w:val="single" w:sz="4" w:space="0" w:color="000000"/>
            </w:tcBorders>
            <w:vAlign w:val="center"/>
            <w:hideMark/>
          </w:tcPr>
          <w:p w14:paraId="00B6AA2B" w14:textId="77777777" w:rsidR="008849A4" w:rsidRPr="00C8381E" w:rsidRDefault="008849A4" w:rsidP="00C8381E">
            <w:pPr>
              <w:jc w:val="center"/>
              <w:rPr>
                <w:color w:val="000000"/>
                <w:sz w:val="20"/>
                <w:szCs w:val="20"/>
                <w:lang w:val="en-US"/>
              </w:rPr>
            </w:pPr>
          </w:p>
        </w:tc>
        <w:tc>
          <w:tcPr>
            <w:tcW w:w="850" w:type="dxa"/>
            <w:tcBorders>
              <w:top w:val="nil"/>
              <w:left w:val="nil"/>
              <w:bottom w:val="single" w:sz="4" w:space="0" w:color="auto"/>
              <w:right w:val="single" w:sz="4" w:space="0" w:color="auto"/>
            </w:tcBorders>
            <w:shd w:val="clear" w:color="000000" w:fill="F2F2F2"/>
            <w:noWrap/>
            <w:vAlign w:val="center"/>
            <w:hideMark/>
          </w:tcPr>
          <w:p w14:paraId="7AAAD69C" w14:textId="77777777" w:rsidR="008849A4" w:rsidRPr="00C8381E" w:rsidRDefault="008849A4" w:rsidP="00C8381E">
            <w:pPr>
              <w:jc w:val="center"/>
              <w:rPr>
                <w:color w:val="000000"/>
                <w:sz w:val="20"/>
                <w:szCs w:val="20"/>
                <w:lang w:val="en-US"/>
              </w:rPr>
            </w:pPr>
            <w:r w:rsidRPr="00C8381E">
              <w:rPr>
                <w:color w:val="000000"/>
                <w:sz w:val="20"/>
                <w:szCs w:val="20"/>
                <w:lang w:val="en-US"/>
              </w:rPr>
              <w:t>2</w:t>
            </w:r>
          </w:p>
        </w:tc>
        <w:tc>
          <w:tcPr>
            <w:tcW w:w="6379" w:type="dxa"/>
            <w:tcBorders>
              <w:top w:val="nil"/>
              <w:left w:val="nil"/>
              <w:bottom w:val="single" w:sz="4" w:space="0" w:color="auto"/>
              <w:right w:val="single" w:sz="8" w:space="0" w:color="auto"/>
            </w:tcBorders>
            <w:shd w:val="clear" w:color="000000" w:fill="F2F2F2"/>
            <w:noWrap/>
            <w:vAlign w:val="center"/>
            <w:hideMark/>
          </w:tcPr>
          <w:p w14:paraId="06F81836" w14:textId="77777777" w:rsidR="008849A4" w:rsidRPr="00C8381E" w:rsidRDefault="008849A4" w:rsidP="00C8381E">
            <w:pPr>
              <w:rPr>
                <w:color w:val="000000"/>
                <w:sz w:val="20"/>
                <w:szCs w:val="20"/>
                <w:lang w:val="en-US"/>
              </w:rPr>
            </w:pPr>
            <w:r w:rsidRPr="00C8381E">
              <w:rPr>
                <w:color w:val="000000"/>
                <w:sz w:val="20"/>
                <w:szCs w:val="20"/>
                <w:lang w:val="en-US"/>
              </w:rPr>
              <w:t>Aldosterone at screening &lt; 21 ng/dL</w:t>
            </w:r>
          </w:p>
        </w:tc>
      </w:tr>
      <w:tr w:rsidR="008849A4" w:rsidRPr="00A35F6E" w14:paraId="11BE2A77" w14:textId="77777777" w:rsidTr="00C8381E">
        <w:trPr>
          <w:trHeight w:val="289"/>
        </w:trPr>
        <w:tc>
          <w:tcPr>
            <w:tcW w:w="1550" w:type="dxa"/>
            <w:vMerge/>
            <w:tcBorders>
              <w:top w:val="single" w:sz="8" w:space="0" w:color="auto"/>
              <w:left w:val="single" w:sz="8" w:space="0" w:color="auto"/>
              <w:bottom w:val="single" w:sz="8" w:space="0" w:color="000000"/>
              <w:right w:val="single" w:sz="4" w:space="0" w:color="000000"/>
            </w:tcBorders>
            <w:vAlign w:val="center"/>
            <w:hideMark/>
          </w:tcPr>
          <w:p w14:paraId="11D00691" w14:textId="77777777" w:rsidR="008849A4" w:rsidRPr="00C8381E" w:rsidRDefault="008849A4" w:rsidP="00C8381E">
            <w:pPr>
              <w:jc w:val="center"/>
              <w:rPr>
                <w:color w:val="000000"/>
                <w:sz w:val="20"/>
                <w:szCs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14:paraId="7498A73D" w14:textId="77777777" w:rsidR="008849A4" w:rsidRPr="00C8381E" w:rsidRDefault="008849A4" w:rsidP="00C8381E">
            <w:pPr>
              <w:jc w:val="center"/>
              <w:rPr>
                <w:color w:val="000000"/>
                <w:sz w:val="20"/>
                <w:szCs w:val="20"/>
                <w:lang w:val="en-US"/>
              </w:rPr>
            </w:pPr>
            <w:r w:rsidRPr="00C8381E">
              <w:rPr>
                <w:color w:val="000000"/>
                <w:sz w:val="20"/>
                <w:szCs w:val="20"/>
                <w:lang w:val="en-US"/>
              </w:rPr>
              <w:t>2</w:t>
            </w:r>
          </w:p>
        </w:tc>
        <w:tc>
          <w:tcPr>
            <w:tcW w:w="6379" w:type="dxa"/>
            <w:tcBorders>
              <w:top w:val="nil"/>
              <w:left w:val="nil"/>
              <w:bottom w:val="single" w:sz="4" w:space="0" w:color="auto"/>
              <w:right w:val="single" w:sz="8" w:space="0" w:color="auto"/>
            </w:tcBorders>
            <w:shd w:val="clear" w:color="auto" w:fill="auto"/>
            <w:noWrap/>
            <w:vAlign w:val="center"/>
            <w:hideMark/>
          </w:tcPr>
          <w:p w14:paraId="1F54C2B4" w14:textId="77777777" w:rsidR="008849A4" w:rsidRPr="00C8381E" w:rsidRDefault="008849A4" w:rsidP="00C8381E">
            <w:pPr>
              <w:rPr>
                <w:color w:val="000000"/>
                <w:sz w:val="20"/>
                <w:szCs w:val="20"/>
                <w:lang w:val="en-US"/>
              </w:rPr>
            </w:pPr>
            <w:r w:rsidRPr="00C8381E">
              <w:rPr>
                <w:color w:val="000000"/>
                <w:sz w:val="20"/>
                <w:szCs w:val="20"/>
                <w:lang w:val="en-US"/>
              </w:rPr>
              <w:t>ARR at screening &lt; 62 [ng/dL]/[ng/mL/h]</w:t>
            </w:r>
          </w:p>
        </w:tc>
      </w:tr>
      <w:tr w:rsidR="008849A4" w:rsidRPr="00C8381E" w14:paraId="771DBDA6" w14:textId="77777777" w:rsidTr="00C8381E">
        <w:trPr>
          <w:trHeight w:val="289"/>
        </w:trPr>
        <w:tc>
          <w:tcPr>
            <w:tcW w:w="1550" w:type="dxa"/>
            <w:vMerge/>
            <w:tcBorders>
              <w:top w:val="single" w:sz="8" w:space="0" w:color="auto"/>
              <w:left w:val="single" w:sz="8" w:space="0" w:color="auto"/>
              <w:bottom w:val="single" w:sz="8" w:space="0" w:color="000000"/>
              <w:right w:val="single" w:sz="4" w:space="0" w:color="000000"/>
            </w:tcBorders>
            <w:vAlign w:val="center"/>
            <w:hideMark/>
          </w:tcPr>
          <w:p w14:paraId="476FDE1D" w14:textId="77777777" w:rsidR="008849A4" w:rsidRPr="00C8381E" w:rsidRDefault="008849A4" w:rsidP="00C8381E">
            <w:pPr>
              <w:jc w:val="center"/>
              <w:rPr>
                <w:color w:val="000000"/>
                <w:sz w:val="20"/>
                <w:szCs w:val="20"/>
                <w:lang w:val="en-US"/>
              </w:rPr>
            </w:pPr>
          </w:p>
        </w:tc>
        <w:tc>
          <w:tcPr>
            <w:tcW w:w="850" w:type="dxa"/>
            <w:tcBorders>
              <w:top w:val="nil"/>
              <w:left w:val="nil"/>
              <w:bottom w:val="single" w:sz="8" w:space="0" w:color="auto"/>
              <w:right w:val="single" w:sz="4" w:space="0" w:color="auto"/>
            </w:tcBorders>
            <w:shd w:val="clear" w:color="000000" w:fill="F2F2F2"/>
            <w:noWrap/>
            <w:vAlign w:val="center"/>
            <w:hideMark/>
          </w:tcPr>
          <w:p w14:paraId="29A8D1EF" w14:textId="77777777" w:rsidR="008849A4" w:rsidRPr="00C8381E" w:rsidRDefault="008849A4" w:rsidP="00C8381E">
            <w:pPr>
              <w:jc w:val="center"/>
              <w:rPr>
                <w:color w:val="000000"/>
                <w:sz w:val="20"/>
                <w:szCs w:val="20"/>
                <w:lang w:val="en-US"/>
              </w:rPr>
            </w:pPr>
            <w:r w:rsidRPr="00C8381E">
              <w:rPr>
                <w:color w:val="000000"/>
                <w:sz w:val="20"/>
                <w:szCs w:val="20"/>
                <w:lang w:val="en-US"/>
              </w:rPr>
              <w:t>1</w:t>
            </w:r>
          </w:p>
        </w:tc>
        <w:tc>
          <w:tcPr>
            <w:tcW w:w="6379" w:type="dxa"/>
            <w:tcBorders>
              <w:top w:val="nil"/>
              <w:left w:val="nil"/>
              <w:bottom w:val="single" w:sz="8" w:space="0" w:color="auto"/>
              <w:right w:val="single" w:sz="8" w:space="0" w:color="auto"/>
            </w:tcBorders>
            <w:shd w:val="clear" w:color="000000" w:fill="F2F2F2"/>
            <w:noWrap/>
            <w:vAlign w:val="center"/>
            <w:hideMark/>
          </w:tcPr>
          <w:p w14:paraId="4C8A77AB" w14:textId="77777777" w:rsidR="008849A4" w:rsidRPr="00C8381E" w:rsidRDefault="008849A4" w:rsidP="00C8381E">
            <w:pPr>
              <w:rPr>
                <w:color w:val="000000"/>
                <w:sz w:val="20"/>
                <w:szCs w:val="20"/>
                <w:lang w:val="en-US"/>
              </w:rPr>
            </w:pPr>
            <w:r w:rsidRPr="00C8381E">
              <w:rPr>
                <w:color w:val="000000"/>
                <w:sz w:val="20"/>
                <w:szCs w:val="20"/>
                <w:lang w:val="en-US"/>
              </w:rPr>
              <w:t>Female sex</w:t>
            </w:r>
          </w:p>
        </w:tc>
      </w:tr>
      <w:tr w:rsidR="008849A4" w:rsidRPr="00C8381E" w14:paraId="14333B7E" w14:textId="77777777" w:rsidTr="00C8381E">
        <w:trPr>
          <w:trHeight w:val="289"/>
        </w:trPr>
        <w:tc>
          <w:tcPr>
            <w:tcW w:w="8779" w:type="dxa"/>
            <w:gridSpan w:val="3"/>
            <w:tcBorders>
              <w:top w:val="nil"/>
              <w:left w:val="single" w:sz="8" w:space="0" w:color="auto"/>
              <w:bottom w:val="single" w:sz="8" w:space="0" w:color="auto"/>
              <w:right w:val="single" w:sz="8" w:space="0" w:color="000000"/>
            </w:tcBorders>
            <w:shd w:val="clear" w:color="000000" w:fill="A6A6A6"/>
            <w:noWrap/>
            <w:vAlign w:val="center"/>
            <w:hideMark/>
          </w:tcPr>
          <w:p w14:paraId="4B018409" w14:textId="565502EC" w:rsidR="008849A4" w:rsidRPr="00C8381E" w:rsidRDefault="008849A4" w:rsidP="00C8381E">
            <w:pPr>
              <w:rPr>
                <w:b/>
                <w:bCs/>
                <w:color w:val="000000"/>
                <w:sz w:val="20"/>
                <w:szCs w:val="20"/>
                <w:lang w:val="en-US"/>
              </w:rPr>
            </w:pPr>
            <w:r w:rsidRPr="00C8381E">
              <w:rPr>
                <w:b/>
                <w:bCs/>
                <w:color w:val="000000"/>
                <w:sz w:val="20"/>
                <w:szCs w:val="20"/>
                <w:lang w:val="en-US"/>
              </w:rPr>
              <w:t>Leung score</w:t>
            </w:r>
            <w:r w:rsidR="00C53ED7" w:rsidRPr="00C8381E">
              <w:rPr>
                <w:b/>
                <w:sz w:val="20"/>
                <w:szCs w:val="20"/>
                <w:lang w:val="en-US"/>
              </w:rPr>
              <w:t xml:space="preserve"> [</w:t>
            </w:r>
            <w:r w:rsidR="00877D1D">
              <w:rPr>
                <w:b/>
                <w:sz w:val="20"/>
                <w:szCs w:val="20"/>
                <w:lang w:val="en-US"/>
              </w:rPr>
              <w:t>14</w:t>
            </w:r>
            <w:r w:rsidR="00C53ED7" w:rsidRPr="00C8381E">
              <w:rPr>
                <w:b/>
                <w:sz w:val="20"/>
                <w:szCs w:val="20"/>
                <w:lang w:val="en-US"/>
              </w:rPr>
              <w:t>]</w:t>
            </w:r>
          </w:p>
        </w:tc>
      </w:tr>
      <w:tr w:rsidR="008849A4" w:rsidRPr="00C8381E" w14:paraId="4F3854EC" w14:textId="77777777" w:rsidTr="00C8381E">
        <w:trPr>
          <w:trHeight w:val="289"/>
        </w:trPr>
        <w:tc>
          <w:tcPr>
            <w:tcW w:w="1550" w:type="dxa"/>
            <w:vMerge w:val="restart"/>
            <w:tcBorders>
              <w:top w:val="nil"/>
              <w:left w:val="single" w:sz="8" w:space="0" w:color="auto"/>
              <w:bottom w:val="single" w:sz="8" w:space="0" w:color="000000"/>
              <w:right w:val="single" w:sz="4" w:space="0" w:color="auto"/>
            </w:tcBorders>
            <w:shd w:val="clear" w:color="000000" w:fill="D9D9D9"/>
            <w:vAlign w:val="center"/>
            <w:hideMark/>
          </w:tcPr>
          <w:p w14:paraId="0C7E0BAC" w14:textId="77777777" w:rsidR="008849A4" w:rsidRPr="00C8381E" w:rsidRDefault="008849A4" w:rsidP="00C8381E">
            <w:pPr>
              <w:jc w:val="center"/>
              <w:rPr>
                <w:color w:val="000000"/>
                <w:sz w:val="20"/>
                <w:szCs w:val="20"/>
                <w:lang w:val="en-US"/>
              </w:rPr>
            </w:pPr>
            <w:r w:rsidRPr="00C8381E">
              <w:rPr>
                <w:color w:val="000000"/>
                <w:sz w:val="20"/>
                <w:szCs w:val="20"/>
                <w:lang w:val="en-US"/>
              </w:rPr>
              <w:t>Cut-off &gt;/= 2     [= UPA]</w:t>
            </w:r>
          </w:p>
        </w:tc>
        <w:tc>
          <w:tcPr>
            <w:tcW w:w="850" w:type="dxa"/>
            <w:tcBorders>
              <w:top w:val="nil"/>
              <w:left w:val="nil"/>
              <w:bottom w:val="single" w:sz="4" w:space="0" w:color="auto"/>
              <w:right w:val="single" w:sz="4" w:space="0" w:color="auto"/>
            </w:tcBorders>
            <w:shd w:val="clear" w:color="auto" w:fill="auto"/>
            <w:noWrap/>
            <w:vAlign w:val="center"/>
            <w:hideMark/>
          </w:tcPr>
          <w:p w14:paraId="5A92701E" w14:textId="77777777" w:rsidR="008849A4" w:rsidRPr="00C8381E" w:rsidRDefault="008849A4" w:rsidP="00C8381E">
            <w:pPr>
              <w:jc w:val="center"/>
              <w:rPr>
                <w:color w:val="000000"/>
                <w:sz w:val="20"/>
                <w:szCs w:val="20"/>
                <w:lang w:val="en-US"/>
              </w:rPr>
            </w:pPr>
            <w:r w:rsidRPr="00C8381E">
              <w:rPr>
                <w:color w:val="000000"/>
                <w:sz w:val="20"/>
                <w:szCs w:val="20"/>
                <w:lang w:val="en-US"/>
              </w:rPr>
              <w:t>1</w:t>
            </w:r>
          </w:p>
        </w:tc>
        <w:tc>
          <w:tcPr>
            <w:tcW w:w="6379" w:type="dxa"/>
            <w:tcBorders>
              <w:top w:val="nil"/>
              <w:left w:val="nil"/>
              <w:bottom w:val="single" w:sz="4" w:space="0" w:color="auto"/>
              <w:right w:val="single" w:sz="8" w:space="0" w:color="auto"/>
            </w:tcBorders>
            <w:shd w:val="clear" w:color="auto" w:fill="auto"/>
            <w:noWrap/>
            <w:vAlign w:val="center"/>
            <w:hideMark/>
          </w:tcPr>
          <w:p w14:paraId="3EE4164D" w14:textId="77777777" w:rsidR="008849A4" w:rsidRPr="00C8381E" w:rsidRDefault="008849A4" w:rsidP="00C8381E">
            <w:pPr>
              <w:rPr>
                <w:color w:val="000000"/>
                <w:sz w:val="20"/>
                <w:szCs w:val="20"/>
                <w:lang w:val="en-US"/>
              </w:rPr>
            </w:pPr>
            <w:r w:rsidRPr="00C8381E">
              <w:rPr>
                <w:color w:val="000000"/>
                <w:sz w:val="20"/>
                <w:szCs w:val="20"/>
                <w:lang w:val="en-US"/>
              </w:rPr>
              <w:t>Age &lt; 50 years</w:t>
            </w:r>
          </w:p>
        </w:tc>
      </w:tr>
      <w:tr w:rsidR="008849A4" w:rsidRPr="00C8381E" w14:paraId="2AA6260B" w14:textId="77777777" w:rsidTr="00C8381E">
        <w:trPr>
          <w:trHeight w:val="289"/>
        </w:trPr>
        <w:tc>
          <w:tcPr>
            <w:tcW w:w="1550" w:type="dxa"/>
            <w:vMerge/>
            <w:tcBorders>
              <w:top w:val="nil"/>
              <w:left w:val="single" w:sz="8" w:space="0" w:color="auto"/>
              <w:bottom w:val="single" w:sz="8" w:space="0" w:color="000000"/>
              <w:right w:val="single" w:sz="4" w:space="0" w:color="auto"/>
            </w:tcBorders>
            <w:vAlign w:val="center"/>
            <w:hideMark/>
          </w:tcPr>
          <w:p w14:paraId="3F1ED07B" w14:textId="77777777" w:rsidR="008849A4" w:rsidRPr="00C8381E" w:rsidRDefault="008849A4" w:rsidP="00C8381E">
            <w:pPr>
              <w:jc w:val="center"/>
              <w:rPr>
                <w:color w:val="000000"/>
                <w:sz w:val="20"/>
                <w:szCs w:val="20"/>
                <w:lang w:val="en-US"/>
              </w:rPr>
            </w:pPr>
          </w:p>
        </w:tc>
        <w:tc>
          <w:tcPr>
            <w:tcW w:w="850" w:type="dxa"/>
            <w:tcBorders>
              <w:top w:val="nil"/>
              <w:left w:val="nil"/>
              <w:bottom w:val="single" w:sz="4" w:space="0" w:color="auto"/>
              <w:right w:val="single" w:sz="4" w:space="0" w:color="auto"/>
            </w:tcBorders>
            <w:shd w:val="clear" w:color="000000" w:fill="F2F2F2"/>
            <w:noWrap/>
            <w:vAlign w:val="center"/>
            <w:hideMark/>
          </w:tcPr>
          <w:p w14:paraId="1C30C3FF" w14:textId="77777777" w:rsidR="008849A4" w:rsidRPr="00C8381E" w:rsidRDefault="008849A4" w:rsidP="00C8381E">
            <w:pPr>
              <w:jc w:val="center"/>
              <w:rPr>
                <w:color w:val="000000"/>
                <w:sz w:val="20"/>
                <w:szCs w:val="20"/>
                <w:lang w:val="en-US"/>
              </w:rPr>
            </w:pPr>
            <w:r w:rsidRPr="00C8381E">
              <w:rPr>
                <w:color w:val="000000"/>
                <w:sz w:val="20"/>
                <w:szCs w:val="20"/>
                <w:lang w:val="en-US"/>
              </w:rPr>
              <w:t>1</w:t>
            </w:r>
          </w:p>
        </w:tc>
        <w:tc>
          <w:tcPr>
            <w:tcW w:w="6379" w:type="dxa"/>
            <w:tcBorders>
              <w:top w:val="nil"/>
              <w:left w:val="nil"/>
              <w:bottom w:val="single" w:sz="4" w:space="0" w:color="auto"/>
              <w:right w:val="single" w:sz="8" w:space="0" w:color="auto"/>
            </w:tcBorders>
            <w:shd w:val="clear" w:color="000000" w:fill="F2F2F2"/>
            <w:noWrap/>
            <w:vAlign w:val="center"/>
            <w:hideMark/>
          </w:tcPr>
          <w:p w14:paraId="15DBC1CA" w14:textId="77777777" w:rsidR="008849A4" w:rsidRPr="00C8381E" w:rsidRDefault="008849A4" w:rsidP="00C8381E">
            <w:pPr>
              <w:rPr>
                <w:color w:val="000000"/>
                <w:sz w:val="20"/>
                <w:szCs w:val="20"/>
                <w:lang w:val="en-US"/>
              </w:rPr>
            </w:pPr>
            <w:r w:rsidRPr="00C8381E">
              <w:rPr>
                <w:color w:val="000000"/>
                <w:sz w:val="20"/>
                <w:szCs w:val="20"/>
                <w:lang w:val="en-US"/>
              </w:rPr>
              <w:t>PRA pre saline infusion test &lt;/= 0.26 ng/mL/h</w:t>
            </w:r>
          </w:p>
        </w:tc>
      </w:tr>
      <w:tr w:rsidR="008849A4" w:rsidRPr="00A35F6E" w14:paraId="25ED6303" w14:textId="77777777" w:rsidTr="00C8381E">
        <w:trPr>
          <w:trHeight w:val="289"/>
        </w:trPr>
        <w:tc>
          <w:tcPr>
            <w:tcW w:w="1550" w:type="dxa"/>
            <w:vMerge/>
            <w:tcBorders>
              <w:top w:val="nil"/>
              <w:left w:val="single" w:sz="8" w:space="0" w:color="auto"/>
              <w:bottom w:val="single" w:sz="8" w:space="0" w:color="000000"/>
              <w:right w:val="single" w:sz="4" w:space="0" w:color="auto"/>
            </w:tcBorders>
            <w:vAlign w:val="center"/>
            <w:hideMark/>
          </w:tcPr>
          <w:p w14:paraId="430E4EA9" w14:textId="77777777" w:rsidR="008849A4" w:rsidRPr="00C8381E" w:rsidRDefault="008849A4" w:rsidP="00C8381E">
            <w:pPr>
              <w:jc w:val="center"/>
              <w:rPr>
                <w:color w:val="000000"/>
                <w:sz w:val="20"/>
                <w:szCs w:val="20"/>
                <w:lang w:val="en-US"/>
              </w:rPr>
            </w:pPr>
          </w:p>
        </w:tc>
        <w:tc>
          <w:tcPr>
            <w:tcW w:w="850" w:type="dxa"/>
            <w:tcBorders>
              <w:top w:val="nil"/>
              <w:left w:val="nil"/>
              <w:bottom w:val="single" w:sz="8" w:space="0" w:color="auto"/>
              <w:right w:val="single" w:sz="4" w:space="0" w:color="auto"/>
            </w:tcBorders>
            <w:shd w:val="clear" w:color="auto" w:fill="auto"/>
            <w:noWrap/>
            <w:vAlign w:val="center"/>
            <w:hideMark/>
          </w:tcPr>
          <w:p w14:paraId="16EC7AFF" w14:textId="77777777" w:rsidR="008849A4" w:rsidRPr="00C8381E" w:rsidRDefault="008849A4" w:rsidP="00C8381E">
            <w:pPr>
              <w:jc w:val="center"/>
              <w:rPr>
                <w:color w:val="000000"/>
                <w:sz w:val="20"/>
                <w:szCs w:val="20"/>
                <w:lang w:val="en-US"/>
              </w:rPr>
            </w:pPr>
            <w:r w:rsidRPr="00C8381E">
              <w:rPr>
                <w:color w:val="000000"/>
                <w:sz w:val="20"/>
                <w:szCs w:val="20"/>
                <w:lang w:val="en-US"/>
              </w:rPr>
              <w:t>1</w:t>
            </w:r>
          </w:p>
        </w:tc>
        <w:tc>
          <w:tcPr>
            <w:tcW w:w="6379" w:type="dxa"/>
            <w:tcBorders>
              <w:top w:val="nil"/>
              <w:left w:val="nil"/>
              <w:bottom w:val="single" w:sz="8" w:space="0" w:color="auto"/>
              <w:right w:val="single" w:sz="8" w:space="0" w:color="auto"/>
            </w:tcBorders>
            <w:shd w:val="clear" w:color="auto" w:fill="auto"/>
            <w:noWrap/>
            <w:vAlign w:val="center"/>
            <w:hideMark/>
          </w:tcPr>
          <w:p w14:paraId="093734B3" w14:textId="77777777" w:rsidR="008849A4" w:rsidRPr="00C8381E" w:rsidRDefault="008849A4" w:rsidP="00C8381E">
            <w:pPr>
              <w:rPr>
                <w:color w:val="000000"/>
                <w:sz w:val="20"/>
                <w:szCs w:val="20"/>
                <w:lang w:val="en-US"/>
              </w:rPr>
            </w:pPr>
            <w:r w:rsidRPr="00C8381E">
              <w:rPr>
                <w:color w:val="000000"/>
                <w:sz w:val="20"/>
                <w:szCs w:val="20"/>
                <w:lang w:val="en-US"/>
              </w:rPr>
              <w:t>Aldosterone post saline infusion test &gt;/= 15.3 ng/dL</w:t>
            </w:r>
          </w:p>
        </w:tc>
      </w:tr>
    </w:tbl>
    <w:p w14:paraId="1EFC3578" w14:textId="77777777" w:rsidR="008849A4" w:rsidRDefault="008849A4" w:rsidP="008849A4">
      <w:pPr>
        <w:rPr>
          <w:lang w:val="en-US"/>
        </w:rPr>
      </w:pPr>
    </w:p>
    <w:p w14:paraId="4C9C0C18" w14:textId="77777777" w:rsidR="008849A4" w:rsidRPr="003543BA" w:rsidRDefault="008849A4" w:rsidP="008849A4">
      <w:pPr>
        <w:rPr>
          <w:lang w:val="en-US"/>
        </w:rPr>
      </w:pPr>
      <w:r w:rsidRPr="003543BA">
        <w:rPr>
          <w:lang w:val="en-US"/>
        </w:rPr>
        <w:t>UPA, Unilateral Primary Aldosteronism; BPA, Bilateral Primary Aldosteronism; eGFR, estimated Glomerul</w:t>
      </w:r>
      <w:r>
        <w:rPr>
          <w:lang w:val="en-US"/>
        </w:rPr>
        <w:t>ar</w:t>
      </w:r>
      <w:r w:rsidRPr="003543BA">
        <w:rPr>
          <w:lang w:val="en-US"/>
        </w:rPr>
        <w:t xml:space="preserve"> Filtration Rate; ARR, Aldosterone-to-Renin Ratio; CT, Computed Tomo</w:t>
      </w:r>
      <w:r>
        <w:rPr>
          <w:lang w:val="en-US"/>
        </w:rPr>
        <w:t>graphy; PRA, Plasma Renin Activity.</w:t>
      </w:r>
    </w:p>
    <w:p w14:paraId="6BD906DA" w14:textId="77777777" w:rsidR="008849A4" w:rsidRDefault="008849A4" w:rsidP="00027C4A">
      <w:pPr>
        <w:pStyle w:val="Corpo"/>
        <w:tabs>
          <w:tab w:val="left" w:pos="5529"/>
        </w:tabs>
        <w:jc w:val="both"/>
        <w:outlineLvl w:val="0"/>
        <w:rPr>
          <w:rFonts w:hAnsi="Times New Roman" w:cs="Times New Roman"/>
        </w:rPr>
      </w:pPr>
    </w:p>
    <w:p w14:paraId="470F115D" w14:textId="0CDAD3C7" w:rsidR="001652B1" w:rsidRDefault="001652B1" w:rsidP="008874FD">
      <w:pPr>
        <w:pStyle w:val="Corpo"/>
        <w:tabs>
          <w:tab w:val="left" w:pos="5529"/>
        </w:tabs>
        <w:spacing w:line="480" w:lineRule="auto"/>
        <w:jc w:val="both"/>
        <w:outlineLvl w:val="0"/>
        <w:rPr>
          <w:rFonts w:hAnsi="Times New Roman" w:cs="Times New Roman"/>
          <w:b/>
          <w:bCs/>
          <w:i/>
          <w:iCs/>
        </w:rPr>
      </w:pPr>
    </w:p>
    <w:sectPr w:rsidR="001652B1" w:rsidSect="00EC654A">
      <w:pgSz w:w="11900" w:h="16840"/>
      <w:pgMar w:top="1416" w:right="1410" w:bottom="851" w:left="993"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7F110" w14:textId="77777777" w:rsidR="003F1E8B" w:rsidRDefault="003F1E8B" w:rsidP="00DB7F52">
      <w:r>
        <w:separator/>
      </w:r>
    </w:p>
  </w:endnote>
  <w:endnote w:type="continuationSeparator" w:id="0">
    <w:p w14:paraId="0E3DD217" w14:textId="77777777" w:rsidR="003F1E8B" w:rsidRDefault="003F1E8B" w:rsidP="00DB7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E8FE9" w14:textId="77777777" w:rsidR="005549E0" w:rsidRDefault="005549E0" w:rsidP="008A66A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4903CDF6" w14:textId="77777777" w:rsidR="005549E0" w:rsidRDefault="005549E0">
    <w:pPr>
      <w:pStyle w:val="Pidipagina"/>
    </w:pPr>
  </w:p>
  <w:p w14:paraId="32013AEC" w14:textId="77777777" w:rsidR="005549E0" w:rsidRDefault="005549E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AADDB" w14:textId="14F38EA5" w:rsidR="005549E0" w:rsidRDefault="005549E0" w:rsidP="008A66A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583AC8">
      <w:rPr>
        <w:rStyle w:val="Numeropagina"/>
        <w:noProof/>
      </w:rPr>
      <w:t>9</w:t>
    </w:r>
    <w:r>
      <w:rPr>
        <w:rStyle w:val="Numeropagina"/>
      </w:rPr>
      <w:fldChar w:fldCharType="end"/>
    </w:r>
  </w:p>
  <w:p w14:paraId="4D2C61A1" w14:textId="77777777" w:rsidR="005549E0" w:rsidRDefault="005549E0">
    <w:pPr>
      <w:pStyle w:val="Pidipagina"/>
    </w:pPr>
  </w:p>
  <w:p w14:paraId="3AAA4ABC" w14:textId="77777777" w:rsidR="005549E0" w:rsidRDefault="005549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13481" w14:textId="77777777" w:rsidR="003F1E8B" w:rsidRDefault="003F1E8B" w:rsidP="00DB7F52">
      <w:r>
        <w:separator/>
      </w:r>
    </w:p>
  </w:footnote>
  <w:footnote w:type="continuationSeparator" w:id="0">
    <w:p w14:paraId="0B989B97" w14:textId="77777777" w:rsidR="003F1E8B" w:rsidRDefault="003F1E8B" w:rsidP="00DB7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04A1C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115D5"/>
    <w:multiLevelType w:val="hybridMultilevel"/>
    <w:tmpl w:val="DEC8409E"/>
    <w:lvl w:ilvl="0" w:tplc="BD305ED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45D55"/>
    <w:multiLevelType w:val="hybridMultilevel"/>
    <w:tmpl w:val="A8A41B4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0F9757C1"/>
    <w:multiLevelType w:val="multilevel"/>
    <w:tmpl w:val="BA20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25C9F"/>
    <w:multiLevelType w:val="hybridMultilevel"/>
    <w:tmpl w:val="11E2884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14983A58"/>
    <w:multiLevelType w:val="hybridMultilevel"/>
    <w:tmpl w:val="6268A3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DD7235"/>
    <w:multiLevelType w:val="hybridMultilevel"/>
    <w:tmpl w:val="689A7136"/>
    <w:lvl w:ilvl="0" w:tplc="E7240BF0">
      <w:start w:val="3"/>
      <w:numFmt w:val="bullet"/>
      <w:lvlText w:val="-"/>
      <w:lvlJc w:val="left"/>
      <w:pPr>
        <w:ind w:left="720" w:hanging="360"/>
      </w:pPr>
      <w:rPr>
        <w:rFonts w:ascii="Cambria" w:eastAsia="Times New Roman" w:hAnsi="Cambria" w:cs="Times New Roman"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433F7F"/>
    <w:multiLevelType w:val="hybridMultilevel"/>
    <w:tmpl w:val="2FFC35A0"/>
    <w:lvl w:ilvl="0" w:tplc="56CA04D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2551E36"/>
    <w:multiLevelType w:val="hybridMultilevel"/>
    <w:tmpl w:val="6E342E9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3A8F33AB"/>
    <w:multiLevelType w:val="hybridMultilevel"/>
    <w:tmpl w:val="6750C5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5BD3713"/>
    <w:multiLevelType w:val="hybridMultilevel"/>
    <w:tmpl w:val="3AE0308C"/>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EC366E"/>
    <w:multiLevelType w:val="hybridMultilevel"/>
    <w:tmpl w:val="C8804A08"/>
    <w:lvl w:ilvl="0" w:tplc="19AAE03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E1439F"/>
    <w:multiLevelType w:val="hybridMultilevel"/>
    <w:tmpl w:val="E750714A"/>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F1530E"/>
    <w:multiLevelType w:val="hybridMultilevel"/>
    <w:tmpl w:val="BD7CEA0A"/>
    <w:lvl w:ilvl="0" w:tplc="6B145F20">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4D6F17"/>
    <w:multiLevelType w:val="hybridMultilevel"/>
    <w:tmpl w:val="2D48B282"/>
    <w:lvl w:ilvl="0" w:tplc="C44C24AC">
      <w:start w:val="3"/>
      <w:numFmt w:val="bullet"/>
      <w:lvlText w:val="-"/>
      <w:lvlJc w:val="left"/>
      <w:pPr>
        <w:ind w:left="720" w:hanging="360"/>
      </w:pPr>
      <w:rPr>
        <w:rFonts w:ascii="Cambria" w:eastAsia="Times New Roman" w:hAnsi="Cambria" w:cs="Times New Roman"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0387057"/>
    <w:multiLevelType w:val="hybridMultilevel"/>
    <w:tmpl w:val="B31A7CEC"/>
    <w:lvl w:ilvl="0" w:tplc="CCEE4A6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A1341"/>
    <w:multiLevelType w:val="hybridMultilevel"/>
    <w:tmpl w:val="FC8E6D34"/>
    <w:lvl w:ilvl="0" w:tplc="D5325D76">
      <w:start w:val="90"/>
      <w:numFmt w:val="bullet"/>
      <w:lvlText w:val=""/>
      <w:lvlJc w:val="left"/>
      <w:pPr>
        <w:ind w:left="720" w:hanging="360"/>
      </w:pPr>
      <w:rPr>
        <w:rFonts w:ascii="Symbol" w:eastAsia="Arial Unicode MS"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3932B46"/>
    <w:multiLevelType w:val="hybridMultilevel"/>
    <w:tmpl w:val="CF22C8B0"/>
    <w:lvl w:ilvl="0" w:tplc="5178F732">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758F49C3"/>
    <w:multiLevelType w:val="multilevel"/>
    <w:tmpl w:val="E1FE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6540E2"/>
    <w:multiLevelType w:val="hybridMultilevel"/>
    <w:tmpl w:val="CF6AAB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975527B"/>
    <w:multiLevelType w:val="multilevel"/>
    <w:tmpl w:val="01FE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
  </w:num>
  <w:num w:numId="3">
    <w:abstractNumId w:val="18"/>
  </w:num>
  <w:num w:numId="4">
    <w:abstractNumId w:val="0"/>
  </w:num>
  <w:num w:numId="5">
    <w:abstractNumId w:val="8"/>
  </w:num>
  <w:num w:numId="6">
    <w:abstractNumId w:val="21"/>
  </w:num>
  <w:num w:numId="7">
    <w:abstractNumId w:val="4"/>
  </w:num>
  <w:num w:numId="8">
    <w:abstractNumId w:val="7"/>
  </w:num>
  <w:num w:numId="9">
    <w:abstractNumId w:val="15"/>
  </w:num>
  <w:num w:numId="10">
    <w:abstractNumId w:val="1"/>
  </w:num>
  <w:num w:numId="11">
    <w:abstractNumId w:val="11"/>
  </w:num>
  <w:num w:numId="12">
    <w:abstractNumId w:val="2"/>
  </w:num>
  <w:num w:numId="13">
    <w:abstractNumId w:val="5"/>
  </w:num>
  <w:num w:numId="14">
    <w:abstractNumId w:val="14"/>
  </w:num>
  <w:num w:numId="15">
    <w:abstractNumId w:val="16"/>
  </w:num>
  <w:num w:numId="16">
    <w:abstractNumId w:val="9"/>
  </w:num>
  <w:num w:numId="17">
    <w:abstractNumId w:val="12"/>
  </w:num>
  <w:num w:numId="18">
    <w:abstractNumId w:val="13"/>
  </w:num>
  <w:num w:numId="19">
    <w:abstractNumId w:val="17"/>
  </w:num>
  <w:num w:numId="20">
    <w:abstractNumId w:val="6"/>
  </w:num>
  <w:num w:numId="21">
    <w:abstractNumId w:val="2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442"/>
    <w:rsid w:val="0000009F"/>
    <w:rsid w:val="00000DC1"/>
    <w:rsid w:val="000016B7"/>
    <w:rsid w:val="00001A97"/>
    <w:rsid w:val="00001C3F"/>
    <w:rsid w:val="000028C0"/>
    <w:rsid w:val="00002AAB"/>
    <w:rsid w:val="000030EC"/>
    <w:rsid w:val="00003FAA"/>
    <w:rsid w:val="00004763"/>
    <w:rsid w:val="000051DE"/>
    <w:rsid w:val="000058FB"/>
    <w:rsid w:val="0000662B"/>
    <w:rsid w:val="00006776"/>
    <w:rsid w:val="00006A0C"/>
    <w:rsid w:val="00007C68"/>
    <w:rsid w:val="00010612"/>
    <w:rsid w:val="0001072C"/>
    <w:rsid w:val="000114BB"/>
    <w:rsid w:val="00011736"/>
    <w:rsid w:val="00011793"/>
    <w:rsid w:val="0001279B"/>
    <w:rsid w:val="00013006"/>
    <w:rsid w:val="00013041"/>
    <w:rsid w:val="00013303"/>
    <w:rsid w:val="00014C20"/>
    <w:rsid w:val="000150DE"/>
    <w:rsid w:val="000152FB"/>
    <w:rsid w:val="0001536A"/>
    <w:rsid w:val="000153D9"/>
    <w:rsid w:val="00015853"/>
    <w:rsid w:val="00015A4A"/>
    <w:rsid w:val="00015A72"/>
    <w:rsid w:val="00016D5E"/>
    <w:rsid w:val="000173B4"/>
    <w:rsid w:val="00017DA1"/>
    <w:rsid w:val="00017E54"/>
    <w:rsid w:val="00020ECD"/>
    <w:rsid w:val="000225F2"/>
    <w:rsid w:val="00022A77"/>
    <w:rsid w:val="00022C4E"/>
    <w:rsid w:val="00023335"/>
    <w:rsid w:val="000235DD"/>
    <w:rsid w:val="00024038"/>
    <w:rsid w:val="000249F9"/>
    <w:rsid w:val="00024CB5"/>
    <w:rsid w:val="00024D8E"/>
    <w:rsid w:val="0002553F"/>
    <w:rsid w:val="000259F6"/>
    <w:rsid w:val="00025D54"/>
    <w:rsid w:val="000260FA"/>
    <w:rsid w:val="0002650B"/>
    <w:rsid w:val="00026B1D"/>
    <w:rsid w:val="00026C8E"/>
    <w:rsid w:val="00027C4A"/>
    <w:rsid w:val="000307F7"/>
    <w:rsid w:val="000308AD"/>
    <w:rsid w:val="000310F8"/>
    <w:rsid w:val="00031D2E"/>
    <w:rsid w:val="00032A50"/>
    <w:rsid w:val="00032F60"/>
    <w:rsid w:val="000330B1"/>
    <w:rsid w:val="000332DC"/>
    <w:rsid w:val="00033444"/>
    <w:rsid w:val="00033BCB"/>
    <w:rsid w:val="00033C4A"/>
    <w:rsid w:val="00034027"/>
    <w:rsid w:val="000343F2"/>
    <w:rsid w:val="000347D2"/>
    <w:rsid w:val="00035227"/>
    <w:rsid w:val="000358F8"/>
    <w:rsid w:val="00036426"/>
    <w:rsid w:val="00036C4E"/>
    <w:rsid w:val="00036C95"/>
    <w:rsid w:val="0003712F"/>
    <w:rsid w:val="000372AC"/>
    <w:rsid w:val="00037650"/>
    <w:rsid w:val="000404B4"/>
    <w:rsid w:val="000406E0"/>
    <w:rsid w:val="00040B55"/>
    <w:rsid w:val="00041084"/>
    <w:rsid w:val="00041561"/>
    <w:rsid w:val="0004173F"/>
    <w:rsid w:val="00041D36"/>
    <w:rsid w:val="00042230"/>
    <w:rsid w:val="00043892"/>
    <w:rsid w:val="00043CC3"/>
    <w:rsid w:val="00043F95"/>
    <w:rsid w:val="00044920"/>
    <w:rsid w:val="00044CBB"/>
    <w:rsid w:val="00044EE7"/>
    <w:rsid w:val="00045068"/>
    <w:rsid w:val="000465C8"/>
    <w:rsid w:val="00046605"/>
    <w:rsid w:val="00046B62"/>
    <w:rsid w:val="00046EEC"/>
    <w:rsid w:val="00047989"/>
    <w:rsid w:val="000501BF"/>
    <w:rsid w:val="00050300"/>
    <w:rsid w:val="000504DA"/>
    <w:rsid w:val="00050C46"/>
    <w:rsid w:val="00050CED"/>
    <w:rsid w:val="000518D2"/>
    <w:rsid w:val="00051CCE"/>
    <w:rsid w:val="00051D9E"/>
    <w:rsid w:val="00051F7B"/>
    <w:rsid w:val="00051FF7"/>
    <w:rsid w:val="0005247C"/>
    <w:rsid w:val="00053B7B"/>
    <w:rsid w:val="00053BDE"/>
    <w:rsid w:val="0005409E"/>
    <w:rsid w:val="000548DE"/>
    <w:rsid w:val="00054BF8"/>
    <w:rsid w:val="000555FD"/>
    <w:rsid w:val="00055BBF"/>
    <w:rsid w:val="000562F8"/>
    <w:rsid w:val="00056505"/>
    <w:rsid w:val="000565AE"/>
    <w:rsid w:val="00056631"/>
    <w:rsid w:val="00056897"/>
    <w:rsid w:val="000569C6"/>
    <w:rsid w:val="00056D76"/>
    <w:rsid w:val="00056EB7"/>
    <w:rsid w:val="00056F85"/>
    <w:rsid w:val="0005779C"/>
    <w:rsid w:val="00057B4B"/>
    <w:rsid w:val="00057B4E"/>
    <w:rsid w:val="00060ECD"/>
    <w:rsid w:val="00060F57"/>
    <w:rsid w:val="00061036"/>
    <w:rsid w:val="00061A97"/>
    <w:rsid w:val="00061D2C"/>
    <w:rsid w:val="00062198"/>
    <w:rsid w:val="000621F4"/>
    <w:rsid w:val="00062771"/>
    <w:rsid w:val="00062F64"/>
    <w:rsid w:val="00062FF3"/>
    <w:rsid w:val="00063F95"/>
    <w:rsid w:val="00064225"/>
    <w:rsid w:val="0006472F"/>
    <w:rsid w:val="00065604"/>
    <w:rsid w:val="00065791"/>
    <w:rsid w:val="00065876"/>
    <w:rsid w:val="00065A36"/>
    <w:rsid w:val="000660BA"/>
    <w:rsid w:val="0006619C"/>
    <w:rsid w:val="00066B40"/>
    <w:rsid w:val="00067521"/>
    <w:rsid w:val="0006789F"/>
    <w:rsid w:val="000701AC"/>
    <w:rsid w:val="00070880"/>
    <w:rsid w:val="000708F4"/>
    <w:rsid w:val="00070CC1"/>
    <w:rsid w:val="00070DED"/>
    <w:rsid w:val="0007182F"/>
    <w:rsid w:val="000727F7"/>
    <w:rsid w:val="00072ECF"/>
    <w:rsid w:val="0007393E"/>
    <w:rsid w:val="00073EEB"/>
    <w:rsid w:val="0007407B"/>
    <w:rsid w:val="000747E5"/>
    <w:rsid w:val="00074C28"/>
    <w:rsid w:val="00074D64"/>
    <w:rsid w:val="0007532C"/>
    <w:rsid w:val="00075448"/>
    <w:rsid w:val="00075B11"/>
    <w:rsid w:val="00075C41"/>
    <w:rsid w:val="00075CB4"/>
    <w:rsid w:val="00076358"/>
    <w:rsid w:val="00076809"/>
    <w:rsid w:val="00076CE6"/>
    <w:rsid w:val="000771BA"/>
    <w:rsid w:val="00077205"/>
    <w:rsid w:val="000779B2"/>
    <w:rsid w:val="00077BFB"/>
    <w:rsid w:val="00077F21"/>
    <w:rsid w:val="0008011B"/>
    <w:rsid w:val="0008026F"/>
    <w:rsid w:val="000802CF"/>
    <w:rsid w:val="0008062C"/>
    <w:rsid w:val="00080A40"/>
    <w:rsid w:val="00082B85"/>
    <w:rsid w:val="00082BEA"/>
    <w:rsid w:val="000831D8"/>
    <w:rsid w:val="000835F0"/>
    <w:rsid w:val="00083BD0"/>
    <w:rsid w:val="00083E22"/>
    <w:rsid w:val="00083ECA"/>
    <w:rsid w:val="000859B9"/>
    <w:rsid w:val="00085C0E"/>
    <w:rsid w:val="0008610C"/>
    <w:rsid w:val="00086738"/>
    <w:rsid w:val="000869A4"/>
    <w:rsid w:val="00087032"/>
    <w:rsid w:val="0008745E"/>
    <w:rsid w:val="00087861"/>
    <w:rsid w:val="00087F28"/>
    <w:rsid w:val="0009025E"/>
    <w:rsid w:val="0009045E"/>
    <w:rsid w:val="0009061F"/>
    <w:rsid w:val="00090BF6"/>
    <w:rsid w:val="00090FE3"/>
    <w:rsid w:val="0009158A"/>
    <w:rsid w:val="000917F1"/>
    <w:rsid w:val="000924ED"/>
    <w:rsid w:val="0009253C"/>
    <w:rsid w:val="000925DC"/>
    <w:rsid w:val="000927DE"/>
    <w:rsid w:val="00092F6D"/>
    <w:rsid w:val="00092FA4"/>
    <w:rsid w:val="000933E0"/>
    <w:rsid w:val="00093BC4"/>
    <w:rsid w:val="000940A5"/>
    <w:rsid w:val="0009424A"/>
    <w:rsid w:val="0009432F"/>
    <w:rsid w:val="0009499E"/>
    <w:rsid w:val="00094AE4"/>
    <w:rsid w:val="0009524C"/>
    <w:rsid w:val="000958DE"/>
    <w:rsid w:val="00095FCE"/>
    <w:rsid w:val="00096B4D"/>
    <w:rsid w:val="0009713E"/>
    <w:rsid w:val="000976A9"/>
    <w:rsid w:val="00097887"/>
    <w:rsid w:val="0009792F"/>
    <w:rsid w:val="000A02C6"/>
    <w:rsid w:val="000A0666"/>
    <w:rsid w:val="000A0BDC"/>
    <w:rsid w:val="000A0FA5"/>
    <w:rsid w:val="000A1533"/>
    <w:rsid w:val="000A1AC9"/>
    <w:rsid w:val="000A1BC4"/>
    <w:rsid w:val="000A292B"/>
    <w:rsid w:val="000A2954"/>
    <w:rsid w:val="000A2A19"/>
    <w:rsid w:val="000A2F84"/>
    <w:rsid w:val="000A3496"/>
    <w:rsid w:val="000A389B"/>
    <w:rsid w:val="000A3A31"/>
    <w:rsid w:val="000A3F90"/>
    <w:rsid w:val="000A4051"/>
    <w:rsid w:val="000A4489"/>
    <w:rsid w:val="000A4C02"/>
    <w:rsid w:val="000A5329"/>
    <w:rsid w:val="000A563A"/>
    <w:rsid w:val="000A621D"/>
    <w:rsid w:val="000A73CE"/>
    <w:rsid w:val="000A75F0"/>
    <w:rsid w:val="000B0B49"/>
    <w:rsid w:val="000B0F65"/>
    <w:rsid w:val="000B1F1C"/>
    <w:rsid w:val="000B2472"/>
    <w:rsid w:val="000B2DD8"/>
    <w:rsid w:val="000B395D"/>
    <w:rsid w:val="000B39E6"/>
    <w:rsid w:val="000B47F3"/>
    <w:rsid w:val="000B4882"/>
    <w:rsid w:val="000B4FCF"/>
    <w:rsid w:val="000B5069"/>
    <w:rsid w:val="000B51E9"/>
    <w:rsid w:val="000B58B2"/>
    <w:rsid w:val="000B655B"/>
    <w:rsid w:val="000B65AD"/>
    <w:rsid w:val="000B7908"/>
    <w:rsid w:val="000B7935"/>
    <w:rsid w:val="000B7A75"/>
    <w:rsid w:val="000C05CE"/>
    <w:rsid w:val="000C080A"/>
    <w:rsid w:val="000C0AF6"/>
    <w:rsid w:val="000C0B0D"/>
    <w:rsid w:val="000C1079"/>
    <w:rsid w:val="000C11DE"/>
    <w:rsid w:val="000C1691"/>
    <w:rsid w:val="000C18B4"/>
    <w:rsid w:val="000C1BD1"/>
    <w:rsid w:val="000C203E"/>
    <w:rsid w:val="000C2278"/>
    <w:rsid w:val="000C25E8"/>
    <w:rsid w:val="000C458E"/>
    <w:rsid w:val="000C46D8"/>
    <w:rsid w:val="000C4A26"/>
    <w:rsid w:val="000C4C43"/>
    <w:rsid w:val="000C4D38"/>
    <w:rsid w:val="000C4EB2"/>
    <w:rsid w:val="000C5820"/>
    <w:rsid w:val="000C63ED"/>
    <w:rsid w:val="000C6612"/>
    <w:rsid w:val="000C675E"/>
    <w:rsid w:val="000C6B58"/>
    <w:rsid w:val="000C742D"/>
    <w:rsid w:val="000C74C9"/>
    <w:rsid w:val="000C7850"/>
    <w:rsid w:val="000C7CDE"/>
    <w:rsid w:val="000D0859"/>
    <w:rsid w:val="000D08F0"/>
    <w:rsid w:val="000D14C8"/>
    <w:rsid w:val="000D23E2"/>
    <w:rsid w:val="000D28ED"/>
    <w:rsid w:val="000D3B14"/>
    <w:rsid w:val="000D44FF"/>
    <w:rsid w:val="000D4CB5"/>
    <w:rsid w:val="000D50A5"/>
    <w:rsid w:val="000D535E"/>
    <w:rsid w:val="000D54B3"/>
    <w:rsid w:val="000D55C6"/>
    <w:rsid w:val="000D60E9"/>
    <w:rsid w:val="000D6445"/>
    <w:rsid w:val="000D680E"/>
    <w:rsid w:val="000D6E3C"/>
    <w:rsid w:val="000D6F4C"/>
    <w:rsid w:val="000D725D"/>
    <w:rsid w:val="000E015F"/>
    <w:rsid w:val="000E03EB"/>
    <w:rsid w:val="000E0EF3"/>
    <w:rsid w:val="000E1142"/>
    <w:rsid w:val="000E2079"/>
    <w:rsid w:val="000E2445"/>
    <w:rsid w:val="000E308D"/>
    <w:rsid w:val="000E358E"/>
    <w:rsid w:val="000E38CA"/>
    <w:rsid w:val="000E3D59"/>
    <w:rsid w:val="000E436E"/>
    <w:rsid w:val="000E4446"/>
    <w:rsid w:val="000E483D"/>
    <w:rsid w:val="000E48BB"/>
    <w:rsid w:val="000E49C7"/>
    <w:rsid w:val="000E4A6E"/>
    <w:rsid w:val="000E4F45"/>
    <w:rsid w:val="000E52D0"/>
    <w:rsid w:val="000E5CDF"/>
    <w:rsid w:val="000E5D3A"/>
    <w:rsid w:val="000E60BA"/>
    <w:rsid w:val="000E6803"/>
    <w:rsid w:val="000E6A96"/>
    <w:rsid w:val="000F05A4"/>
    <w:rsid w:val="000F084B"/>
    <w:rsid w:val="000F2125"/>
    <w:rsid w:val="000F21E4"/>
    <w:rsid w:val="000F271D"/>
    <w:rsid w:val="000F2B1F"/>
    <w:rsid w:val="000F2F7B"/>
    <w:rsid w:val="000F3218"/>
    <w:rsid w:val="000F341C"/>
    <w:rsid w:val="000F41C5"/>
    <w:rsid w:val="000F4456"/>
    <w:rsid w:val="000F4A73"/>
    <w:rsid w:val="000F4BF5"/>
    <w:rsid w:val="000F5D6D"/>
    <w:rsid w:val="000F6211"/>
    <w:rsid w:val="000F68CE"/>
    <w:rsid w:val="000F6D95"/>
    <w:rsid w:val="000F73E4"/>
    <w:rsid w:val="000F74A7"/>
    <w:rsid w:val="00100207"/>
    <w:rsid w:val="00100491"/>
    <w:rsid w:val="00100AC7"/>
    <w:rsid w:val="00100BA3"/>
    <w:rsid w:val="0010162F"/>
    <w:rsid w:val="00101DBC"/>
    <w:rsid w:val="0010216D"/>
    <w:rsid w:val="001025FF"/>
    <w:rsid w:val="00102656"/>
    <w:rsid w:val="00102995"/>
    <w:rsid w:val="0010312F"/>
    <w:rsid w:val="00103778"/>
    <w:rsid w:val="001038F0"/>
    <w:rsid w:val="00103D85"/>
    <w:rsid w:val="00103ECA"/>
    <w:rsid w:val="00104048"/>
    <w:rsid w:val="00104549"/>
    <w:rsid w:val="0010458E"/>
    <w:rsid w:val="001046D8"/>
    <w:rsid w:val="00104990"/>
    <w:rsid w:val="00104AFA"/>
    <w:rsid w:val="00104C5B"/>
    <w:rsid w:val="00104E4F"/>
    <w:rsid w:val="00104EE3"/>
    <w:rsid w:val="0010507E"/>
    <w:rsid w:val="0010549D"/>
    <w:rsid w:val="00105A49"/>
    <w:rsid w:val="00105D03"/>
    <w:rsid w:val="00105DB8"/>
    <w:rsid w:val="00106528"/>
    <w:rsid w:val="001067AD"/>
    <w:rsid w:val="00106925"/>
    <w:rsid w:val="00106F46"/>
    <w:rsid w:val="00107796"/>
    <w:rsid w:val="00107D6E"/>
    <w:rsid w:val="00107E7E"/>
    <w:rsid w:val="0011008A"/>
    <w:rsid w:val="00110466"/>
    <w:rsid w:val="001106BE"/>
    <w:rsid w:val="00110738"/>
    <w:rsid w:val="00111204"/>
    <w:rsid w:val="00111276"/>
    <w:rsid w:val="001114E3"/>
    <w:rsid w:val="00111BA1"/>
    <w:rsid w:val="00111DCC"/>
    <w:rsid w:val="00112016"/>
    <w:rsid w:val="0011216C"/>
    <w:rsid w:val="001127A8"/>
    <w:rsid w:val="00112B66"/>
    <w:rsid w:val="00112E61"/>
    <w:rsid w:val="001134D2"/>
    <w:rsid w:val="00113712"/>
    <w:rsid w:val="00113836"/>
    <w:rsid w:val="001138A3"/>
    <w:rsid w:val="00113A80"/>
    <w:rsid w:val="001146AF"/>
    <w:rsid w:val="00114BAC"/>
    <w:rsid w:val="00114BF4"/>
    <w:rsid w:val="00114DD2"/>
    <w:rsid w:val="001150E8"/>
    <w:rsid w:val="001151CD"/>
    <w:rsid w:val="0011526D"/>
    <w:rsid w:val="00115FC7"/>
    <w:rsid w:val="00116844"/>
    <w:rsid w:val="00116CB5"/>
    <w:rsid w:val="00116F85"/>
    <w:rsid w:val="001174C3"/>
    <w:rsid w:val="00117577"/>
    <w:rsid w:val="00117909"/>
    <w:rsid w:val="00117FE5"/>
    <w:rsid w:val="00120C05"/>
    <w:rsid w:val="00120E12"/>
    <w:rsid w:val="001215A9"/>
    <w:rsid w:val="00121A0D"/>
    <w:rsid w:val="00122AF0"/>
    <w:rsid w:val="0012331B"/>
    <w:rsid w:val="00123833"/>
    <w:rsid w:val="0012388B"/>
    <w:rsid w:val="00123B81"/>
    <w:rsid w:val="00124518"/>
    <w:rsid w:val="00124813"/>
    <w:rsid w:val="00124EC6"/>
    <w:rsid w:val="0012500C"/>
    <w:rsid w:val="001253CB"/>
    <w:rsid w:val="00125517"/>
    <w:rsid w:val="00125E72"/>
    <w:rsid w:val="00126855"/>
    <w:rsid w:val="00126921"/>
    <w:rsid w:val="00126C1E"/>
    <w:rsid w:val="00126F20"/>
    <w:rsid w:val="00130C13"/>
    <w:rsid w:val="00130F34"/>
    <w:rsid w:val="001315AB"/>
    <w:rsid w:val="001319A3"/>
    <w:rsid w:val="00131F4A"/>
    <w:rsid w:val="001326AA"/>
    <w:rsid w:val="001329F7"/>
    <w:rsid w:val="00133386"/>
    <w:rsid w:val="00134984"/>
    <w:rsid w:val="001349F7"/>
    <w:rsid w:val="00134A1A"/>
    <w:rsid w:val="00134B07"/>
    <w:rsid w:val="001354AC"/>
    <w:rsid w:val="0013551F"/>
    <w:rsid w:val="001356A8"/>
    <w:rsid w:val="00136041"/>
    <w:rsid w:val="0013637D"/>
    <w:rsid w:val="0013639C"/>
    <w:rsid w:val="001366C1"/>
    <w:rsid w:val="0013684D"/>
    <w:rsid w:val="00136BA5"/>
    <w:rsid w:val="00136BCF"/>
    <w:rsid w:val="00136C86"/>
    <w:rsid w:val="00136DE7"/>
    <w:rsid w:val="0013794A"/>
    <w:rsid w:val="00137BDC"/>
    <w:rsid w:val="0014061B"/>
    <w:rsid w:val="0014072A"/>
    <w:rsid w:val="00140C7E"/>
    <w:rsid w:val="00140CCE"/>
    <w:rsid w:val="00140F35"/>
    <w:rsid w:val="00141462"/>
    <w:rsid w:val="0014198E"/>
    <w:rsid w:val="00141D48"/>
    <w:rsid w:val="00141DDD"/>
    <w:rsid w:val="00142248"/>
    <w:rsid w:val="00142275"/>
    <w:rsid w:val="0014244D"/>
    <w:rsid w:val="001424CF"/>
    <w:rsid w:val="00142520"/>
    <w:rsid w:val="001431F4"/>
    <w:rsid w:val="00143342"/>
    <w:rsid w:val="00143446"/>
    <w:rsid w:val="00143779"/>
    <w:rsid w:val="001438B5"/>
    <w:rsid w:val="00143E58"/>
    <w:rsid w:val="001443D0"/>
    <w:rsid w:val="0014479A"/>
    <w:rsid w:val="001447E1"/>
    <w:rsid w:val="001447F0"/>
    <w:rsid w:val="00144EFC"/>
    <w:rsid w:val="00144FA0"/>
    <w:rsid w:val="001459DF"/>
    <w:rsid w:val="00146924"/>
    <w:rsid w:val="00147858"/>
    <w:rsid w:val="00147ED7"/>
    <w:rsid w:val="001503F6"/>
    <w:rsid w:val="00150BE9"/>
    <w:rsid w:val="00150E1A"/>
    <w:rsid w:val="00151085"/>
    <w:rsid w:val="00151D9C"/>
    <w:rsid w:val="00152172"/>
    <w:rsid w:val="00152238"/>
    <w:rsid w:val="001534B4"/>
    <w:rsid w:val="00153772"/>
    <w:rsid w:val="00153D57"/>
    <w:rsid w:val="0015410E"/>
    <w:rsid w:val="0015415B"/>
    <w:rsid w:val="00154666"/>
    <w:rsid w:val="001555CC"/>
    <w:rsid w:val="00155E9C"/>
    <w:rsid w:val="00155EFB"/>
    <w:rsid w:val="0015607F"/>
    <w:rsid w:val="00156173"/>
    <w:rsid w:val="0015731B"/>
    <w:rsid w:val="0015769F"/>
    <w:rsid w:val="001579E7"/>
    <w:rsid w:val="00157FDD"/>
    <w:rsid w:val="00160380"/>
    <w:rsid w:val="001603EB"/>
    <w:rsid w:val="00160633"/>
    <w:rsid w:val="001607BC"/>
    <w:rsid w:val="00160DFC"/>
    <w:rsid w:val="0016166D"/>
    <w:rsid w:val="00161D2C"/>
    <w:rsid w:val="00161F09"/>
    <w:rsid w:val="00162ADD"/>
    <w:rsid w:val="00162EE0"/>
    <w:rsid w:val="00163094"/>
    <w:rsid w:val="001652B1"/>
    <w:rsid w:val="00165338"/>
    <w:rsid w:val="00165A76"/>
    <w:rsid w:val="00165AB7"/>
    <w:rsid w:val="00165B24"/>
    <w:rsid w:val="00165DB1"/>
    <w:rsid w:val="0016698B"/>
    <w:rsid w:val="00166F18"/>
    <w:rsid w:val="001671F8"/>
    <w:rsid w:val="00167368"/>
    <w:rsid w:val="00170225"/>
    <w:rsid w:val="00170435"/>
    <w:rsid w:val="00170857"/>
    <w:rsid w:val="00170AC8"/>
    <w:rsid w:val="00170DBE"/>
    <w:rsid w:val="00171434"/>
    <w:rsid w:val="0017246C"/>
    <w:rsid w:val="00172699"/>
    <w:rsid w:val="00173229"/>
    <w:rsid w:val="001733E2"/>
    <w:rsid w:val="00174D5A"/>
    <w:rsid w:val="0017570E"/>
    <w:rsid w:val="00175866"/>
    <w:rsid w:val="001763E8"/>
    <w:rsid w:val="001765DB"/>
    <w:rsid w:val="001768BB"/>
    <w:rsid w:val="00176A0F"/>
    <w:rsid w:val="00176B66"/>
    <w:rsid w:val="00176EA7"/>
    <w:rsid w:val="00176F38"/>
    <w:rsid w:val="001774D3"/>
    <w:rsid w:val="00177D39"/>
    <w:rsid w:val="00180313"/>
    <w:rsid w:val="00180753"/>
    <w:rsid w:val="0018075B"/>
    <w:rsid w:val="00180825"/>
    <w:rsid w:val="001808A8"/>
    <w:rsid w:val="00180B8C"/>
    <w:rsid w:val="00180F2E"/>
    <w:rsid w:val="001813E7"/>
    <w:rsid w:val="00181799"/>
    <w:rsid w:val="00181836"/>
    <w:rsid w:val="001818B7"/>
    <w:rsid w:val="00181C4D"/>
    <w:rsid w:val="00181EC9"/>
    <w:rsid w:val="0018257B"/>
    <w:rsid w:val="00182857"/>
    <w:rsid w:val="00182EF4"/>
    <w:rsid w:val="00183C6B"/>
    <w:rsid w:val="00183CE8"/>
    <w:rsid w:val="00184053"/>
    <w:rsid w:val="00184112"/>
    <w:rsid w:val="001846EB"/>
    <w:rsid w:val="0018484E"/>
    <w:rsid w:val="00185100"/>
    <w:rsid w:val="00185FD5"/>
    <w:rsid w:val="0018607B"/>
    <w:rsid w:val="001863F3"/>
    <w:rsid w:val="00186760"/>
    <w:rsid w:val="00186DA0"/>
    <w:rsid w:val="00186F36"/>
    <w:rsid w:val="001871AF"/>
    <w:rsid w:val="001874C1"/>
    <w:rsid w:val="00187F36"/>
    <w:rsid w:val="0019006E"/>
    <w:rsid w:val="00190C60"/>
    <w:rsid w:val="00190F4D"/>
    <w:rsid w:val="001910DA"/>
    <w:rsid w:val="00191790"/>
    <w:rsid w:val="0019299F"/>
    <w:rsid w:val="00193083"/>
    <w:rsid w:val="001932B1"/>
    <w:rsid w:val="0019383F"/>
    <w:rsid w:val="00193998"/>
    <w:rsid w:val="00194FE3"/>
    <w:rsid w:val="00195844"/>
    <w:rsid w:val="00195B60"/>
    <w:rsid w:val="00195B8A"/>
    <w:rsid w:val="00195BC6"/>
    <w:rsid w:val="001962D2"/>
    <w:rsid w:val="001963C6"/>
    <w:rsid w:val="001973EB"/>
    <w:rsid w:val="001977A7"/>
    <w:rsid w:val="00197A17"/>
    <w:rsid w:val="001A0734"/>
    <w:rsid w:val="001A07A4"/>
    <w:rsid w:val="001A0BB7"/>
    <w:rsid w:val="001A1A34"/>
    <w:rsid w:val="001A1ABE"/>
    <w:rsid w:val="001A277F"/>
    <w:rsid w:val="001A3925"/>
    <w:rsid w:val="001A3F28"/>
    <w:rsid w:val="001A40E6"/>
    <w:rsid w:val="001A43C0"/>
    <w:rsid w:val="001A4D77"/>
    <w:rsid w:val="001A5121"/>
    <w:rsid w:val="001A686B"/>
    <w:rsid w:val="001A7178"/>
    <w:rsid w:val="001A79DC"/>
    <w:rsid w:val="001A7ACF"/>
    <w:rsid w:val="001A7EF8"/>
    <w:rsid w:val="001B03B6"/>
    <w:rsid w:val="001B0501"/>
    <w:rsid w:val="001B0943"/>
    <w:rsid w:val="001B121C"/>
    <w:rsid w:val="001B1B1A"/>
    <w:rsid w:val="001B1F3D"/>
    <w:rsid w:val="001B2065"/>
    <w:rsid w:val="001B2083"/>
    <w:rsid w:val="001B290A"/>
    <w:rsid w:val="001B3916"/>
    <w:rsid w:val="001B39C6"/>
    <w:rsid w:val="001B4710"/>
    <w:rsid w:val="001B4FBE"/>
    <w:rsid w:val="001B5AC8"/>
    <w:rsid w:val="001B60FF"/>
    <w:rsid w:val="001B6323"/>
    <w:rsid w:val="001B6348"/>
    <w:rsid w:val="001B64E1"/>
    <w:rsid w:val="001B6535"/>
    <w:rsid w:val="001B660F"/>
    <w:rsid w:val="001B666F"/>
    <w:rsid w:val="001B6CC8"/>
    <w:rsid w:val="001B6E06"/>
    <w:rsid w:val="001B6F12"/>
    <w:rsid w:val="001B7583"/>
    <w:rsid w:val="001C07AC"/>
    <w:rsid w:val="001C07AE"/>
    <w:rsid w:val="001C08C1"/>
    <w:rsid w:val="001C0FE4"/>
    <w:rsid w:val="001C11A5"/>
    <w:rsid w:val="001C12F0"/>
    <w:rsid w:val="001C13C6"/>
    <w:rsid w:val="001C1DC5"/>
    <w:rsid w:val="001C1F2D"/>
    <w:rsid w:val="001C28B4"/>
    <w:rsid w:val="001C2A42"/>
    <w:rsid w:val="001C2C5A"/>
    <w:rsid w:val="001C2F59"/>
    <w:rsid w:val="001C318C"/>
    <w:rsid w:val="001C3C7D"/>
    <w:rsid w:val="001C493B"/>
    <w:rsid w:val="001C4D53"/>
    <w:rsid w:val="001C5408"/>
    <w:rsid w:val="001C573B"/>
    <w:rsid w:val="001C6E65"/>
    <w:rsid w:val="001C768A"/>
    <w:rsid w:val="001D0471"/>
    <w:rsid w:val="001D0621"/>
    <w:rsid w:val="001D0676"/>
    <w:rsid w:val="001D0956"/>
    <w:rsid w:val="001D0AF3"/>
    <w:rsid w:val="001D0F92"/>
    <w:rsid w:val="001D17E5"/>
    <w:rsid w:val="001D1A25"/>
    <w:rsid w:val="001D1B70"/>
    <w:rsid w:val="001D20EE"/>
    <w:rsid w:val="001D2E73"/>
    <w:rsid w:val="001D2F24"/>
    <w:rsid w:val="001D32EA"/>
    <w:rsid w:val="001D333A"/>
    <w:rsid w:val="001D37FE"/>
    <w:rsid w:val="001D39C3"/>
    <w:rsid w:val="001D408C"/>
    <w:rsid w:val="001D54B7"/>
    <w:rsid w:val="001D608F"/>
    <w:rsid w:val="001D615D"/>
    <w:rsid w:val="001D6A35"/>
    <w:rsid w:val="001E0495"/>
    <w:rsid w:val="001E04CC"/>
    <w:rsid w:val="001E129F"/>
    <w:rsid w:val="001E14C1"/>
    <w:rsid w:val="001E17B4"/>
    <w:rsid w:val="001E2209"/>
    <w:rsid w:val="001E2718"/>
    <w:rsid w:val="001E2D63"/>
    <w:rsid w:val="001E317A"/>
    <w:rsid w:val="001E45B5"/>
    <w:rsid w:val="001E5550"/>
    <w:rsid w:val="001E597D"/>
    <w:rsid w:val="001E67F8"/>
    <w:rsid w:val="001E68FF"/>
    <w:rsid w:val="001E6CBD"/>
    <w:rsid w:val="001E6F3E"/>
    <w:rsid w:val="001E6FB9"/>
    <w:rsid w:val="001E70A5"/>
    <w:rsid w:val="001E74C3"/>
    <w:rsid w:val="001E7727"/>
    <w:rsid w:val="001E7797"/>
    <w:rsid w:val="001E7B05"/>
    <w:rsid w:val="001E7CD6"/>
    <w:rsid w:val="001F024D"/>
    <w:rsid w:val="001F061F"/>
    <w:rsid w:val="001F08A4"/>
    <w:rsid w:val="001F097E"/>
    <w:rsid w:val="001F0EB9"/>
    <w:rsid w:val="001F1252"/>
    <w:rsid w:val="001F1495"/>
    <w:rsid w:val="001F19D3"/>
    <w:rsid w:val="001F1D46"/>
    <w:rsid w:val="001F23C5"/>
    <w:rsid w:val="001F28FE"/>
    <w:rsid w:val="001F2A45"/>
    <w:rsid w:val="001F2F6F"/>
    <w:rsid w:val="001F47B6"/>
    <w:rsid w:val="001F493E"/>
    <w:rsid w:val="001F5D19"/>
    <w:rsid w:val="001F5D7A"/>
    <w:rsid w:val="001F5DFD"/>
    <w:rsid w:val="001F6382"/>
    <w:rsid w:val="001F75D7"/>
    <w:rsid w:val="00200B29"/>
    <w:rsid w:val="00200BE5"/>
    <w:rsid w:val="00201317"/>
    <w:rsid w:val="00201DC8"/>
    <w:rsid w:val="00202011"/>
    <w:rsid w:val="0020364C"/>
    <w:rsid w:val="00204C98"/>
    <w:rsid w:val="00204F63"/>
    <w:rsid w:val="0020577D"/>
    <w:rsid w:val="00207147"/>
    <w:rsid w:val="0020726E"/>
    <w:rsid w:val="002108AD"/>
    <w:rsid w:val="00210925"/>
    <w:rsid w:val="002112A8"/>
    <w:rsid w:val="002116B8"/>
    <w:rsid w:val="00211B25"/>
    <w:rsid w:val="00211C0B"/>
    <w:rsid w:val="002127E3"/>
    <w:rsid w:val="002132E7"/>
    <w:rsid w:val="0021356C"/>
    <w:rsid w:val="00213619"/>
    <w:rsid w:val="00214998"/>
    <w:rsid w:val="0021499F"/>
    <w:rsid w:val="002158C5"/>
    <w:rsid w:val="00215A86"/>
    <w:rsid w:val="00215ABF"/>
    <w:rsid w:val="00216453"/>
    <w:rsid w:val="00216679"/>
    <w:rsid w:val="00216871"/>
    <w:rsid w:val="0021718F"/>
    <w:rsid w:val="00217675"/>
    <w:rsid w:val="00217B04"/>
    <w:rsid w:val="00217FD7"/>
    <w:rsid w:val="002205D2"/>
    <w:rsid w:val="00220717"/>
    <w:rsid w:val="00220835"/>
    <w:rsid w:val="0022095C"/>
    <w:rsid w:val="002213E0"/>
    <w:rsid w:val="00221C53"/>
    <w:rsid w:val="00221ECF"/>
    <w:rsid w:val="00222369"/>
    <w:rsid w:val="002225C4"/>
    <w:rsid w:val="00222AC0"/>
    <w:rsid w:val="00223229"/>
    <w:rsid w:val="0022448E"/>
    <w:rsid w:val="0022457C"/>
    <w:rsid w:val="002248F8"/>
    <w:rsid w:val="00225236"/>
    <w:rsid w:val="002253AC"/>
    <w:rsid w:val="002262F4"/>
    <w:rsid w:val="00226321"/>
    <w:rsid w:val="0022738F"/>
    <w:rsid w:val="002276DB"/>
    <w:rsid w:val="00227911"/>
    <w:rsid w:val="00227CA4"/>
    <w:rsid w:val="00227DEF"/>
    <w:rsid w:val="00227E8B"/>
    <w:rsid w:val="00230E17"/>
    <w:rsid w:val="00230F9B"/>
    <w:rsid w:val="002314C1"/>
    <w:rsid w:val="00231581"/>
    <w:rsid w:val="00231C9F"/>
    <w:rsid w:val="002320F7"/>
    <w:rsid w:val="00232612"/>
    <w:rsid w:val="0023284A"/>
    <w:rsid w:val="00232883"/>
    <w:rsid w:val="00233655"/>
    <w:rsid w:val="002346EF"/>
    <w:rsid w:val="00234CC0"/>
    <w:rsid w:val="00234CD7"/>
    <w:rsid w:val="00234D39"/>
    <w:rsid w:val="00234F70"/>
    <w:rsid w:val="00234FB7"/>
    <w:rsid w:val="00235593"/>
    <w:rsid w:val="002355BD"/>
    <w:rsid w:val="00235842"/>
    <w:rsid w:val="00235D5D"/>
    <w:rsid w:val="00235E07"/>
    <w:rsid w:val="00235EDE"/>
    <w:rsid w:val="00235FD7"/>
    <w:rsid w:val="002363A1"/>
    <w:rsid w:val="002369E9"/>
    <w:rsid w:val="00236B99"/>
    <w:rsid w:val="00236DA5"/>
    <w:rsid w:val="00236DE5"/>
    <w:rsid w:val="00237053"/>
    <w:rsid w:val="00237524"/>
    <w:rsid w:val="00237C82"/>
    <w:rsid w:val="00237DB9"/>
    <w:rsid w:val="00237ED4"/>
    <w:rsid w:val="00237FEF"/>
    <w:rsid w:val="00240843"/>
    <w:rsid w:val="002408B4"/>
    <w:rsid w:val="00241344"/>
    <w:rsid w:val="00241ABE"/>
    <w:rsid w:val="00241B3F"/>
    <w:rsid w:val="002420AF"/>
    <w:rsid w:val="0024231B"/>
    <w:rsid w:val="002425DD"/>
    <w:rsid w:val="00242C7A"/>
    <w:rsid w:val="00243176"/>
    <w:rsid w:val="002434E9"/>
    <w:rsid w:val="002436BA"/>
    <w:rsid w:val="0024371E"/>
    <w:rsid w:val="00243E58"/>
    <w:rsid w:val="00244455"/>
    <w:rsid w:val="0024576A"/>
    <w:rsid w:val="00245C24"/>
    <w:rsid w:val="00245D0F"/>
    <w:rsid w:val="002460CB"/>
    <w:rsid w:val="002465E1"/>
    <w:rsid w:val="00246C2B"/>
    <w:rsid w:val="00246FC3"/>
    <w:rsid w:val="0024713E"/>
    <w:rsid w:val="0024727B"/>
    <w:rsid w:val="00247935"/>
    <w:rsid w:val="00247C6E"/>
    <w:rsid w:val="00250658"/>
    <w:rsid w:val="002507B2"/>
    <w:rsid w:val="00251C79"/>
    <w:rsid w:val="00251E09"/>
    <w:rsid w:val="002522B7"/>
    <w:rsid w:val="002529DD"/>
    <w:rsid w:val="00252E9B"/>
    <w:rsid w:val="002531E8"/>
    <w:rsid w:val="00253B00"/>
    <w:rsid w:val="00253CE2"/>
    <w:rsid w:val="00253DC8"/>
    <w:rsid w:val="0025434B"/>
    <w:rsid w:val="002545E7"/>
    <w:rsid w:val="00254842"/>
    <w:rsid w:val="00254CE5"/>
    <w:rsid w:val="00254FE2"/>
    <w:rsid w:val="00255131"/>
    <w:rsid w:val="002552ED"/>
    <w:rsid w:val="0025536E"/>
    <w:rsid w:val="002553DE"/>
    <w:rsid w:val="00255BB3"/>
    <w:rsid w:val="00255D38"/>
    <w:rsid w:val="002562D6"/>
    <w:rsid w:val="0025676E"/>
    <w:rsid w:val="00256938"/>
    <w:rsid w:val="00256B01"/>
    <w:rsid w:val="00256D64"/>
    <w:rsid w:val="00256E82"/>
    <w:rsid w:val="0025713D"/>
    <w:rsid w:val="0026011C"/>
    <w:rsid w:val="00260732"/>
    <w:rsid w:val="00260AE5"/>
    <w:rsid w:val="0026241B"/>
    <w:rsid w:val="00262866"/>
    <w:rsid w:val="002643C3"/>
    <w:rsid w:val="00264EDD"/>
    <w:rsid w:val="0026588C"/>
    <w:rsid w:val="002658F1"/>
    <w:rsid w:val="00265A01"/>
    <w:rsid w:val="0026627A"/>
    <w:rsid w:val="00266CAB"/>
    <w:rsid w:val="0026745D"/>
    <w:rsid w:val="00267B1F"/>
    <w:rsid w:val="002702EE"/>
    <w:rsid w:val="002704A6"/>
    <w:rsid w:val="002707D5"/>
    <w:rsid w:val="00270A87"/>
    <w:rsid w:val="00270BB0"/>
    <w:rsid w:val="00271A61"/>
    <w:rsid w:val="00271CFE"/>
    <w:rsid w:val="00271E46"/>
    <w:rsid w:val="0027228A"/>
    <w:rsid w:val="0027253C"/>
    <w:rsid w:val="0027315E"/>
    <w:rsid w:val="00273484"/>
    <w:rsid w:val="00274027"/>
    <w:rsid w:val="00274114"/>
    <w:rsid w:val="00274BEC"/>
    <w:rsid w:val="00274CD8"/>
    <w:rsid w:val="00274D96"/>
    <w:rsid w:val="00274F4C"/>
    <w:rsid w:val="002750EE"/>
    <w:rsid w:val="0027529E"/>
    <w:rsid w:val="00275764"/>
    <w:rsid w:val="002766AE"/>
    <w:rsid w:val="0027728E"/>
    <w:rsid w:val="0027758A"/>
    <w:rsid w:val="00277C9D"/>
    <w:rsid w:val="002801F9"/>
    <w:rsid w:val="002803CD"/>
    <w:rsid w:val="00280790"/>
    <w:rsid w:val="0028081F"/>
    <w:rsid w:val="00280A2C"/>
    <w:rsid w:val="00280C0E"/>
    <w:rsid w:val="00281103"/>
    <w:rsid w:val="00281564"/>
    <w:rsid w:val="00281582"/>
    <w:rsid w:val="0028216A"/>
    <w:rsid w:val="00282E5C"/>
    <w:rsid w:val="00283178"/>
    <w:rsid w:val="00284774"/>
    <w:rsid w:val="00284A98"/>
    <w:rsid w:val="00285301"/>
    <w:rsid w:val="00285DBD"/>
    <w:rsid w:val="002862B6"/>
    <w:rsid w:val="00286459"/>
    <w:rsid w:val="002864CA"/>
    <w:rsid w:val="00286BD6"/>
    <w:rsid w:val="00286C43"/>
    <w:rsid w:val="00286E4A"/>
    <w:rsid w:val="00287622"/>
    <w:rsid w:val="002877D8"/>
    <w:rsid w:val="00287C60"/>
    <w:rsid w:val="00287CF2"/>
    <w:rsid w:val="00287E1B"/>
    <w:rsid w:val="0029010A"/>
    <w:rsid w:val="002901C1"/>
    <w:rsid w:val="00290429"/>
    <w:rsid w:val="0029081A"/>
    <w:rsid w:val="00290EDB"/>
    <w:rsid w:val="00290F71"/>
    <w:rsid w:val="00291796"/>
    <w:rsid w:val="0029197F"/>
    <w:rsid w:val="00291CDB"/>
    <w:rsid w:val="00291E3B"/>
    <w:rsid w:val="00291E78"/>
    <w:rsid w:val="002926E8"/>
    <w:rsid w:val="00292B62"/>
    <w:rsid w:val="00293214"/>
    <w:rsid w:val="002933E0"/>
    <w:rsid w:val="00293AFC"/>
    <w:rsid w:val="00293CBF"/>
    <w:rsid w:val="00293E49"/>
    <w:rsid w:val="0029445E"/>
    <w:rsid w:val="002948B7"/>
    <w:rsid w:val="00294948"/>
    <w:rsid w:val="00295389"/>
    <w:rsid w:val="0029640B"/>
    <w:rsid w:val="00297177"/>
    <w:rsid w:val="002974D1"/>
    <w:rsid w:val="002977D2"/>
    <w:rsid w:val="00297E70"/>
    <w:rsid w:val="002A06D0"/>
    <w:rsid w:val="002A0878"/>
    <w:rsid w:val="002A0DF9"/>
    <w:rsid w:val="002A17C5"/>
    <w:rsid w:val="002A1B2D"/>
    <w:rsid w:val="002A1DF7"/>
    <w:rsid w:val="002A1E27"/>
    <w:rsid w:val="002A2632"/>
    <w:rsid w:val="002A268D"/>
    <w:rsid w:val="002A34BB"/>
    <w:rsid w:val="002A3DBD"/>
    <w:rsid w:val="002A42ED"/>
    <w:rsid w:val="002A46D5"/>
    <w:rsid w:val="002A4ABE"/>
    <w:rsid w:val="002A4C78"/>
    <w:rsid w:val="002A4F7D"/>
    <w:rsid w:val="002A52AE"/>
    <w:rsid w:val="002A54B9"/>
    <w:rsid w:val="002A5A30"/>
    <w:rsid w:val="002A5A3F"/>
    <w:rsid w:val="002A6549"/>
    <w:rsid w:val="002A67C7"/>
    <w:rsid w:val="002A695F"/>
    <w:rsid w:val="002A760D"/>
    <w:rsid w:val="002A7A3E"/>
    <w:rsid w:val="002A7CFA"/>
    <w:rsid w:val="002B034A"/>
    <w:rsid w:val="002B0649"/>
    <w:rsid w:val="002B1D5D"/>
    <w:rsid w:val="002B1D7A"/>
    <w:rsid w:val="002B2722"/>
    <w:rsid w:val="002B289A"/>
    <w:rsid w:val="002B29EA"/>
    <w:rsid w:val="002B3204"/>
    <w:rsid w:val="002B4067"/>
    <w:rsid w:val="002B4867"/>
    <w:rsid w:val="002B4A3C"/>
    <w:rsid w:val="002B575D"/>
    <w:rsid w:val="002B58FA"/>
    <w:rsid w:val="002B5B5A"/>
    <w:rsid w:val="002B6E21"/>
    <w:rsid w:val="002B750D"/>
    <w:rsid w:val="002B7DE4"/>
    <w:rsid w:val="002C0225"/>
    <w:rsid w:val="002C02B1"/>
    <w:rsid w:val="002C0609"/>
    <w:rsid w:val="002C06DC"/>
    <w:rsid w:val="002C1141"/>
    <w:rsid w:val="002C1C2B"/>
    <w:rsid w:val="002C2098"/>
    <w:rsid w:val="002C2199"/>
    <w:rsid w:val="002C27F2"/>
    <w:rsid w:val="002C3306"/>
    <w:rsid w:val="002C33F3"/>
    <w:rsid w:val="002C396B"/>
    <w:rsid w:val="002C40BD"/>
    <w:rsid w:val="002C4128"/>
    <w:rsid w:val="002C482D"/>
    <w:rsid w:val="002C4C20"/>
    <w:rsid w:val="002C4DB8"/>
    <w:rsid w:val="002C5502"/>
    <w:rsid w:val="002C561F"/>
    <w:rsid w:val="002C5731"/>
    <w:rsid w:val="002C57A3"/>
    <w:rsid w:val="002C5DB7"/>
    <w:rsid w:val="002C5ED6"/>
    <w:rsid w:val="002C6254"/>
    <w:rsid w:val="002C7033"/>
    <w:rsid w:val="002C7236"/>
    <w:rsid w:val="002C7C31"/>
    <w:rsid w:val="002D05B6"/>
    <w:rsid w:val="002D0B5F"/>
    <w:rsid w:val="002D1D28"/>
    <w:rsid w:val="002D2867"/>
    <w:rsid w:val="002D2F89"/>
    <w:rsid w:val="002D2FB6"/>
    <w:rsid w:val="002D32BE"/>
    <w:rsid w:val="002D35F1"/>
    <w:rsid w:val="002D4415"/>
    <w:rsid w:val="002D4671"/>
    <w:rsid w:val="002D4C2A"/>
    <w:rsid w:val="002D5D21"/>
    <w:rsid w:val="002D5F0C"/>
    <w:rsid w:val="002D6087"/>
    <w:rsid w:val="002D60AD"/>
    <w:rsid w:val="002D6251"/>
    <w:rsid w:val="002D7585"/>
    <w:rsid w:val="002D7645"/>
    <w:rsid w:val="002D7C7C"/>
    <w:rsid w:val="002E065E"/>
    <w:rsid w:val="002E067B"/>
    <w:rsid w:val="002E0C52"/>
    <w:rsid w:val="002E1AF9"/>
    <w:rsid w:val="002E26E2"/>
    <w:rsid w:val="002E3599"/>
    <w:rsid w:val="002E3D0E"/>
    <w:rsid w:val="002E47A9"/>
    <w:rsid w:val="002E4C5A"/>
    <w:rsid w:val="002E4D2F"/>
    <w:rsid w:val="002E52E0"/>
    <w:rsid w:val="002E590C"/>
    <w:rsid w:val="002E5AD0"/>
    <w:rsid w:val="002E6094"/>
    <w:rsid w:val="002E6AA9"/>
    <w:rsid w:val="002E6B28"/>
    <w:rsid w:val="002E6C61"/>
    <w:rsid w:val="002E6E23"/>
    <w:rsid w:val="002E6F0A"/>
    <w:rsid w:val="002E7AC7"/>
    <w:rsid w:val="002E7C52"/>
    <w:rsid w:val="002E7E90"/>
    <w:rsid w:val="002E7FF3"/>
    <w:rsid w:val="002F0171"/>
    <w:rsid w:val="002F0229"/>
    <w:rsid w:val="002F04B7"/>
    <w:rsid w:val="002F138A"/>
    <w:rsid w:val="002F1785"/>
    <w:rsid w:val="002F2237"/>
    <w:rsid w:val="002F264B"/>
    <w:rsid w:val="002F3471"/>
    <w:rsid w:val="002F36A3"/>
    <w:rsid w:val="002F3D01"/>
    <w:rsid w:val="002F3DC1"/>
    <w:rsid w:val="002F3E71"/>
    <w:rsid w:val="002F3EAD"/>
    <w:rsid w:val="002F491D"/>
    <w:rsid w:val="002F49DB"/>
    <w:rsid w:val="002F4AF2"/>
    <w:rsid w:val="002F5A85"/>
    <w:rsid w:val="002F5E1D"/>
    <w:rsid w:val="002F5EA8"/>
    <w:rsid w:val="002F60A9"/>
    <w:rsid w:val="002F62C5"/>
    <w:rsid w:val="002F64F5"/>
    <w:rsid w:val="002F658E"/>
    <w:rsid w:val="002F661C"/>
    <w:rsid w:val="002F6D48"/>
    <w:rsid w:val="002F6E35"/>
    <w:rsid w:val="002F70AC"/>
    <w:rsid w:val="002F729D"/>
    <w:rsid w:val="002F7770"/>
    <w:rsid w:val="002F7CB8"/>
    <w:rsid w:val="00301079"/>
    <w:rsid w:val="003016AD"/>
    <w:rsid w:val="003016B1"/>
    <w:rsid w:val="003017DC"/>
    <w:rsid w:val="00302651"/>
    <w:rsid w:val="0030274A"/>
    <w:rsid w:val="00302B26"/>
    <w:rsid w:val="0030309A"/>
    <w:rsid w:val="00303238"/>
    <w:rsid w:val="003036C5"/>
    <w:rsid w:val="003038DC"/>
    <w:rsid w:val="00303CBF"/>
    <w:rsid w:val="003049B9"/>
    <w:rsid w:val="00304A15"/>
    <w:rsid w:val="00304CF2"/>
    <w:rsid w:val="00304D21"/>
    <w:rsid w:val="00305D51"/>
    <w:rsid w:val="003063BE"/>
    <w:rsid w:val="003067E0"/>
    <w:rsid w:val="003068F6"/>
    <w:rsid w:val="00306931"/>
    <w:rsid w:val="003072E1"/>
    <w:rsid w:val="0030734E"/>
    <w:rsid w:val="003074E3"/>
    <w:rsid w:val="00307AC0"/>
    <w:rsid w:val="00307DF8"/>
    <w:rsid w:val="003100B5"/>
    <w:rsid w:val="003100EF"/>
    <w:rsid w:val="003102B3"/>
    <w:rsid w:val="00310823"/>
    <w:rsid w:val="00310E8B"/>
    <w:rsid w:val="003117AF"/>
    <w:rsid w:val="00311B33"/>
    <w:rsid w:val="00311B59"/>
    <w:rsid w:val="00311F61"/>
    <w:rsid w:val="00312718"/>
    <w:rsid w:val="00312D83"/>
    <w:rsid w:val="00312D9F"/>
    <w:rsid w:val="00312FE8"/>
    <w:rsid w:val="003130A5"/>
    <w:rsid w:val="00313352"/>
    <w:rsid w:val="00313451"/>
    <w:rsid w:val="003135B4"/>
    <w:rsid w:val="00313954"/>
    <w:rsid w:val="00313D45"/>
    <w:rsid w:val="00313E8A"/>
    <w:rsid w:val="00313E91"/>
    <w:rsid w:val="00314751"/>
    <w:rsid w:val="00315046"/>
    <w:rsid w:val="003151CB"/>
    <w:rsid w:val="003157A2"/>
    <w:rsid w:val="00315A0A"/>
    <w:rsid w:val="00315C5B"/>
    <w:rsid w:val="00316297"/>
    <w:rsid w:val="003173A4"/>
    <w:rsid w:val="003175E5"/>
    <w:rsid w:val="00320469"/>
    <w:rsid w:val="003208A2"/>
    <w:rsid w:val="00320F03"/>
    <w:rsid w:val="003219E5"/>
    <w:rsid w:val="003222C6"/>
    <w:rsid w:val="0032255F"/>
    <w:rsid w:val="00323431"/>
    <w:rsid w:val="00323665"/>
    <w:rsid w:val="00323EAB"/>
    <w:rsid w:val="00324284"/>
    <w:rsid w:val="0032455B"/>
    <w:rsid w:val="003249CD"/>
    <w:rsid w:val="00325840"/>
    <w:rsid w:val="003259C2"/>
    <w:rsid w:val="00325CD5"/>
    <w:rsid w:val="00326050"/>
    <w:rsid w:val="00326996"/>
    <w:rsid w:val="00326AD2"/>
    <w:rsid w:val="00326FBE"/>
    <w:rsid w:val="00327309"/>
    <w:rsid w:val="00327323"/>
    <w:rsid w:val="00327331"/>
    <w:rsid w:val="003273A1"/>
    <w:rsid w:val="003274A6"/>
    <w:rsid w:val="00327624"/>
    <w:rsid w:val="00330355"/>
    <w:rsid w:val="00330A14"/>
    <w:rsid w:val="00330EC6"/>
    <w:rsid w:val="003316B1"/>
    <w:rsid w:val="00331B60"/>
    <w:rsid w:val="00332095"/>
    <w:rsid w:val="0033230D"/>
    <w:rsid w:val="003324B8"/>
    <w:rsid w:val="00332561"/>
    <w:rsid w:val="00333242"/>
    <w:rsid w:val="00333611"/>
    <w:rsid w:val="003347AE"/>
    <w:rsid w:val="003349B2"/>
    <w:rsid w:val="00334C40"/>
    <w:rsid w:val="00335045"/>
    <w:rsid w:val="00335358"/>
    <w:rsid w:val="003357E2"/>
    <w:rsid w:val="00335C63"/>
    <w:rsid w:val="00335D84"/>
    <w:rsid w:val="003360A1"/>
    <w:rsid w:val="00336D53"/>
    <w:rsid w:val="00337228"/>
    <w:rsid w:val="003374BB"/>
    <w:rsid w:val="003377A4"/>
    <w:rsid w:val="00337D15"/>
    <w:rsid w:val="00337E0D"/>
    <w:rsid w:val="00340284"/>
    <w:rsid w:val="00340643"/>
    <w:rsid w:val="00340B97"/>
    <w:rsid w:val="0034192F"/>
    <w:rsid w:val="00341D89"/>
    <w:rsid w:val="0034230F"/>
    <w:rsid w:val="003427A8"/>
    <w:rsid w:val="00342A18"/>
    <w:rsid w:val="00343ACD"/>
    <w:rsid w:val="00343B02"/>
    <w:rsid w:val="00343E14"/>
    <w:rsid w:val="0034445B"/>
    <w:rsid w:val="0034494B"/>
    <w:rsid w:val="003458C4"/>
    <w:rsid w:val="00345CAA"/>
    <w:rsid w:val="00345D4E"/>
    <w:rsid w:val="00345E5C"/>
    <w:rsid w:val="00346358"/>
    <w:rsid w:val="00346A67"/>
    <w:rsid w:val="00346F53"/>
    <w:rsid w:val="00346FBC"/>
    <w:rsid w:val="00347882"/>
    <w:rsid w:val="003478DE"/>
    <w:rsid w:val="00347C3E"/>
    <w:rsid w:val="00350AC8"/>
    <w:rsid w:val="00351115"/>
    <w:rsid w:val="0035136F"/>
    <w:rsid w:val="0035190C"/>
    <w:rsid w:val="0035248F"/>
    <w:rsid w:val="0035267A"/>
    <w:rsid w:val="003530A5"/>
    <w:rsid w:val="003532CF"/>
    <w:rsid w:val="0035332F"/>
    <w:rsid w:val="003538CD"/>
    <w:rsid w:val="00353A41"/>
    <w:rsid w:val="003540A9"/>
    <w:rsid w:val="003548BA"/>
    <w:rsid w:val="00354F35"/>
    <w:rsid w:val="00355C6D"/>
    <w:rsid w:val="00355FE4"/>
    <w:rsid w:val="00356A24"/>
    <w:rsid w:val="00356AF9"/>
    <w:rsid w:val="00356B83"/>
    <w:rsid w:val="00356C3E"/>
    <w:rsid w:val="0035724F"/>
    <w:rsid w:val="00357653"/>
    <w:rsid w:val="00357694"/>
    <w:rsid w:val="00357A68"/>
    <w:rsid w:val="00357C0A"/>
    <w:rsid w:val="00357DE1"/>
    <w:rsid w:val="003606D4"/>
    <w:rsid w:val="003606DF"/>
    <w:rsid w:val="00360840"/>
    <w:rsid w:val="00361022"/>
    <w:rsid w:val="003610CF"/>
    <w:rsid w:val="003619AA"/>
    <w:rsid w:val="00361DD1"/>
    <w:rsid w:val="00361FDE"/>
    <w:rsid w:val="00362027"/>
    <w:rsid w:val="003624BF"/>
    <w:rsid w:val="00362533"/>
    <w:rsid w:val="00362C5C"/>
    <w:rsid w:val="00362D2E"/>
    <w:rsid w:val="00362FC6"/>
    <w:rsid w:val="003635C7"/>
    <w:rsid w:val="0036370A"/>
    <w:rsid w:val="003637C1"/>
    <w:rsid w:val="00364161"/>
    <w:rsid w:val="003644FB"/>
    <w:rsid w:val="00364ACE"/>
    <w:rsid w:val="00364CE3"/>
    <w:rsid w:val="003651B6"/>
    <w:rsid w:val="00365812"/>
    <w:rsid w:val="00365841"/>
    <w:rsid w:val="00365A14"/>
    <w:rsid w:val="0036670B"/>
    <w:rsid w:val="00366972"/>
    <w:rsid w:val="00366C4F"/>
    <w:rsid w:val="00366E42"/>
    <w:rsid w:val="00366FD3"/>
    <w:rsid w:val="00367567"/>
    <w:rsid w:val="003676F0"/>
    <w:rsid w:val="00367CDF"/>
    <w:rsid w:val="00370455"/>
    <w:rsid w:val="0037087A"/>
    <w:rsid w:val="00371037"/>
    <w:rsid w:val="00371313"/>
    <w:rsid w:val="00371C0E"/>
    <w:rsid w:val="00371C29"/>
    <w:rsid w:val="00371C57"/>
    <w:rsid w:val="00371F1C"/>
    <w:rsid w:val="003724B2"/>
    <w:rsid w:val="003733B0"/>
    <w:rsid w:val="00373B78"/>
    <w:rsid w:val="00373D37"/>
    <w:rsid w:val="00373FDF"/>
    <w:rsid w:val="003742F8"/>
    <w:rsid w:val="003748C6"/>
    <w:rsid w:val="00374E7B"/>
    <w:rsid w:val="00374F0D"/>
    <w:rsid w:val="00375580"/>
    <w:rsid w:val="00375A78"/>
    <w:rsid w:val="00375AC5"/>
    <w:rsid w:val="00375CE3"/>
    <w:rsid w:val="003760AE"/>
    <w:rsid w:val="00376365"/>
    <w:rsid w:val="0037671B"/>
    <w:rsid w:val="00376CE3"/>
    <w:rsid w:val="00376DE0"/>
    <w:rsid w:val="00376FF4"/>
    <w:rsid w:val="00380221"/>
    <w:rsid w:val="00380442"/>
    <w:rsid w:val="00380535"/>
    <w:rsid w:val="00380EC9"/>
    <w:rsid w:val="00381280"/>
    <w:rsid w:val="003816C9"/>
    <w:rsid w:val="00381AC8"/>
    <w:rsid w:val="00381BBC"/>
    <w:rsid w:val="00382355"/>
    <w:rsid w:val="003825F8"/>
    <w:rsid w:val="003831B7"/>
    <w:rsid w:val="00383D67"/>
    <w:rsid w:val="003846F4"/>
    <w:rsid w:val="00384AD2"/>
    <w:rsid w:val="00384DAB"/>
    <w:rsid w:val="00384DF8"/>
    <w:rsid w:val="00385047"/>
    <w:rsid w:val="00385502"/>
    <w:rsid w:val="003856E2"/>
    <w:rsid w:val="0038581D"/>
    <w:rsid w:val="003864F5"/>
    <w:rsid w:val="00386542"/>
    <w:rsid w:val="00386F5E"/>
    <w:rsid w:val="003872E7"/>
    <w:rsid w:val="00387AED"/>
    <w:rsid w:val="003900AA"/>
    <w:rsid w:val="003909FD"/>
    <w:rsid w:val="00390CEB"/>
    <w:rsid w:val="00391A8E"/>
    <w:rsid w:val="00391B8C"/>
    <w:rsid w:val="00392563"/>
    <w:rsid w:val="00392C1C"/>
    <w:rsid w:val="00393B66"/>
    <w:rsid w:val="00393E91"/>
    <w:rsid w:val="00394167"/>
    <w:rsid w:val="0039461E"/>
    <w:rsid w:val="00394809"/>
    <w:rsid w:val="00395308"/>
    <w:rsid w:val="00395629"/>
    <w:rsid w:val="003956A4"/>
    <w:rsid w:val="003958F4"/>
    <w:rsid w:val="00395A65"/>
    <w:rsid w:val="00397D14"/>
    <w:rsid w:val="003A0074"/>
    <w:rsid w:val="003A0967"/>
    <w:rsid w:val="003A1447"/>
    <w:rsid w:val="003A1C81"/>
    <w:rsid w:val="003A1E2B"/>
    <w:rsid w:val="003A2434"/>
    <w:rsid w:val="003A2C43"/>
    <w:rsid w:val="003A2CB5"/>
    <w:rsid w:val="003A3C1B"/>
    <w:rsid w:val="003A412B"/>
    <w:rsid w:val="003A43B1"/>
    <w:rsid w:val="003A43F4"/>
    <w:rsid w:val="003A469A"/>
    <w:rsid w:val="003A47F0"/>
    <w:rsid w:val="003A497A"/>
    <w:rsid w:val="003A55F1"/>
    <w:rsid w:val="003A5A9B"/>
    <w:rsid w:val="003A5C9B"/>
    <w:rsid w:val="003A5E3D"/>
    <w:rsid w:val="003A60EE"/>
    <w:rsid w:val="003A682B"/>
    <w:rsid w:val="003A6BD2"/>
    <w:rsid w:val="003A6F8C"/>
    <w:rsid w:val="003A76EE"/>
    <w:rsid w:val="003B0224"/>
    <w:rsid w:val="003B1313"/>
    <w:rsid w:val="003B18A8"/>
    <w:rsid w:val="003B1EA0"/>
    <w:rsid w:val="003B27E4"/>
    <w:rsid w:val="003B2E17"/>
    <w:rsid w:val="003B2EAE"/>
    <w:rsid w:val="003B371D"/>
    <w:rsid w:val="003B3D8A"/>
    <w:rsid w:val="003B3E14"/>
    <w:rsid w:val="003B4317"/>
    <w:rsid w:val="003B4619"/>
    <w:rsid w:val="003B4941"/>
    <w:rsid w:val="003B4DC1"/>
    <w:rsid w:val="003B54F7"/>
    <w:rsid w:val="003B57E7"/>
    <w:rsid w:val="003B600C"/>
    <w:rsid w:val="003B6243"/>
    <w:rsid w:val="003B656C"/>
    <w:rsid w:val="003B6AF9"/>
    <w:rsid w:val="003B6D34"/>
    <w:rsid w:val="003B6F45"/>
    <w:rsid w:val="003B76E9"/>
    <w:rsid w:val="003B779E"/>
    <w:rsid w:val="003B7804"/>
    <w:rsid w:val="003B79DA"/>
    <w:rsid w:val="003C04F2"/>
    <w:rsid w:val="003C09D4"/>
    <w:rsid w:val="003C0A78"/>
    <w:rsid w:val="003C109E"/>
    <w:rsid w:val="003C26F8"/>
    <w:rsid w:val="003C2913"/>
    <w:rsid w:val="003C3DCD"/>
    <w:rsid w:val="003C44DD"/>
    <w:rsid w:val="003C4ADD"/>
    <w:rsid w:val="003C4EA6"/>
    <w:rsid w:val="003C601C"/>
    <w:rsid w:val="003C70E6"/>
    <w:rsid w:val="003C71FC"/>
    <w:rsid w:val="003D00DE"/>
    <w:rsid w:val="003D0875"/>
    <w:rsid w:val="003D0F3B"/>
    <w:rsid w:val="003D139B"/>
    <w:rsid w:val="003D1CCE"/>
    <w:rsid w:val="003D1E70"/>
    <w:rsid w:val="003D202B"/>
    <w:rsid w:val="003D2BCB"/>
    <w:rsid w:val="003D2D7D"/>
    <w:rsid w:val="003D2FE0"/>
    <w:rsid w:val="003D32E7"/>
    <w:rsid w:val="003D34DA"/>
    <w:rsid w:val="003D384E"/>
    <w:rsid w:val="003D3856"/>
    <w:rsid w:val="003D3B52"/>
    <w:rsid w:val="003D4330"/>
    <w:rsid w:val="003D4BFC"/>
    <w:rsid w:val="003D4D23"/>
    <w:rsid w:val="003D4D5C"/>
    <w:rsid w:val="003D4F38"/>
    <w:rsid w:val="003D528D"/>
    <w:rsid w:val="003D57A4"/>
    <w:rsid w:val="003D57E9"/>
    <w:rsid w:val="003D5848"/>
    <w:rsid w:val="003D6665"/>
    <w:rsid w:val="003D6695"/>
    <w:rsid w:val="003D6948"/>
    <w:rsid w:val="003D6C6D"/>
    <w:rsid w:val="003D6DDC"/>
    <w:rsid w:val="003D7174"/>
    <w:rsid w:val="003D730D"/>
    <w:rsid w:val="003D7631"/>
    <w:rsid w:val="003D7C90"/>
    <w:rsid w:val="003D7D48"/>
    <w:rsid w:val="003E0056"/>
    <w:rsid w:val="003E05FD"/>
    <w:rsid w:val="003E1FA6"/>
    <w:rsid w:val="003E1FAD"/>
    <w:rsid w:val="003E25B2"/>
    <w:rsid w:val="003E26F4"/>
    <w:rsid w:val="003E2BF5"/>
    <w:rsid w:val="003E2C53"/>
    <w:rsid w:val="003E3950"/>
    <w:rsid w:val="003E46B9"/>
    <w:rsid w:val="003E4729"/>
    <w:rsid w:val="003E4D47"/>
    <w:rsid w:val="003E56D1"/>
    <w:rsid w:val="003E5FB7"/>
    <w:rsid w:val="003E6391"/>
    <w:rsid w:val="003E6DD2"/>
    <w:rsid w:val="003E6FA9"/>
    <w:rsid w:val="003E73C8"/>
    <w:rsid w:val="003E7569"/>
    <w:rsid w:val="003F03EA"/>
    <w:rsid w:val="003F0CB9"/>
    <w:rsid w:val="003F104B"/>
    <w:rsid w:val="003F1E8B"/>
    <w:rsid w:val="003F204D"/>
    <w:rsid w:val="003F21BB"/>
    <w:rsid w:val="003F26C5"/>
    <w:rsid w:val="003F2A95"/>
    <w:rsid w:val="003F2CCE"/>
    <w:rsid w:val="003F32BC"/>
    <w:rsid w:val="003F4344"/>
    <w:rsid w:val="003F44F3"/>
    <w:rsid w:val="003F47E4"/>
    <w:rsid w:val="003F4A62"/>
    <w:rsid w:val="003F4BFE"/>
    <w:rsid w:val="003F5215"/>
    <w:rsid w:val="003F5383"/>
    <w:rsid w:val="003F56ED"/>
    <w:rsid w:val="003F57AE"/>
    <w:rsid w:val="003F58DD"/>
    <w:rsid w:val="003F5A26"/>
    <w:rsid w:val="003F5BD6"/>
    <w:rsid w:val="003F5E1B"/>
    <w:rsid w:val="003F6235"/>
    <w:rsid w:val="003F6DF0"/>
    <w:rsid w:val="00400101"/>
    <w:rsid w:val="004005DF"/>
    <w:rsid w:val="00400733"/>
    <w:rsid w:val="00400A69"/>
    <w:rsid w:val="00400EC1"/>
    <w:rsid w:val="0040102F"/>
    <w:rsid w:val="0040136C"/>
    <w:rsid w:val="0040171A"/>
    <w:rsid w:val="00401B91"/>
    <w:rsid w:val="00401EA2"/>
    <w:rsid w:val="0040204F"/>
    <w:rsid w:val="00402382"/>
    <w:rsid w:val="00403784"/>
    <w:rsid w:val="00403AB0"/>
    <w:rsid w:val="00403D7B"/>
    <w:rsid w:val="004042EC"/>
    <w:rsid w:val="00405187"/>
    <w:rsid w:val="0040547B"/>
    <w:rsid w:val="00405ED9"/>
    <w:rsid w:val="00406185"/>
    <w:rsid w:val="004061CC"/>
    <w:rsid w:val="00407192"/>
    <w:rsid w:val="00407347"/>
    <w:rsid w:val="0041006C"/>
    <w:rsid w:val="004104AD"/>
    <w:rsid w:val="0041162B"/>
    <w:rsid w:val="004116B8"/>
    <w:rsid w:val="004117D5"/>
    <w:rsid w:val="00411B91"/>
    <w:rsid w:val="00411DC4"/>
    <w:rsid w:val="004125E4"/>
    <w:rsid w:val="00412C81"/>
    <w:rsid w:val="004136EB"/>
    <w:rsid w:val="00413A22"/>
    <w:rsid w:val="00414450"/>
    <w:rsid w:val="0041456A"/>
    <w:rsid w:val="00414A75"/>
    <w:rsid w:val="00414AD4"/>
    <w:rsid w:val="00414D11"/>
    <w:rsid w:val="00415D51"/>
    <w:rsid w:val="0041670C"/>
    <w:rsid w:val="00416AB3"/>
    <w:rsid w:val="00417566"/>
    <w:rsid w:val="0041777C"/>
    <w:rsid w:val="00417EC1"/>
    <w:rsid w:val="0042000D"/>
    <w:rsid w:val="00420BB2"/>
    <w:rsid w:val="0042109F"/>
    <w:rsid w:val="00421659"/>
    <w:rsid w:val="004217DB"/>
    <w:rsid w:val="004217FB"/>
    <w:rsid w:val="00421B35"/>
    <w:rsid w:val="00421D6C"/>
    <w:rsid w:val="00422550"/>
    <w:rsid w:val="00422A95"/>
    <w:rsid w:val="004231C6"/>
    <w:rsid w:val="0042355B"/>
    <w:rsid w:val="004239DB"/>
    <w:rsid w:val="00423CF4"/>
    <w:rsid w:val="00423F5E"/>
    <w:rsid w:val="0042413E"/>
    <w:rsid w:val="00424BE3"/>
    <w:rsid w:val="00425331"/>
    <w:rsid w:val="004253A1"/>
    <w:rsid w:val="00425B8F"/>
    <w:rsid w:val="004260BA"/>
    <w:rsid w:val="004262CA"/>
    <w:rsid w:val="00426A39"/>
    <w:rsid w:val="00427138"/>
    <w:rsid w:val="0042717C"/>
    <w:rsid w:val="004271B4"/>
    <w:rsid w:val="0042760D"/>
    <w:rsid w:val="00427A10"/>
    <w:rsid w:val="00427C67"/>
    <w:rsid w:val="004302D4"/>
    <w:rsid w:val="004306C2"/>
    <w:rsid w:val="00430EB8"/>
    <w:rsid w:val="0043115A"/>
    <w:rsid w:val="0043130E"/>
    <w:rsid w:val="00431678"/>
    <w:rsid w:val="00431943"/>
    <w:rsid w:val="00431C2B"/>
    <w:rsid w:val="00431F44"/>
    <w:rsid w:val="0043239D"/>
    <w:rsid w:val="00432AB7"/>
    <w:rsid w:val="00432F92"/>
    <w:rsid w:val="0043367F"/>
    <w:rsid w:val="00434199"/>
    <w:rsid w:val="004343EB"/>
    <w:rsid w:val="00434CB5"/>
    <w:rsid w:val="00434E20"/>
    <w:rsid w:val="00435AAF"/>
    <w:rsid w:val="00435F89"/>
    <w:rsid w:val="004364AB"/>
    <w:rsid w:val="004367AB"/>
    <w:rsid w:val="00437CC3"/>
    <w:rsid w:val="00440B0F"/>
    <w:rsid w:val="00441EC2"/>
    <w:rsid w:val="0044274B"/>
    <w:rsid w:val="0044298C"/>
    <w:rsid w:val="00442AA3"/>
    <w:rsid w:val="00442C8B"/>
    <w:rsid w:val="00442D1F"/>
    <w:rsid w:val="00443EE2"/>
    <w:rsid w:val="00443F1B"/>
    <w:rsid w:val="0044446B"/>
    <w:rsid w:val="004444FB"/>
    <w:rsid w:val="0044494A"/>
    <w:rsid w:val="00444CEE"/>
    <w:rsid w:val="00444D1A"/>
    <w:rsid w:val="00444E8C"/>
    <w:rsid w:val="0044527B"/>
    <w:rsid w:val="004460E7"/>
    <w:rsid w:val="00446490"/>
    <w:rsid w:val="0044659A"/>
    <w:rsid w:val="00446B78"/>
    <w:rsid w:val="00447208"/>
    <w:rsid w:val="00447C08"/>
    <w:rsid w:val="004502EA"/>
    <w:rsid w:val="00450517"/>
    <w:rsid w:val="0045078C"/>
    <w:rsid w:val="004508D1"/>
    <w:rsid w:val="00450942"/>
    <w:rsid w:val="00450E2B"/>
    <w:rsid w:val="0045104E"/>
    <w:rsid w:val="00451310"/>
    <w:rsid w:val="0045146D"/>
    <w:rsid w:val="00451684"/>
    <w:rsid w:val="0045186B"/>
    <w:rsid w:val="00451B01"/>
    <w:rsid w:val="00451C7B"/>
    <w:rsid w:val="00451C93"/>
    <w:rsid w:val="00451F4B"/>
    <w:rsid w:val="00452056"/>
    <w:rsid w:val="00452355"/>
    <w:rsid w:val="004523F5"/>
    <w:rsid w:val="00452B9C"/>
    <w:rsid w:val="00452F65"/>
    <w:rsid w:val="00453010"/>
    <w:rsid w:val="0045304F"/>
    <w:rsid w:val="0045314B"/>
    <w:rsid w:val="004531D2"/>
    <w:rsid w:val="0045364E"/>
    <w:rsid w:val="0045462A"/>
    <w:rsid w:val="0045476F"/>
    <w:rsid w:val="00454FDD"/>
    <w:rsid w:val="00455063"/>
    <w:rsid w:val="004554F1"/>
    <w:rsid w:val="00455520"/>
    <w:rsid w:val="00455825"/>
    <w:rsid w:val="00455882"/>
    <w:rsid w:val="00456A68"/>
    <w:rsid w:val="00457009"/>
    <w:rsid w:val="004574BD"/>
    <w:rsid w:val="00460117"/>
    <w:rsid w:val="00460A9E"/>
    <w:rsid w:val="00461A02"/>
    <w:rsid w:val="0046246B"/>
    <w:rsid w:val="00462AE1"/>
    <w:rsid w:val="00462F4C"/>
    <w:rsid w:val="004630C7"/>
    <w:rsid w:val="0046341D"/>
    <w:rsid w:val="00464335"/>
    <w:rsid w:val="0046478D"/>
    <w:rsid w:val="00465059"/>
    <w:rsid w:val="004657D6"/>
    <w:rsid w:val="004658E4"/>
    <w:rsid w:val="00465BB2"/>
    <w:rsid w:val="004663A3"/>
    <w:rsid w:val="00466693"/>
    <w:rsid w:val="00466D9E"/>
    <w:rsid w:val="004670D9"/>
    <w:rsid w:val="004679B5"/>
    <w:rsid w:val="00470338"/>
    <w:rsid w:val="00472660"/>
    <w:rsid w:val="0047283A"/>
    <w:rsid w:val="00472BFB"/>
    <w:rsid w:val="004735BD"/>
    <w:rsid w:val="004737DF"/>
    <w:rsid w:val="0047411C"/>
    <w:rsid w:val="004744D4"/>
    <w:rsid w:val="0047475A"/>
    <w:rsid w:val="00474B6B"/>
    <w:rsid w:val="00474C94"/>
    <w:rsid w:val="00474DCC"/>
    <w:rsid w:val="004750CD"/>
    <w:rsid w:val="004755AB"/>
    <w:rsid w:val="00475839"/>
    <w:rsid w:val="00477061"/>
    <w:rsid w:val="00477496"/>
    <w:rsid w:val="00477B74"/>
    <w:rsid w:val="00477C33"/>
    <w:rsid w:val="00477D7E"/>
    <w:rsid w:val="00477DB8"/>
    <w:rsid w:val="00480EC5"/>
    <w:rsid w:val="00480FE8"/>
    <w:rsid w:val="00481578"/>
    <w:rsid w:val="004816F3"/>
    <w:rsid w:val="00481E9E"/>
    <w:rsid w:val="004829B7"/>
    <w:rsid w:val="00482D7F"/>
    <w:rsid w:val="0048317E"/>
    <w:rsid w:val="004833D6"/>
    <w:rsid w:val="004835FB"/>
    <w:rsid w:val="004840A7"/>
    <w:rsid w:val="0048426F"/>
    <w:rsid w:val="00484550"/>
    <w:rsid w:val="004847A6"/>
    <w:rsid w:val="00484F35"/>
    <w:rsid w:val="00484FBB"/>
    <w:rsid w:val="00485110"/>
    <w:rsid w:val="00485612"/>
    <w:rsid w:val="00485A36"/>
    <w:rsid w:val="00485C88"/>
    <w:rsid w:val="00485FED"/>
    <w:rsid w:val="00486049"/>
    <w:rsid w:val="004861F1"/>
    <w:rsid w:val="004862A3"/>
    <w:rsid w:val="0048638A"/>
    <w:rsid w:val="004868C6"/>
    <w:rsid w:val="00486CCA"/>
    <w:rsid w:val="00486CE8"/>
    <w:rsid w:val="004876FB"/>
    <w:rsid w:val="0049021A"/>
    <w:rsid w:val="00490DAF"/>
    <w:rsid w:val="00491A87"/>
    <w:rsid w:val="004923D1"/>
    <w:rsid w:val="00492E2F"/>
    <w:rsid w:val="00493560"/>
    <w:rsid w:val="00494328"/>
    <w:rsid w:val="00494739"/>
    <w:rsid w:val="00494E79"/>
    <w:rsid w:val="00495E24"/>
    <w:rsid w:val="004961D4"/>
    <w:rsid w:val="004965A9"/>
    <w:rsid w:val="00496655"/>
    <w:rsid w:val="0049669C"/>
    <w:rsid w:val="00496EF5"/>
    <w:rsid w:val="004973A2"/>
    <w:rsid w:val="004974DD"/>
    <w:rsid w:val="004975CC"/>
    <w:rsid w:val="004A0487"/>
    <w:rsid w:val="004A0983"/>
    <w:rsid w:val="004A0BE5"/>
    <w:rsid w:val="004A0CC5"/>
    <w:rsid w:val="004A11EB"/>
    <w:rsid w:val="004A1AD7"/>
    <w:rsid w:val="004A255B"/>
    <w:rsid w:val="004A2950"/>
    <w:rsid w:val="004A2D15"/>
    <w:rsid w:val="004A3323"/>
    <w:rsid w:val="004A3711"/>
    <w:rsid w:val="004A3739"/>
    <w:rsid w:val="004A384D"/>
    <w:rsid w:val="004A585F"/>
    <w:rsid w:val="004A6268"/>
    <w:rsid w:val="004A6D95"/>
    <w:rsid w:val="004A79E1"/>
    <w:rsid w:val="004A7C30"/>
    <w:rsid w:val="004A7DAC"/>
    <w:rsid w:val="004B07B6"/>
    <w:rsid w:val="004B0AFA"/>
    <w:rsid w:val="004B0B98"/>
    <w:rsid w:val="004B0BC5"/>
    <w:rsid w:val="004B1166"/>
    <w:rsid w:val="004B183C"/>
    <w:rsid w:val="004B2119"/>
    <w:rsid w:val="004B22B4"/>
    <w:rsid w:val="004B2937"/>
    <w:rsid w:val="004B30EC"/>
    <w:rsid w:val="004B3E18"/>
    <w:rsid w:val="004B41DA"/>
    <w:rsid w:val="004B49F4"/>
    <w:rsid w:val="004B4D58"/>
    <w:rsid w:val="004B591A"/>
    <w:rsid w:val="004B5FF8"/>
    <w:rsid w:val="004B6970"/>
    <w:rsid w:val="004B7209"/>
    <w:rsid w:val="004B7760"/>
    <w:rsid w:val="004B7CD6"/>
    <w:rsid w:val="004C0388"/>
    <w:rsid w:val="004C0661"/>
    <w:rsid w:val="004C075C"/>
    <w:rsid w:val="004C11E0"/>
    <w:rsid w:val="004C1246"/>
    <w:rsid w:val="004C1F7B"/>
    <w:rsid w:val="004C20A0"/>
    <w:rsid w:val="004C21EF"/>
    <w:rsid w:val="004C2374"/>
    <w:rsid w:val="004C2CC2"/>
    <w:rsid w:val="004C2F74"/>
    <w:rsid w:val="004C335B"/>
    <w:rsid w:val="004C356A"/>
    <w:rsid w:val="004C357E"/>
    <w:rsid w:val="004C3E3D"/>
    <w:rsid w:val="004C5B4B"/>
    <w:rsid w:val="004C6C1D"/>
    <w:rsid w:val="004C6C7B"/>
    <w:rsid w:val="004C726B"/>
    <w:rsid w:val="004C7C0D"/>
    <w:rsid w:val="004C7DC6"/>
    <w:rsid w:val="004C7EF3"/>
    <w:rsid w:val="004D09D8"/>
    <w:rsid w:val="004D136C"/>
    <w:rsid w:val="004D1983"/>
    <w:rsid w:val="004D1CDF"/>
    <w:rsid w:val="004D2770"/>
    <w:rsid w:val="004D2AC9"/>
    <w:rsid w:val="004D2BF5"/>
    <w:rsid w:val="004D3028"/>
    <w:rsid w:val="004D3103"/>
    <w:rsid w:val="004D31F0"/>
    <w:rsid w:val="004D3691"/>
    <w:rsid w:val="004D48B0"/>
    <w:rsid w:val="004D49AC"/>
    <w:rsid w:val="004D4B9A"/>
    <w:rsid w:val="004D4E3B"/>
    <w:rsid w:val="004D511A"/>
    <w:rsid w:val="004D587D"/>
    <w:rsid w:val="004D5B57"/>
    <w:rsid w:val="004D5FFA"/>
    <w:rsid w:val="004D70A1"/>
    <w:rsid w:val="004D751F"/>
    <w:rsid w:val="004D7562"/>
    <w:rsid w:val="004E0551"/>
    <w:rsid w:val="004E0BEB"/>
    <w:rsid w:val="004E1BDF"/>
    <w:rsid w:val="004E1F81"/>
    <w:rsid w:val="004E298B"/>
    <w:rsid w:val="004E2C38"/>
    <w:rsid w:val="004E2CCF"/>
    <w:rsid w:val="004E2DA4"/>
    <w:rsid w:val="004E2DCE"/>
    <w:rsid w:val="004E3469"/>
    <w:rsid w:val="004E39F5"/>
    <w:rsid w:val="004E3B3D"/>
    <w:rsid w:val="004E3E46"/>
    <w:rsid w:val="004E3E91"/>
    <w:rsid w:val="004E4964"/>
    <w:rsid w:val="004E4C15"/>
    <w:rsid w:val="004E5BA0"/>
    <w:rsid w:val="004E6040"/>
    <w:rsid w:val="004E60BD"/>
    <w:rsid w:val="004E64F3"/>
    <w:rsid w:val="004E6C91"/>
    <w:rsid w:val="004E6E10"/>
    <w:rsid w:val="004E71DE"/>
    <w:rsid w:val="004E759F"/>
    <w:rsid w:val="004F0F17"/>
    <w:rsid w:val="004F1933"/>
    <w:rsid w:val="004F1C43"/>
    <w:rsid w:val="004F1D48"/>
    <w:rsid w:val="004F21A9"/>
    <w:rsid w:val="004F2275"/>
    <w:rsid w:val="004F2596"/>
    <w:rsid w:val="004F2A79"/>
    <w:rsid w:val="004F2E35"/>
    <w:rsid w:val="004F2EA1"/>
    <w:rsid w:val="004F3A37"/>
    <w:rsid w:val="004F3F11"/>
    <w:rsid w:val="004F488D"/>
    <w:rsid w:val="004F4C26"/>
    <w:rsid w:val="004F622C"/>
    <w:rsid w:val="004F6672"/>
    <w:rsid w:val="004F6968"/>
    <w:rsid w:val="004F6A86"/>
    <w:rsid w:val="004F73E1"/>
    <w:rsid w:val="004F7666"/>
    <w:rsid w:val="0050070A"/>
    <w:rsid w:val="00500B9A"/>
    <w:rsid w:val="00500DC6"/>
    <w:rsid w:val="00501809"/>
    <w:rsid w:val="00502041"/>
    <w:rsid w:val="005023AB"/>
    <w:rsid w:val="0050330B"/>
    <w:rsid w:val="00503371"/>
    <w:rsid w:val="005037C3"/>
    <w:rsid w:val="00503831"/>
    <w:rsid w:val="005038D3"/>
    <w:rsid w:val="005045C6"/>
    <w:rsid w:val="00504A80"/>
    <w:rsid w:val="0050509E"/>
    <w:rsid w:val="00505168"/>
    <w:rsid w:val="0050572F"/>
    <w:rsid w:val="005064D5"/>
    <w:rsid w:val="00506795"/>
    <w:rsid w:val="00507985"/>
    <w:rsid w:val="00507C63"/>
    <w:rsid w:val="00510822"/>
    <w:rsid w:val="0051089A"/>
    <w:rsid w:val="00511BBF"/>
    <w:rsid w:val="00511DF3"/>
    <w:rsid w:val="00512B1A"/>
    <w:rsid w:val="0051332B"/>
    <w:rsid w:val="00513A23"/>
    <w:rsid w:val="00513D06"/>
    <w:rsid w:val="005141A8"/>
    <w:rsid w:val="005152F5"/>
    <w:rsid w:val="005158C8"/>
    <w:rsid w:val="00515996"/>
    <w:rsid w:val="005166A4"/>
    <w:rsid w:val="005166FB"/>
    <w:rsid w:val="00516793"/>
    <w:rsid w:val="00516B22"/>
    <w:rsid w:val="00516CD9"/>
    <w:rsid w:val="00517FC4"/>
    <w:rsid w:val="00520234"/>
    <w:rsid w:val="00520B6A"/>
    <w:rsid w:val="0052102F"/>
    <w:rsid w:val="00521605"/>
    <w:rsid w:val="005224B6"/>
    <w:rsid w:val="00522B8F"/>
    <w:rsid w:val="00522C90"/>
    <w:rsid w:val="0052314B"/>
    <w:rsid w:val="0052362B"/>
    <w:rsid w:val="0052368A"/>
    <w:rsid w:val="00523830"/>
    <w:rsid w:val="00524201"/>
    <w:rsid w:val="005242DE"/>
    <w:rsid w:val="005244C5"/>
    <w:rsid w:val="0052558A"/>
    <w:rsid w:val="00526B5C"/>
    <w:rsid w:val="00526ED4"/>
    <w:rsid w:val="00527DAA"/>
    <w:rsid w:val="00530897"/>
    <w:rsid w:val="005309BA"/>
    <w:rsid w:val="00530FF1"/>
    <w:rsid w:val="005310BA"/>
    <w:rsid w:val="005312AA"/>
    <w:rsid w:val="0053142B"/>
    <w:rsid w:val="00531753"/>
    <w:rsid w:val="005334F0"/>
    <w:rsid w:val="005349D9"/>
    <w:rsid w:val="00534B6A"/>
    <w:rsid w:val="00535957"/>
    <w:rsid w:val="0053691D"/>
    <w:rsid w:val="00536993"/>
    <w:rsid w:val="00536A56"/>
    <w:rsid w:val="00536BC5"/>
    <w:rsid w:val="00536EED"/>
    <w:rsid w:val="005376C2"/>
    <w:rsid w:val="00537968"/>
    <w:rsid w:val="00537EE4"/>
    <w:rsid w:val="00537F72"/>
    <w:rsid w:val="0054008E"/>
    <w:rsid w:val="00540480"/>
    <w:rsid w:val="00540A11"/>
    <w:rsid w:val="00541B7A"/>
    <w:rsid w:val="00541EB7"/>
    <w:rsid w:val="00542292"/>
    <w:rsid w:val="00542565"/>
    <w:rsid w:val="00543180"/>
    <w:rsid w:val="005431ED"/>
    <w:rsid w:val="00543BE5"/>
    <w:rsid w:val="00544242"/>
    <w:rsid w:val="00544AAF"/>
    <w:rsid w:val="0054519B"/>
    <w:rsid w:val="005452EC"/>
    <w:rsid w:val="005457E4"/>
    <w:rsid w:val="0054617C"/>
    <w:rsid w:val="00546A8B"/>
    <w:rsid w:val="00546E22"/>
    <w:rsid w:val="00547BBA"/>
    <w:rsid w:val="00547C90"/>
    <w:rsid w:val="00551155"/>
    <w:rsid w:val="005512D3"/>
    <w:rsid w:val="0055177A"/>
    <w:rsid w:val="005525F0"/>
    <w:rsid w:val="00552870"/>
    <w:rsid w:val="00552C0B"/>
    <w:rsid w:val="00552D6C"/>
    <w:rsid w:val="00553573"/>
    <w:rsid w:val="0055365F"/>
    <w:rsid w:val="0055384E"/>
    <w:rsid w:val="00553AB5"/>
    <w:rsid w:val="00553C69"/>
    <w:rsid w:val="00553FE8"/>
    <w:rsid w:val="005549E0"/>
    <w:rsid w:val="00554A80"/>
    <w:rsid w:val="00555734"/>
    <w:rsid w:val="005557E7"/>
    <w:rsid w:val="00555B59"/>
    <w:rsid w:val="00555B6D"/>
    <w:rsid w:val="00556BBC"/>
    <w:rsid w:val="005577F1"/>
    <w:rsid w:val="005602B9"/>
    <w:rsid w:val="00560555"/>
    <w:rsid w:val="00560875"/>
    <w:rsid w:val="00560A66"/>
    <w:rsid w:val="00560E1C"/>
    <w:rsid w:val="00561120"/>
    <w:rsid w:val="005612C2"/>
    <w:rsid w:val="005613F9"/>
    <w:rsid w:val="00562F9F"/>
    <w:rsid w:val="00563015"/>
    <w:rsid w:val="00563314"/>
    <w:rsid w:val="005639DC"/>
    <w:rsid w:val="005639FF"/>
    <w:rsid w:val="00565664"/>
    <w:rsid w:val="00565AB8"/>
    <w:rsid w:val="005666BB"/>
    <w:rsid w:val="00567213"/>
    <w:rsid w:val="005678B9"/>
    <w:rsid w:val="00570463"/>
    <w:rsid w:val="0057094D"/>
    <w:rsid w:val="00571A05"/>
    <w:rsid w:val="00571C4F"/>
    <w:rsid w:val="00571EAC"/>
    <w:rsid w:val="00571FFF"/>
    <w:rsid w:val="005721B0"/>
    <w:rsid w:val="005725A5"/>
    <w:rsid w:val="00572F88"/>
    <w:rsid w:val="005730FE"/>
    <w:rsid w:val="00573707"/>
    <w:rsid w:val="00574661"/>
    <w:rsid w:val="00574D46"/>
    <w:rsid w:val="00574EFD"/>
    <w:rsid w:val="005751FB"/>
    <w:rsid w:val="0057560E"/>
    <w:rsid w:val="00575AB3"/>
    <w:rsid w:val="00575ADD"/>
    <w:rsid w:val="00575B03"/>
    <w:rsid w:val="00576D0B"/>
    <w:rsid w:val="00576E8D"/>
    <w:rsid w:val="00577EF0"/>
    <w:rsid w:val="00577FD3"/>
    <w:rsid w:val="00580783"/>
    <w:rsid w:val="00580CDD"/>
    <w:rsid w:val="0058109B"/>
    <w:rsid w:val="005815A2"/>
    <w:rsid w:val="005819C0"/>
    <w:rsid w:val="005831C2"/>
    <w:rsid w:val="00583360"/>
    <w:rsid w:val="00583AC8"/>
    <w:rsid w:val="00583B22"/>
    <w:rsid w:val="00583B67"/>
    <w:rsid w:val="00583C42"/>
    <w:rsid w:val="00583D6B"/>
    <w:rsid w:val="005849C9"/>
    <w:rsid w:val="00584BC7"/>
    <w:rsid w:val="00584C8E"/>
    <w:rsid w:val="00585072"/>
    <w:rsid w:val="005852C3"/>
    <w:rsid w:val="00585795"/>
    <w:rsid w:val="005858C7"/>
    <w:rsid w:val="005859F5"/>
    <w:rsid w:val="00585E17"/>
    <w:rsid w:val="00585EA7"/>
    <w:rsid w:val="0058643D"/>
    <w:rsid w:val="005868C2"/>
    <w:rsid w:val="005868CB"/>
    <w:rsid w:val="00586CCE"/>
    <w:rsid w:val="00587B23"/>
    <w:rsid w:val="005901ED"/>
    <w:rsid w:val="00591843"/>
    <w:rsid w:val="00591A55"/>
    <w:rsid w:val="00591D66"/>
    <w:rsid w:val="00591E2E"/>
    <w:rsid w:val="00592194"/>
    <w:rsid w:val="00592BE4"/>
    <w:rsid w:val="005933CB"/>
    <w:rsid w:val="005934CA"/>
    <w:rsid w:val="005934E2"/>
    <w:rsid w:val="005938F3"/>
    <w:rsid w:val="00593AEB"/>
    <w:rsid w:val="00593AF6"/>
    <w:rsid w:val="00593DDF"/>
    <w:rsid w:val="005941A1"/>
    <w:rsid w:val="00594447"/>
    <w:rsid w:val="005945AA"/>
    <w:rsid w:val="005946B1"/>
    <w:rsid w:val="00594E9D"/>
    <w:rsid w:val="0059535E"/>
    <w:rsid w:val="00596381"/>
    <w:rsid w:val="00596B60"/>
    <w:rsid w:val="00596BC2"/>
    <w:rsid w:val="00596BDE"/>
    <w:rsid w:val="00596F3C"/>
    <w:rsid w:val="005A12FC"/>
    <w:rsid w:val="005A1BCC"/>
    <w:rsid w:val="005A1CDF"/>
    <w:rsid w:val="005A208F"/>
    <w:rsid w:val="005A21ED"/>
    <w:rsid w:val="005A29C1"/>
    <w:rsid w:val="005A2E16"/>
    <w:rsid w:val="005A2EDE"/>
    <w:rsid w:val="005A3525"/>
    <w:rsid w:val="005A3BB0"/>
    <w:rsid w:val="005A3F4A"/>
    <w:rsid w:val="005A41D9"/>
    <w:rsid w:val="005A4D80"/>
    <w:rsid w:val="005A4E94"/>
    <w:rsid w:val="005A557F"/>
    <w:rsid w:val="005A6548"/>
    <w:rsid w:val="005A66DD"/>
    <w:rsid w:val="005A6E8C"/>
    <w:rsid w:val="005A742E"/>
    <w:rsid w:val="005A782E"/>
    <w:rsid w:val="005A7BE0"/>
    <w:rsid w:val="005A7ECE"/>
    <w:rsid w:val="005B02F6"/>
    <w:rsid w:val="005B04E4"/>
    <w:rsid w:val="005B054C"/>
    <w:rsid w:val="005B08D9"/>
    <w:rsid w:val="005B0B58"/>
    <w:rsid w:val="005B0D63"/>
    <w:rsid w:val="005B1C07"/>
    <w:rsid w:val="005B1FA5"/>
    <w:rsid w:val="005B2248"/>
    <w:rsid w:val="005B2A17"/>
    <w:rsid w:val="005B2B73"/>
    <w:rsid w:val="005B2EAF"/>
    <w:rsid w:val="005B30A6"/>
    <w:rsid w:val="005B3C30"/>
    <w:rsid w:val="005B3EE9"/>
    <w:rsid w:val="005B432C"/>
    <w:rsid w:val="005B43F3"/>
    <w:rsid w:val="005B4CA5"/>
    <w:rsid w:val="005B4E77"/>
    <w:rsid w:val="005B640C"/>
    <w:rsid w:val="005B6EC2"/>
    <w:rsid w:val="005B7920"/>
    <w:rsid w:val="005B799D"/>
    <w:rsid w:val="005C0325"/>
    <w:rsid w:val="005C04FE"/>
    <w:rsid w:val="005C07F8"/>
    <w:rsid w:val="005C09FF"/>
    <w:rsid w:val="005C0AFC"/>
    <w:rsid w:val="005C0C8F"/>
    <w:rsid w:val="005C1346"/>
    <w:rsid w:val="005C172F"/>
    <w:rsid w:val="005C2207"/>
    <w:rsid w:val="005C2320"/>
    <w:rsid w:val="005C2455"/>
    <w:rsid w:val="005C25BA"/>
    <w:rsid w:val="005C2890"/>
    <w:rsid w:val="005C2988"/>
    <w:rsid w:val="005C3663"/>
    <w:rsid w:val="005C43D2"/>
    <w:rsid w:val="005C4975"/>
    <w:rsid w:val="005C4C03"/>
    <w:rsid w:val="005C4F9A"/>
    <w:rsid w:val="005C51F6"/>
    <w:rsid w:val="005C548B"/>
    <w:rsid w:val="005C5628"/>
    <w:rsid w:val="005C571B"/>
    <w:rsid w:val="005C5A75"/>
    <w:rsid w:val="005C5E52"/>
    <w:rsid w:val="005C5E74"/>
    <w:rsid w:val="005C5E99"/>
    <w:rsid w:val="005C7203"/>
    <w:rsid w:val="005C754A"/>
    <w:rsid w:val="005D0307"/>
    <w:rsid w:val="005D0326"/>
    <w:rsid w:val="005D0665"/>
    <w:rsid w:val="005D067B"/>
    <w:rsid w:val="005D14ED"/>
    <w:rsid w:val="005D2282"/>
    <w:rsid w:val="005D2A39"/>
    <w:rsid w:val="005D3B59"/>
    <w:rsid w:val="005D3B98"/>
    <w:rsid w:val="005D4011"/>
    <w:rsid w:val="005D457F"/>
    <w:rsid w:val="005D4636"/>
    <w:rsid w:val="005D5766"/>
    <w:rsid w:val="005D5E43"/>
    <w:rsid w:val="005D5EF7"/>
    <w:rsid w:val="005D60A4"/>
    <w:rsid w:val="005D64A7"/>
    <w:rsid w:val="005D69EA"/>
    <w:rsid w:val="005D6AF1"/>
    <w:rsid w:val="005D6E8B"/>
    <w:rsid w:val="005D6FF4"/>
    <w:rsid w:val="005D762A"/>
    <w:rsid w:val="005D7ACD"/>
    <w:rsid w:val="005E110F"/>
    <w:rsid w:val="005E15FD"/>
    <w:rsid w:val="005E1B89"/>
    <w:rsid w:val="005E1FF6"/>
    <w:rsid w:val="005E2231"/>
    <w:rsid w:val="005E23AB"/>
    <w:rsid w:val="005E25CB"/>
    <w:rsid w:val="005E2825"/>
    <w:rsid w:val="005E29A1"/>
    <w:rsid w:val="005E2AC4"/>
    <w:rsid w:val="005E349A"/>
    <w:rsid w:val="005E3810"/>
    <w:rsid w:val="005E3EF6"/>
    <w:rsid w:val="005E43F6"/>
    <w:rsid w:val="005E4A2D"/>
    <w:rsid w:val="005E4D15"/>
    <w:rsid w:val="005E63D7"/>
    <w:rsid w:val="005E6576"/>
    <w:rsid w:val="005E6746"/>
    <w:rsid w:val="005E6964"/>
    <w:rsid w:val="005E6D79"/>
    <w:rsid w:val="005E6E95"/>
    <w:rsid w:val="005E71E9"/>
    <w:rsid w:val="005E75D2"/>
    <w:rsid w:val="005E7BFB"/>
    <w:rsid w:val="005F0D2A"/>
    <w:rsid w:val="005F10DC"/>
    <w:rsid w:val="005F1933"/>
    <w:rsid w:val="005F19B4"/>
    <w:rsid w:val="005F1EA4"/>
    <w:rsid w:val="005F2245"/>
    <w:rsid w:val="005F2729"/>
    <w:rsid w:val="005F2DFB"/>
    <w:rsid w:val="005F2F8E"/>
    <w:rsid w:val="005F31DC"/>
    <w:rsid w:val="005F33AF"/>
    <w:rsid w:val="005F33E5"/>
    <w:rsid w:val="005F3665"/>
    <w:rsid w:val="005F382B"/>
    <w:rsid w:val="005F3B00"/>
    <w:rsid w:val="005F3ECF"/>
    <w:rsid w:val="005F4347"/>
    <w:rsid w:val="005F487C"/>
    <w:rsid w:val="005F4B72"/>
    <w:rsid w:val="005F4EDD"/>
    <w:rsid w:val="005F525E"/>
    <w:rsid w:val="005F598A"/>
    <w:rsid w:val="005F59B3"/>
    <w:rsid w:val="005F7B2F"/>
    <w:rsid w:val="005F7D55"/>
    <w:rsid w:val="005F7DC5"/>
    <w:rsid w:val="006003FC"/>
    <w:rsid w:val="00600802"/>
    <w:rsid w:val="00600B17"/>
    <w:rsid w:val="00600B50"/>
    <w:rsid w:val="00601535"/>
    <w:rsid w:val="00601C54"/>
    <w:rsid w:val="00601E0E"/>
    <w:rsid w:val="00601FCE"/>
    <w:rsid w:val="00601FF2"/>
    <w:rsid w:val="0060200F"/>
    <w:rsid w:val="00602469"/>
    <w:rsid w:val="00602573"/>
    <w:rsid w:val="00603231"/>
    <w:rsid w:val="0060346C"/>
    <w:rsid w:val="00603DEF"/>
    <w:rsid w:val="00604981"/>
    <w:rsid w:val="006049C8"/>
    <w:rsid w:val="006049F9"/>
    <w:rsid w:val="006050DB"/>
    <w:rsid w:val="00605108"/>
    <w:rsid w:val="006053EC"/>
    <w:rsid w:val="00605ACD"/>
    <w:rsid w:val="00606192"/>
    <w:rsid w:val="00606AC0"/>
    <w:rsid w:val="0060758E"/>
    <w:rsid w:val="006075A8"/>
    <w:rsid w:val="00607607"/>
    <w:rsid w:val="006077B4"/>
    <w:rsid w:val="0061044D"/>
    <w:rsid w:val="006104DC"/>
    <w:rsid w:val="00610680"/>
    <w:rsid w:val="00610AA5"/>
    <w:rsid w:val="00610D73"/>
    <w:rsid w:val="00610F5A"/>
    <w:rsid w:val="006111D6"/>
    <w:rsid w:val="00611B46"/>
    <w:rsid w:val="00611FE2"/>
    <w:rsid w:val="0061207B"/>
    <w:rsid w:val="00612DB8"/>
    <w:rsid w:val="00613189"/>
    <w:rsid w:val="0061351F"/>
    <w:rsid w:val="00613622"/>
    <w:rsid w:val="006136E1"/>
    <w:rsid w:val="00613FF3"/>
    <w:rsid w:val="00614833"/>
    <w:rsid w:val="00614B14"/>
    <w:rsid w:val="006156D2"/>
    <w:rsid w:val="0061602E"/>
    <w:rsid w:val="006165C9"/>
    <w:rsid w:val="00616EB1"/>
    <w:rsid w:val="00617806"/>
    <w:rsid w:val="00617ED7"/>
    <w:rsid w:val="00617FC9"/>
    <w:rsid w:val="00620377"/>
    <w:rsid w:val="0062103F"/>
    <w:rsid w:val="0062181A"/>
    <w:rsid w:val="00621E39"/>
    <w:rsid w:val="0062201D"/>
    <w:rsid w:val="0062247A"/>
    <w:rsid w:val="006227CA"/>
    <w:rsid w:val="00622999"/>
    <w:rsid w:val="00622B91"/>
    <w:rsid w:val="00622DC3"/>
    <w:rsid w:val="00622E17"/>
    <w:rsid w:val="0062428B"/>
    <w:rsid w:val="00624B83"/>
    <w:rsid w:val="00624D03"/>
    <w:rsid w:val="0062586C"/>
    <w:rsid w:val="00625AB9"/>
    <w:rsid w:val="00626327"/>
    <w:rsid w:val="006270C7"/>
    <w:rsid w:val="006273C3"/>
    <w:rsid w:val="00627476"/>
    <w:rsid w:val="006274AD"/>
    <w:rsid w:val="00627B17"/>
    <w:rsid w:val="00627F9E"/>
    <w:rsid w:val="0063081B"/>
    <w:rsid w:val="00630C95"/>
    <w:rsid w:val="00631278"/>
    <w:rsid w:val="006317A5"/>
    <w:rsid w:val="00631D36"/>
    <w:rsid w:val="006321DE"/>
    <w:rsid w:val="00633509"/>
    <w:rsid w:val="0063367A"/>
    <w:rsid w:val="00633CBA"/>
    <w:rsid w:val="00635435"/>
    <w:rsid w:val="00635768"/>
    <w:rsid w:val="006359FE"/>
    <w:rsid w:val="0063647B"/>
    <w:rsid w:val="00636C32"/>
    <w:rsid w:val="00637135"/>
    <w:rsid w:val="006371F9"/>
    <w:rsid w:val="00637A2E"/>
    <w:rsid w:val="00637E14"/>
    <w:rsid w:val="00640201"/>
    <w:rsid w:val="006406E7"/>
    <w:rsid w:val="006408DC"/>
    <w:rsid w:val="00640AFE"/>
    <w:rsid w:val="00640E41"/>
    <w:rsid w:val="00640EA1"/>
    <w:rsid w:val="00641172"/>
    <w:rsid w:val="006413E7"/>
    <w:rsid w:val="0064160B"/>
    <w:rsid w:val="00641AB8"/>
    <w:rsid w:val="00642700"/>
    <w:rsid w:val="00642EAC"/>
    <w:rsid w:val="00642EC6"/>
    <w:rsid w:val="0064339F"/>
    <w:rsid w:val="00643BCF"/>
    <w:rsid w:val="00643EAE"/>
    <w:rsid w:val="006444E5"/>
    <w:rsid w:val="00644CC4"/>
    <w:rsid w:val="00645591"/>
    <w:rsid w:val="00645938"/>
    <w:rsid w:val="0064610D"/>
    <w:rsid w:val="00646A66"/>
    <w:rsid w:val="006471DB"/>
    <w:rsid w:val="00647911"/>
    <w:rsid w:val="00647C65"/>
    <w:rsid w:val="00650BB1"/>
    <w:rsid w:val="00650D89"/>
    <w:rsid w:val="00650E09"/>
    <w:rsid w:val="006514CF"/>
    <w:rsid w:val="00651B85"/>
    <w:rsid w:val="0065217C"/>
    <w:rsid w:val="00652792"/>
    <w:rsid w:val="0065293A"/>
    <w:rsid w:val="006544B5"/>
    <w:rsid w:val="0065494A"/>
    <w:rsid w:val="00654DA1"/>
    <w:rsid w:val="00655920"/>
    <w:rsid w:val="0065594E"/>
    <w:rsid w:val="00655954"/>
    <w:rsid w:val="00656138"/>
    <w:rsid w:val="00656A4F"/>
    <w:rsid w:val="006573A2"/>
    <w:rsid w:val="00657481"/>
    <w:rsid w:val="006613D3"/>
    <w:rsid w:val="0066191A"/>
    <w:rsid w:val="00661BD3"/>
    <w:rsid w:val="006621D4"/>
    <w:rsid w:val="00662416"/>
    <w:rsid w:val="00662436"/>
    <w:rsid w:val="006628DE"/>
    <w:rsid w:val="006632E3"/>
    <w:rsid w:val="0066367A"/>
    <w:rsid w:val="00663C00"/>
    <w:rsid w:val="00663DB0"/>
    <w:rsid w:val="00663DC3"/>
    <w:rsid w:val="00664AC9"/>
    <w:rsid w:val="0066552D"/>
    <w:rsid w:val="00665B52"/>
    <w:rsid w:val="00666312"/>
    <w:rsid w:val="00666C2D"/>
    <w:rsid w:val="00666E7B"/>
    <w:rsid w:val="00667BDD"/>
    <w:rsid w:val="00670202"/>
    <w:rsid w:val="006707CE"/>
    <w:rsid w:val="00670940"/>
    <w:rsid w:val="00670D6C"/>
    <w:rsid w:val="00670E9B"/>
    <w:rsid w:val="006717FB"/>
    <w:rsid w:val="00671C05"/>
    <w:rsid w:val="006721F8"/>
    <w:rsid w:val="00672838"/>
    <w:rsid w:val="006728F8"/>
    <w:rsid w:val="00672C8F"/>
    <w:rsid w:val="00673035"/>
    <w:rsid w:val="0067333A"/>
    <w:rsid w:val="00673D17"/>
    <w:rsid w:val="00673F64"/>
    <w:rsid w:val="00674590"/>
    <w:rsid w:val="0067462C"/>
    <w:rsid w:val="00675688"/>
    <w:rsid w:val="00675690"/>
    <w:rsid w:val="006757DD"/>
    <w:rsid w:val="006757E2"/>
    <w:rsid w:val="00675DB0"/>
    <w:rsid w:val="00675E30"/>
    <w:rsid w:val="006767C8"/>
    <w:rsid w:val="00676C0D"/>
    <w:rsid w:val="00676FB7"/>
    <w:rsid w:val="006771A9"/>
    <w:rsid w:val="006775B5"/>
    <w:rsid w:val="0067778E"/>
    <w:rsid w:val="00677925"/>
    <w:rsid w:val="0068053C"/>
    <w:rsid w:val="0068080B"/>
    <w:rsid w:val="00680E1A"/>
    <w:rsid w:val="00681834"/>
    <w:rsid w:val="00682394"/>
    <w:rsid w:val="0068256F"/>
    <w:rsid w:val="00682705"/>
    <w:rsid w:val="006827AB"/>
    <w:rsid w:val="00682895"/>
    <w:rsid w:val="00682D87"/>
    <w:rsid w:val="0068359E"/>
    <w:rsid w:val="006835F3"/>
    <w:rsid w:val="00684042"/>
    <w:rsid w:val="0068448E"/>
    <w:rsid w:val="00684640"/>
    <w:rsid w:val="00684A98"/>
    <w:rsid w:val="00684AE0"/>
    <w:rsid w:val="00684CF4"/>
    <w:rsid w:val="00684D08"/>
    <w:rsid w:val="0068604F"/>
    <w:rsid w:val="00686692"/>
    <w:rsid w:val="00686D3C"/>
    <w:rsid w:val="00686EA6"/>
    <w:rsid w:val="00686EB7"/>
    <w:rsid w:val="006871C4"/>
    <w:rsid w:val="0068720C"/>
    <w:rsid w:val="00687256"/>
    <w:rsid w:val="006874A1"/>
    <w:rsid w:val="00690138"/>
    <w:rsid w:val="006903E4"/>
    <w:rsid w:val="00690DE6"/>
    <w:rsid w:val="00691268"/>
    <w:rsid w:val="00691658"/>
    <w:rsid w:val="006923C6"/>
    <w:rsid w:val="00694051"/>
    <w:rsid w:val="00694149"/>
    <w:rsid w:val="006942B6"/>
    <w:rsid w:val="0069432C"/>
    <w:rsid w:val="006947FB"/>
    <w:rsid w:val="00694C07"/>
    <w:rsid w:val="00694F17"/>
    <w:rsid w:val="0069520A"/>
    <w:rsid w:val="0069525D"/>
    <w:rsid w:val="006952EC"/>
    <w:rsid w:val="0069553D"/>
    <w:rsid w:val="006961D6"/>
    <w:rsid w:val="00696748"/>
    <w:rsid w:val="006978EC"/>
    <w:rsid w:val="00697D68"/>
    <w:rsid w:val="006A0AE1"/>
    <w:rsid w:val="006A0F4D"/>
    <w:rsid w:val="006A1174"/>
    <w:rsid w:val="006A1713"/>
    <w:rsid w:val="006A194D"/>
    <w:rsid w:val="006A233D"/>
    <w:rsid w:val="006A2655"/>
    <w:rsid w:val="006A2BB2"/>
    <w:rsid w:val="006A443D"/>
    <w:rsid w:val="006A4CD4"/>
    <w:rsid w:val="006A521D"/>
    <w:rsid w:val="006A5382"/>
    <w:rsid w:val="006A5BF1"/>
    <w:rsid w:val="006A6459"/>
    <w:rsid w:val="006A6542"/>
    <w:rsid w:val="006A65CA"/>
    <w:rsid w:val="006A6D4B"/>
    <w:rsid w:val="006A6E43"/>
    <w:rsid w:val="006A71BB"/>
    <w:rsid w:val="006B0604"/>
    <w:rsid w:val="006B062B"/>
    <w:rsid w:val="006B0697"/>
    <w:rsid w:val="006B0E89"/>
    <w:rsid w:val="006B1314"/>
    <w:rsid w:val="006B142C"/>
    <w:rsid w:val="006B1780"/>
    <w:rsid w:val="006B2167"/>
    <w:rsid w:val="006B2266"/>
    <w:rsid w:val="006B2CA1"/>
    <w:rsid w:val="006B2DD9"/>
    <w:rsid w:val="006B2F48"/>
    <w:rsid w:val="006B36D8"/>
    <w:rsid w:val="006B3767"/>
    <w:rsid w:val="006B4492"/>
    <w:rsid w:val="006B5054"/>
    <w:rsid w:val="006B525C"/>
    <w:rsid w:val="006B57AD"/>
    <w:rsid w:val="006B5C54"/>
    <w:rsid w:val="006B6084"/>
    <w:rsid w:val="006B6613"/>
    <w:rsid w:val="006B72B7"/>
    <w:rsid w:val="006C042D"/>
    <w:rsid w:val="006C0FDA"/>
    <w:rsid w:val="006C1364"/>
    <w:rsid w:val="006C1A85"/>
    <w:rsid w:val="006C1EE4"/>
    <w:rsid w:val="006C26D4"/>
    <w:rsid w:val="006C275F"/>
    <w:rsid w:val="006C2DAF"/>
    <w:rsid w:val="006C31D1"/>
    <w:rsid w:val="006C3599"/>
    <w:rsid w:val="006C394D"/>
    <w:rsid w:val="006C39AD"/>
    <w:rsid w:val="006C3E01"/>
    <w:rsid w:val="006C410B"/>
    <w:rsid w:val="006C446C"/>
    <w:rsid w:val="006C48E7"/>
    <w:rsid w:val="006C4B2B"/>
    <w:rsid w:val="006C4ED4"/>
    <w:rsid w:val="006C4FFF"/>
    <w:rsid w:val="006C5B59"/>
    <w:rsid w:val="006C6878"/>
    <w:rsid w:val="006C69D2"/>
    <w:rsid w:val="006C716E"/>
    <w:rsid w:val="006C7540"/>
    <w:rsid w:val="006C77F2"/>
    <w:rsid w:val="006D00C0"/>
    <w:rsid w:val="006D0B5A"/>
    <w:rsid w:val="006D0C09"/>
    <w:rsid w:val="006D16E9"/>
    <w:rsid w:val="006D20FC"/>
    <w:rsid w:val="006D241B"/>
    <w:rsid w:val="006D2A65"/>
    <w:rsid w:val="006D2ACB"/>
    <w:rsid w:val="006D2B1C"/>
    <w:rsid w:val="006D38FD"/>
    <w:rsid w:val="006D3973"/>
    <w:rsid w:val="006D3CB0"/>
    <w:rsid w:val="006D44C7"/>
    <w:rsid w:val="006D4B07"/>
    <w:rsid w:val="006D5066"/>
    <w:rsid w:val="006D5314"/>
    <w:rsid w:val="006D56D1"/>
    <w:rsid w:val="006D5969"/>
    <w:rsid w:val="006D5DAC"/>
    <w:rsid w:val="006D5E82"/>
    <w:rsid w:val="006D5E84"/>
    <w:rsid w:val="006D6A86"/>
    <w:rsid w:val="006D6B94"/>
    <w:rsid w:val="006D6BE1"/>
    <w:rsid w:val="006D6C2C"/>
    <w:rsid w:val="006D710E"/>
    <w:rsid w:val="006D740C"/>
    <w:rsid w:val="006D7929"/>
    <w:rsid w:val="006E15FB"/>
    <w:rsid w:val="006E17BE"/>
    <w:rsid w:val="006E28CB"/>
    <w:rsid w:val="006E350E"/>
    <w:rsid w:val="006E3588"/>
    <w:rsid w:val="006E3B8A"/>
    <w:rsid w:val="006E4C88"/>
    <w:rsid w:val="006E4E9D"/>
    <w:rsid w:val="006E515B"/>
    <w:rsid w:val="006E549A"/>
    <w:rsid w:val="006E5CCA"/>
    <w:rsid w:val="006E5F0E"/>
    <w:rsid w:val="006E60D9"/>
    <w:rsid w:val="006E6681"/>
    <w:rsid w:val="006E6B41"/>
    <w:rsid w:val="006E6B7A"/>
    <w:rsid w:val="006E6CB0"/>
    <w:rsid w:val="006F122D"/>
    <w:rsid w:val="006F15B4"/>
    <w:rsid w:val="006F1644"/>
    <w:rsid w:val="006F17C5"/>
    <w:rsid w:val="006F1896"/>
    <w:rsid w:val="006F2A35"/>
    <w:rsid w:val="006F2C69"/>
    <w:rsid w:val="006F31D8"/>
    <w:rsid w:val="006F37EB"/>
    <w:rsid w:val="006F3ED3"/>
    <w:rsid w:val="006F3FB9"/>
    <w:rsid w:val="006F401F"/>
    <w:rsid w:val="006F4B59"/>
    <w:rsid w:val="006F4C12"/>
    <w:rsid w:val="006F55CB"/>
    <w:rsid w:val="006F5A86"/>
    <w:rsid w:val="006F5B46"/>
    <w:rsid w:val="006F5CAF"/>
    <w:rsid w:val="006F6436"/>
    <w:rsid w:val="006F6664"/>
    <w:rsid w:val="006F6861"/>
    <w:rsid w:val="006F6CE5"/>
    <w:rsid w:val="006F6D15"/>
    <w:rsid w:val="006F7C95"/>
    <w:rsid w:val="00701399"/>
    <w:rsid w:val="00701708"/>
    <w:rsid w:val="007017FF"/>
    <w:rsid w:val="00701A0A"/>
    <w:rsid w:val="00701A60"/>
    <w:rsid w:val="0070205F"/>
    <w:rsid w:val="0070231A"/>
    <w:rsid w:val="00702BF3"/>
    <w:rsid w:val="007034DC"/>
    <w:rsid w:val="007037AB"/>
    <w:rsid w:val="007047FB"/>
    <w:rsid w:val="00704EEE"/>
    <w:rsid w:val="0070501E"/>
    <w:rsid w:val="007054CB"/>
    <w:rsid w:val="007055C2"/>
    <w:rsid w:val="007056B3"/>
    <w:rsid w:val="00705A19"/>
    <w:rsid w:val="007066A2"/>
    <w:rsid w:val="007067B3"/>
    <w:rsid w:val="00706987"/>
    <w:rsid w:val="007069FD"/>
    <w:rsid w:val="00706ACC"/>
    <w:rsid w:val="00707037"/>
    <w:rsid w:val="00707218"/>
    <w:rsid w:val="00707A63"/>
    <w:rsid w:val="00707BDA"/>
    <w:rsid w:val="00707EE4"/>
    <w:rsid w:val="00707F70"/>
    <w:rsid w:val="00707F7E"/>
    <w:rsid w:val="007101E2"/>
    <w:rsid w:val="00710E9F"/>
    <w:rsid w:val="00711205"/>
    <w:rsid w:val="00711295"/>
    <w:rsid w:val="0071162E"/>
    <w:rsid w:val="00711A75"/>
    <w:rsid w:val="007126BF"/>
    <w:rsid w:val="0071279C"/>
    <w:rsid w:val="00713186"/>
    <w:rsid w:val="007131BF"/>
    <w:rsid w:val="00713512"/>
    <w:rsid w:val="00713BE9"/>
    <w:rsid w:val="00713E91"/>
    <w:rsid w:val="00714797"/>
    <w:rsid w:val="00714A89"/>
    <w:rsid w:val="0071524A"/>
    <w:rsid w:val="007152B3"/>
    <w:rsid w:val="007154F3"/>
    <w:rsid w:val="00715A9E"/>
    <w:rsid w:val="0071606D"/>
    <w:rsid w:val="0071752F"/>
    <w:rsid w:val="0072092C"/>
    <w:rsid w:val="00720DF1"/>
    <w:rsid w:val="0072105A"/>
    <w:rsid w:val="007211C8"/>
    <w:rsid w:val="00721681"/>
    <w:rsid w:val="00721A9B"/>
    <w:rsid w:val="00722663"/>
    <w:rsid w:val="00722C7B"/>
    <w:rsid w:val="0072314F"/>
    <w:rsid w:val="00723203"/>
    <w:rsid w:val="0072354A"/>
    <w:rsid w:val="007236B5"/>
    <w:rsid w:val="007243F5"/>
    <w:rsid w:val="007245DF"/>
    <w:rsid w:val="00724816"/>
    <w:rsid w:val="007256C3"/>
    <w:rsid w:val="00725EAC"/>
    <w:rsid w:val="00726627"/>
    <w:rsid w:val="0072728D"/>
    <w:rsid w:val="00727632"/>
    <w:rsid w:val="00727EFF"/>
    <w:rsid w:val="0073012E"/>
    <w:rsid w:val="00731266"/>
    <w:rsid w:val="00731739"/>
    <w:rsid w:val="0073208E"/>
    <w:rsid w:val="007326D0"/>
    <w:rsid w:val="00732725"/>
    <w:rsid w:val="0073277E"/>
    <w:rsid w:val="007327CC"/>
    <w:rsid w:val="00732FD0"/>
    <w:rsid w:val="0073327B"/>
    <w:rsid w:val="007333DB"/>
    <w:rsid w:val="00733484"/>
    <w:rsid w:val="007345B4"/>
    <w:rsid w:val="0073510B"/>
    <w:rsid w:val="0073545B"/>
    <w:rsid w:val="00735AD3"/>
    <w:rsid w:val="00736356"/>
    <w:rsid w:val="00736DE4"/>
    <w:rsid w:val="00736E73"/>
    <w:rsid w:val="00737F2F"/>
    <w:rsid w:val="00740A61"/>
    <w:rsid w:val="007416F2"/>
    <w:rsid w:val="0074185F"/>
    <w:rsid w:val="0074219E"/>
    <w:rsid w:val="0074232E"/>
    <w:rsid w:val="00742904"/>
    <w:rsid w:val="00742C39"/>
    <w:rsid w:val="00742F18"/>
    <w:rsid w:val="00743592"/>
    <w:rsid w:val="00743746"/>
    <w:rsid w:val="00743F27"/>
    <w:rsid w:val="0074415F"/>
    <w:rsid w:val="0074427D"/>
    <w:rsid w:val="00744780"/>
    <w:rsid w:val="00744EEB"/>
    <w:rsid w:val="00744F03"/>
    <w:rsid w:val="00745434"/>
    <w:rsid w:val="007454CB"/>
    <w:rsid w:val="0074569F"/>
    <w:rsid w:val="007458DC"/>
    <w:rsid w:val="00745950"/>
    <w:rsid w:val="0074598F"/>
    <w:rsid w:val="0074658B"/>
    <w:rsid w:val="00746B67"/>
    <w:rsid w:val="00746ED6"/>
    <w:rsid w:val="0074772E"/>
    <w:rsid w:val="00747DE1"/>
    <w:rsid w:val="007503B9"/>
    <w:rsid w:val="00750AAC"/>
    <w:rsid w:val="007511BB"/>
    <w:rsid w:val="00751381"/>
    <w:rsid w:val="00751399"/>
    <w:rsid w:val="007513AC"/>
    <w:rsid w:val="00752106"/>
    <w:rsid w:val="00752489"/>
    <w:rsid w:val="00752503"/>
    <w:rsid w:val="00752741"/>
    <w:rsid w:val="007532C5"/>
    <w:rsid w:val="00753382"/>
    <w:rsid w:val="0075391B"/>
    <w:rsid w:val="00753BD1"/>
    <w:rsid w:val="00754468"/>
    <w:rsid w:val="007544F9"/>
    <w:rsid w:val="00754641"/>
    <w:rsid w:val="00754FAC"/>
    <w:rsid w:val="00756025"/>
    <w:rsid w:val="007561D0"/>
    <w:rsid w:val="00756549"/>
    <w:rsid w:val="00756845"/>
    <w:rsid w:val="007574BA"/>
    <w:rsid w:val="00757711"/>
    <w:rsid w:val="0076000C"/>
    <w:rsid w:val="007600D0"/>
    <w:rsid w:val="007606DF"/>
    <w:rsid w:val="00760A73"/>
    <w:rsid w:val="007612E2"/>
    <w:rsid w:val="00761458"/>
    <w:rsid w:val="00761BE4"/>
    <w:rsid w:val="00762141"/>
    <w:rsid w:val="0076279D"/>
    <w:rsid w:val="00762A49"/>
    <w:rsid w:val="00762AF2"/>
    <w:rsid w:val="00762FC3"/>
    <w:rsid w:val="0076300A"/>
    <w:rsid w:val="007632C1"/>
    <w:rsid w:val="007632F3"/>
    <w:rsid w:val="007637FF"/>
    <w:rsid w:val="00763DE1"/>
    <w:rsid w:val="0076424B"/>
    <w:rsid w:val="0076435A"/>
    <w:rsid w:val="007644CF"/>
    <w:rsid w:val="00764617"/>
    <w:rsid w:val="00764D36"/>
    <w:rsid w:val="007651A1"/>
    <w:rsid w:val="0076632F"/>
    <w:rsid w:val="00766990"/>
    <w:rsid w:val="00766CDE"/>
    <w:rsid w:val="007670CE"/>
    <w:rsid w:val="0076718C"/>
    <w:rsid w:val="007676A2"/>
    <w:rsid w:val="0076787F"/>
    <w:rsid w:val="00767896"/>
    <w:rsid w:val="00770484"/>
    <w:rsid w:val="00770626"/>
    <w:rsid w:val="00771063"/>
    <w:rsid w:val="007710B9"/>
    <w:rsid w:val="007725B8"/>
    <w:rsid w:val="00772E36"/>
    <w:rsid w:val="007734C5"/>
    <w:rsid w:val="0077376D"/>
    <w:rsid w:val="00773AA4"/>
    <w:rsid w:val="00773C77"/>
    <w:rsid w:val="007744B0"/>
    <w:rsid w:val="00774E24"/>
    <w:rsid w:val="0077590F"/>
    <w:rsid w:val="0077629E"/>
    <w:rsid w:val="00776531"/>
    <w:rsid w:val="007773A1"/>
    <w:rsid w:val="007777B8"/>
    <w:rsid w:val="00777A29"/>
    <w:rsid w:val="00777B7C"/>
    <w:rsid w:val="00780142"/>
    <w:rsid w:val="007809D8"/>
    <w:rsid w:val="00780BAF"/>
    <w:rsid w:val="00780CA4"/>
    <w:rsid w:val="00780EE8"/>
    <w:rsid w:val="0078111C"/>
    <w:rsid w:val="007811E7"/>
    <w:rsid w:val="007816B1"/>
    <w:rsid w:val="00781AED"/>
    <w:rsid w:val="00781DAE"/>
    <w:rsid w:val="00782426"/>
    <w:rsid w:val="0078244F"/>
    <w:rsid w:val="00782630"/>
    <w:rsid w:val="00783FA3"/>
    <w:rsid w:val="00784CC1"/>
    <w:rsid w:val="00784D44"/>
    <w:rsid w:val="00784EF7"/>
    <w:rsid w:val="00785340"/>
    <w:rsid w:val="00787026"/>
    <w:rsid w:val="007873E4"/>
    <w:rsid w:val="007874D5"/>
    <w:rsid w:val="00787F59"/>
    <w:rsid w:val="0079066F"/>
    <w:rsid w:val="007912CB"/>
    <w:rsid w:val="00791549"/>
    <w:rsid w:val="0079177C"/>
    <w:rsid w:val="00791F26"/>
    <w:rsid w:val="007920ED"/>
    <w:rsid w:val="007928A6"/>
    <w:rsid w:val="00792A5D"/>
    <w:rsid w:val="00792F76"/>
    <w:rsid w:val="00793945"/>
    <w:rsid w:val="00793D2F"/>
    <w:rsid w:val="0079495E"/>
    <w:rsid w:val="00795022"/>
    <w:rsid w:val="0079514D"/>
    <w:rsid w:val="0079552D"/>
    <w:rsid w:val="00795B3E"/>
    <w:rsid w:val="00795C3E"/>
    <w:rsid w:val="00795E98"/>
    <w:rsid w:val="00796420"/>
    <w:rsid w:val="0079692F"/>
    <w:rsid w:val="007972D1"/>
    <w:rsid w:val="00797502"/>
    <w:rsid w:val="00797674"/>
    <w:rsid w:val="00797AB2"/>
    <w:rsid w:val="00797EB3"/>
    <w:rsid w:val="007A058E"/>
    <w:rsid w:val="007A0742"/>
    <w:rsid w:val="007A1044"/>
    <w:rsid w:val="007A10D1"/>
    <w:rsid w:val="007A1840"/>
    <w:rsid w:val="007A1857"/>
    <w:rsid w:val="007A185C"/>
    <w:rsid w:val="007A1D41"/>
    <w:rsid w:val="007A25A8"/>
    <w:rsid w:val="007A2B8C"/>
    <w:rsid w:val="007A32FB"/>
    <w:rsid w:val="007A331E"/>
    <w:rsid w:val="007A3432"/>
    <w:rsid w:val="007A4B96"/>
    <w:rsid w:val="007A521F"/>
    <w:rsid w:val="007A5338"/>
    <w:rsid w:val="007A58FA"/>
    <w:rsid w:val="007A5C9A"/>
    <w:rsid w:val="007A660B"/>
    <w:rsid w:val="007A66BA"/>
    <w:rsid w:val="007A6D8D"/>
    <w:rsid w:val="007A709B"/>
    <w:rsid w:val="007A7183"/>
    <w:rsid w:val="007A783F"/>
    <w:rsid w:val="007B00C2"/>
    <w:rsid w:val="007B0100"/>
    <w:rsid w:val="007B045E"/>
    <w:rsid w:val="007B061E"/>
    <w:rsid w:val="007B071F"/>
    <w:rsid w:val="007B0892"/>
    <w:rsid w:val="007B08F0"/>
    <w:rsid w:val="007B15DF"/>
    <w:rsid w:val="007B3326"/>
    <w:rsid w:val="007B3775"/>
    <w:rsid w:val="007B398E"/>
    <w:rsid w:val="007B40C3"/>
    <w:rsid w:val="007B4140"/>
    <w:rsid w:val="007B4383"/>
    <w:rsid w:val="007B5173"/>
    <w:rsid w:val="007B5A03"/>
    <w:rsid w:val="007B614B"/>
    <w:rsid w:val="007B67A1"/>
    <w:rsid w:val="007B6D88"/>
    <w:rsid w:val="007B74D7"/>
    <w:rsid w:val="007B7501"/>
    <w:rsid w:val="007B7712"/>
    <w:rsid w:val="007B7BE1"/>
    <w:rsid w:val="007B7FD8"/>
    <w:rsid w:val="007C0342"/>
    <w:rsid w:val="007C0589"/>
    <w:rsid w:val="007C0665"/>
    <w:rsid w:val="007C14DC"/>
    <w:rsid w:val="007C15D1"/>
    <w:rsid w:val="007C181B"/>
    <w:rsid w:val="007C1CE5"/>
    <w:rsid w:val="007C2BC0"/>
    <w:rsid w:val="007C2E30"/>
    <w:rsid w:val="007C3964"/>
    <w:rsid w:val="007C3A2F"/>
    <w:rsid w:val="007C3D8C"/>
    <w:rsid w:val="007C3FE1"/>
    <w:rsid w:val="007C464B"/>
    <w:rsid w:val="007C5165"/>
    <w:rsid w:val="007C5802"/>
    <w:rsid w:val="007C5DB1"/>
    <w:rsid w:val="007C6BCA"/>
    <w:rsid w:val="007C72AE"/>
    <w:rsid w:val="007C7D45"/>
    <w:rsid w:val="007C7E24"/>
    <w:rsid w:val="007D0665"/>
    <w:rsid w:val="007D0905"/>
    <w:rsid w:val="007D27DA"/>
    <w:rsid w:val="007D3A0E"/>
    <w:rsid w:val="007D3CF1"/>
    <w:rsid w:val="007D3DF2"/>
    <w:rsid w:val="007D3F7F"/>
    <w:rsid w:val="007D436F"/>
    <w:rsid w:val="007D4E45"/>
    <w:rsid w:val="007D501F"/>
    <w:rsid w:val="007D5146"/>
    <w:rsid w:val="007D5BBC"/>
    <w:rsid w:val="007D6785"/>
    <w:rsid w:val="007D68E4"/>
    <w:rsid w:val="007D7AD3"/>
    <w:rsid w:val="007E0042"/>
    <w:rsid w:val="007E00F7"/>
    <w:rsid w:val="007E0B53"/>
    <w:rsid w:val="007E0E69"/>
    <w:rsid w:val="007E180A"/>
    <w:rsid w:val="007E1F9B"/>
    <w:rsid w:val="007E2472"/>
    <w:rsid w:val="007E30D4"/>
    <w:rsid w:val="007E370B"/>
    <w:rsid w:val="007E3818"/>
    <w:rsid w:val="007E3869"/>
    <w:rsid w:val="007E3943"/>
    <w:rsid w:val="007E3A06"/>
    <w:rsid w:val="007E3AD6"/>
    <w:rsid w:val="007E3E01"/>
    <w:rsid w:val="007E3EDA"/>
    <w:rsid w:val="007E43BE"/>
    <w:rsid w:val="007E48DA"/>
    <w:rsid w:val="007E4B79"/>
    <w:rsid w:val="007E5058"/>
    <w:rsid w:val="007E523B"/>
    <w:rsid w:val="007E53EE"/>
    <w:rsid w:val="007E5A0E"/>
    <w:rsid w:val="007E5B6A"/>
    <w:rsid w:val="007E5F05"/>
    <w:rsid w:val="007E6414"/>
    <w:rsid w:val="007E6684"/>
    <w:rsid w:val="007E69C5"/>
    <w:rsid w:val="007E6A29"/>
    <w:rsid w:val="007E6DE7"/>
    <w:rsid w:val="007E7351"/>
    <w:rsid w:val="007F0087"/>
    <w:rsid w:val="007F02EE"/>
    <w:rsid w:val="007F0481"/>
    <w:rsid w:val="007F095C"/>
    <w:rsid w:val="007F1FA0"/>
    <w:rsid w:val="007F1FB1"/>
    <w:rsid w:val="007F21B7"/>
    <w:rsid w:val="007F22B8"/>
    <w:rsid w:val="007F2528"/>
    <w:rsid w:val="007F298A"/>
    <w:rsid w:val="007F2CDE"/>
    <w:rsid w:val="007F2D58"/>
    <w:rsid w:val="007F2DE8"/>
    <w:rsid w:val="007F31E0"/>
    <w:rsid w:val="007F3862"/>
    <w:rsid w:val="007F3893"/>
    <w:rsid w:val="007F3A06"/>
    <w:rsid w:val="007F3AD0"/>
    <w:rsid w:val="007F3CDF"/>
    <w:rsid w:val="007F3EAC"/>
    <w:rsid w:val="007F4EB2"/>
    <w:rsid w:val="007F51F6"/>
    <w:rsid w:val="007F5AE9"/>
    <w:rsid w:val="007F5F23"/>
    <w:rsid w:val="007F65C6"/>
    <w:rsid w:val="007F6896"/>
    <w:rsid w:val="007F6898"/>
    <w:rsid w:val="007F68C9"/>
    <w:rsid w:val="007F6A7B"/>
    <w:rsid w:val="007F7DB4"/>
    <w:rsid w:val="007F7FC0"/>
    <w:rsid w:val="007F7FE9"/>
    <w:rsid w:val="00800213"/>
    <w:rsid w:val="00800692"/>
    <w:rsid w:val="0080120C"/>
    <w:rsid w:val="00801296"/>
    <w:rsid w:val="008013E8"/>
    <w:rsid w:val="00802491"/>
    <w:rsid w:val="008028D2"/>
    <w:rsid w:val="00802DB8"/>
    <w:rsid w:val="0080313F"/>
    <w:rsid w:val="0080337C"/>
    <w:rsid w:val="00803A6B"/>
    <w:rsid w:val="00803C18"/>
    <w:rsid w:val="008042D1"/>
    <w:rsid w:val="008043A8"/>
    <w:rsid w:val="00804C20"/>
    <w:rsid w:val="00805251"/>
    <w:rsid w:val="00805B33"/>
    <w:rsid w:val="00806E39"/>
    <w:rsid w:val="00807893"/>
    <w:rsid w:val="008079DB"/>
    <w:rsid w:val="00807A5B"/>
    <w:rsid w:val="00807BD5"/>
    <w:rsid w:val="00807D1C"/>
    <w:rsid w:val="00807EAC"/>
    <w:rsid w:val="008110E5"/>
    <w:rsid w:val="00811225"/>
    <w:rsid w:val="0081156C"/>
    <w:rsid w:val="00811985"/>
    <w:rsid w:val="00811AD8"/>
    <w:rsid w:val="00812038"/>
    <w:rsid w:val="0081215F"/>
    <w:rsid w:val="00812434"/>
    <w:rsid w:val="00812677"/>
    <w:rsid w:val="00813459"/>
    <w:rsid w:val="00813B78"/>
    <w:rsid w:val="00813DA5"/>
    <w:rsid w:val="00814F92"/>
    <w:rsid w:val="00815C87"/>
    <w:rsid w:val="00815CB1"/>
    <w:rsid w:val="00815FBE"/>
    <w:rsid w:val="0081649B"/>
    <w:rsid w:val="008165F8"/>
    <w:rsid w:val="00816C7C"/>
    <w:rsid w:val="00816D45"/>
    <w:rsid w:val="00816EA3"/>
    <w:rsid w:val="00817FE3"/>
    <w:rsid w:val="008205B5"/>
    <w:rsid w:val="00821081"/>
    <w:rsid w:val="00821124"/>
    <w:rsid w:val="00821578"/>
    <w:rsid w:val="00821984"/>
    <w:rsid w:val="008220A3"/>
    <w:rsid w:val="00822144"/>
    <w:rsid w:val="008230DD"/>
    <w:rsid w:val="00823563"/>
    <w:rsid w:val="008238E9"/>
    <w:rsid w:val="008239A6"/>
    <w:rsid w:val="0082433D"/>
    <w:rsid w:val="008243C9"/>
    <w:rsid w:val="00824A6D"/>
    <w:rsid w:val="00824C3C"/>
    <w:rsid w:val="00824FA8"/>
    <w:rsid w:val="00826023"/>
    <w:rsid w:val="00826B14"/>
    <w:rsid w:val="00827253"/>
    <w:rsid w:val="008302CC"/>
    <w:rsid w:val="0083081F"/>
    <w:rsid w:val="00830A25"/>
    <w:rsid w:val="008310B5"/>
    <w:rsid w:val="0083145D"/>
    <w:rsid w:val="0083168E"/>
    <w:rsid w:val="00831810"/>
    <w:rsid w:val="00831FC7"/>
    <w:rsid w:val="008324C3"/>
    <w:rsid w:val="008328E4"/>
    <w:rsid w:val="00832DF0"/>
    <w:rsid w:val="00833033"/>
    <w:rsid w:val="0083355E"/>
    <w:rsid w:val="00833A90"/>
    <w:rsid w:val="00833D31"/>
    <w:rsid w:val="008343DE"/>
    <w:rsid w:val="008344EE"/>
    <w:rsid w:val="008345E7"/>
    <w:rsid w:val="00834C88"/>
    <w:rsid w:val="00835124"/>
    <w:rsid w:val="008351E3"/>
    <w:rsid w:val="008351F8"/>
    <w:rsid w:val="00835437"/>
    <w:rsid w:val="00835911"/>
    <w:rsid w:val="00835BD6"/>
    <w:rsid w:val="00835CE3"/>
    <w:rsid w:val="008362C4"/>
    <w:rsid w:val="00836F13"/>
    <w:rsid w:val="00837D12"/>
    <w:rsid w:val="00840449"/>
    <w:rsid w:val="008404D8"/>
    <w:rsid w:val="00840669"/>
    <w:rsid w:val="008406AE"/>
    <w:rsid w:val="00841887"/>
    <w:rsid w:val="0084194F"/>
    <w:rsid w:val="0084290F"/>
    <w:rsid w:val="00842B7C"/>
    <w:rsid w:val="00842E87"/>
    <w:rsid w:val="008434C8"/>
    <w:rsid w:val="0084404F"/>
    <w:rsid w:val="0084484D"/>
    <w:rsid w:val="00844D45"/>
    <w:rsid w:val="008454AB"/>
    <w:rsid w:val="008460A2"/>
    <w:rsid w:val="00846111"/>
    <w:rsid w:val="008463A8"/>
    <w:rsid w:val="00846765"/>
    <w:rsid w:val="008468E2"/>
    <w:rsid w:val="00847143"/>
    <w:rsid w:val="008472E7"/>
    <w:rsid w:val="008477B9"/>
    <w:rsid w:val="00847A61"/>
    <w:rsid w:val="00847AD5"/>
    <w:rsid w:val="00847FD3"/>
    <w:rsid w:val="008501D3"/>
    <w:rsid w:val="008503D0"/>
    <w:rsid w:val="0085044E"/>
    <w:rsid w:val="00850815"/>
    <w:rsid w:val="00850E79"/>
    <w:rsid w:val="0085240E"/>
    <w:rsid w:val="00852451"/>
    <w:rsid w:val="00852820"/>
    <w:rsid w:val="008529C5"/>
    <w:rsid w:val="008530CA"/>
    <w:rsid w:val="008537E7"/>
    <w:rsid w:val="00853A79"/>
    <w:rsid w:val="00853C1D"/>
    <w:rsid w:val="00853D78"/>
    <w:rsid w:val="00854DB4"/>
    <w:rsid w:val="008550A6"/>
    <w:rsid w:val="008552BC"/>
    <w:rsid w:val="00855388"/>
    <w:rsid w:val="008553D9"/>
    <w:rsid w:val="0085563B"/>
    <w:rsid w:val="008556DE"/>
    <w:rsid w:val="00855A7C"/>
    <w:rsid w:val="00855AA1"/>
    <w:rsid w:val="00855B32"/>
    <w:rsid w:val="00856192"/>
    <w:rsid w:val="0085684A"/>
    <w:rsid w:val="008568F7"/>
    <w:rsid w:val="00856E47"/>
    <w:rsid w:val="008576F7"/>
    <w:rsid w:val="00857969"/>
    <w:rsid w:val="0086038F"/>
    <w:rsid w:val="00860473"/>
    <w:rsid w:val="008604A9"/>
    <w:rsid w:val="0086057D"/>
    <w:rsid w:val="00860CA2"/>
    <w:rsid w:val="00861475"/>
    <w:rsid w:val="00861482"/>
    <w:rsid w:val="008614B5"/>
    <w:rsid w:val="0086166A"/>
    <w:rsid w:val="00861AAB"/>
    <w:rsid w:val="00861DB2"/>
    <w:rsid w:val="00862478"/>
    <w:rsid w:val="0086249C"/>
    <w:rsid w:val="00862B0A"/>
    <w:rsid w:val="00862F38"/>
    <w:rsid w:val="00863245"/>
    <w:rsid w:val="00863271"/>
    <w:rsid w:val="00863542"/>
    <w:rsid w:val="0086376E"/>
    <w:rsid w:val="00863892"/>
    <w:rsid w:val="0086434D"/>
    <w:rsid w:val="0086460A"/>
    <w:rsid w:val="00864813"/>
    <w:rsid w:val="0086511B"/>
    <w:rsid w:val="0086541B"/>
    <w:rsid w:val="00865EFE"/>
    <w:rsid w:val="00865F5C"/>
    <w:rsid w:val="0086631E"/>
    <w:rsid w:val="008667C9"/>
    <w:rsid w:val="00866A8C"/>
    <w:rsid w:val="00866DFB"/>
    <w:rsid w:val="00866EE3"/>
    <w:rsid w:val="00866F80"/>
    <w:rsid w:val="00867364"/>
    <w:rsid w:val="00867475"/>
    <w:rsid w:val="00867DB8"/>
    <w:rsid w:val="008703BF"/>
    <w:rsid w:val="00870E14"/>
    <w:rsid w:val="00870F81"/>
    <w:rsid w:val="00871014"/>
    <w:rsid w:val="008719C7"/>
    <w:rsid w:val="00871B9A"/>
    <w:rsid w:val="008720F3"/>
    <w:rsid w:val="008728E0"/>
    <w:rsid w:val="00872AEA"/>
    <w:rsid w:val="00872F24"/>
    <w:rsid w:val="00873DBB"/>
    <w:rsid w:val="00874CFD"/>
    <w:rsid w:val="00874E0A"/>
    <w:rsid w:val="008753FE"/>
    <w:rsid w:val="008758A2"/>
    <w:rsid w:val="00876192"/>
    <w:rsid w:val="00876B08"/>
    <w:rsid w:val="00876F56"/>
    <w:rsid w:val="00877663"/>
    <w:rsid w:val="00877D1D"/>
    <w:rsid w:val="00880A33"/>
    <w:rsid w:val="00880EA8"/>
    <w:rsid w:val="008815BE"/>
    <w:rsid w:val="008815E8"/>
    <w:rsid w:val="008823D1"/>
    <w:rsid w:val="0088283D"/>
    <w:rsid w:val="00882A66"/>
    <w:rsid w:val="00882D4B"/>
    <w:rsid w:val="00882F94"/>
    <w:rsid w:val="008831D2"/>
    <w:rsid w:val="008832EA"/>
    <w:rsid w:val="00884461"/>
    <w:rsid w:val="008849A4"/>
    <w:rsid w:val="00884A84"/>
    <w:rsid w:val="00884C58"/>
    <w:rsid w:val="00885606"/>
    <w:rsid w:val="008858B0"/>
    <w:rsid w:val="00885D05"/>
    <w:rsid w:val="00885D84"/>
    <w:rsid w:val="00885F0F"/>
    <w:rsid w:val="0088653A"/>
    <w:rsid w:val="008869A2"/>
    <w:rsid w:val="00886B80"/>
    <w:rsid w:val="00886ED5"/>
    <w:rsid w:val="0088742E"/>
    <w:rsid w:val="008874FD"/>
    <w:rsid w:val="00887611"/>
    <w:rsid w:val="00887935"/>
    <w:rsid w:val="00887A16"/>
    <w:rsid w:val="00887DAE"/>
    <w:rsid w:val="0089014B"/>
    <w:rsid w:val="00890603"/>
    <w:rsid w:val="00891C11"/>
    <w:rsid w:val="00891C92"/>
    <w:rsid w:val="00891EF2"/>
    <w:rsid w:val="008921FE"/>
    <w:rsid w:val="00892930"/>
    <w:rsid w:val="00892B93"/>
    <w:rsid w:val="00892D6C"/>
    <w:rsid w:val="00893016"/>
    <w:rsid w:val="00893124"/>
    <w:rsid w:val="008933B0"/>
    <w:rsid w:val="008938ED"/>
    <w:rsid w:val="00893A1F"/>
    <w:rsid w:val="0089430B"/>
    <w:rsid w:val="0089438B"/>
    <w:rsid w:val="008943EB"/>
    <w:rsid w:val="008944F3"/>
    <w:rsid w:val="008946F5"/>
    <w:rsid w:val="00894D33"/>
    <w:rsid w:val="00894FE8"/>
    <w:rsid w:val="00895514"/>
    <w:rsid w:val="00895921"/>
    <w:rsid w:val="0089601F"/>
    <w:rsid w:val="00896083"/>
    <w:rsid w:val="0089621A"/>
    <w:rsid w:val="0089672E"/>
    <w:rsid w:val="008968F6"/>
    <w:rsid w:val="00896D0A"/>
    <w:rsid w:val="00896D7A"/>
    <w:rsid w:val="00896E5A"/>
    <w:rsid w:val="008972CC"/>
    <w:rsid w:val="00897977"/>
    <w:rsid w:val="00897A11"/>
    <w:rsid w:val="008A07E0"/>
    <w:rsid w:val="008A1121"/>
    <w:rsid w:val="008A1259"/>
    <w:rsid w:val="008A195A"/>
    <w:rsid w:val="008A1A4E"/>
    <w:rsid w:val="008A1C56"/>
    <w:rsid w:val="008A1D8B"/>
    <w:rsid w:val="008A2181"/>
    <w:rsid w:val="008A2689"/>
    <w:rsid w:val="008A2937"/>
    <w:rsid w:val="008A2E73"/>
    <w:rsid w:val="008A3FBD"/>
    <w:rsid w:val="008A41C9"/>
    <w:rsid w:val="008A4288"/>
    <w:rsid w:val="008A5028"/>
    <w:rsid w:val="008A5676"/>
    <w:rsid w:val="008A61AC"/>
    <w:rsid w:val="008A658B"/>
    <w:rsid w:val="008A66A4"/>
    <w:rsid w:val="008A66CD"/>
    <w:rsid w:val="008A6B1C"/>
    <w:rsid w:val="008A6F2A"/>
    <w:rsid w:val="008A72ED"/>
    <w:rsid w:val="008A751A"/>
    <w:rsid w:val="008A7E2D"/>
    <w:rsid w:val="008B0074"/>
    <w:rsid w:val="008B015F"/>
    <w:rsid w:val="008B06B7"/>
    <w:rsid w:val="008B099F"/>
    <w:rsid w:val="008B0FC3"/>
    <w:rsid w:val="008B1206"/>
    <w:rsid w:val="008B195E"/>
    <w:rsid w:val="008B1D8B"/>
    <w:rsid w:val="008B2682"/>
    <w:rsid w:val="008B2C79"/>
    <w:rsid w:val="008B2F53"/>
    <w:rsid w:val="008B376B"/>
    <w:rsid w:val="008B3A56"/>
    <w:rsid w:val="008B3B8E"/>
    <w:rsid w:val="008B3CA8"/>
    <w:rsid w:val="008B3E88"/>
    <w:rsid w:val="008B4048"/>
    <w:rsid w:val="008B4370"/>
    <w:rsid w:val="008B479B"/>
    <w:rsid w:val="008B581B"/>
    <w:rsid w:val="008B5B18"/>
    <w:rsid w:val="008B61D5"/>
    <w:rsid w:val="008B68E1"/>
    <w:rsid w:val="008B6946"/>
    <w:rsid w:val="008B71A8"/>
    <w:rsid w:val="008B7FB4"/>
    <w:rsid w:val="008C0BA4"/>
    <w:rsid w:val="008C14CA"/>
    <w:rsid w:val="008C199C"/>
    <w:rsid w:val="008C1C58"/>
    <w:rsid w:val="008C1C8F"/>
    <w:rsid w:val="008C2927"/>
    <w:rsid w:val="008C2B98"/>
    <w:rsid w:val="008C2CB0"/>
    <w:rsid w:val="008C2DB0"/>
    <w:rsid w:val="008C3164"/>
    <w:rsid w:val="008C3E22"/>
    <w:rsid w:val="008C4807"/>
    <w:rsid w:val="008C50B5"/>
    <w:rsid w:val="008C520B"/>
    <w:rsid w:val="008C5227"/>
    <w:rsid w:val="008C6177"/>
    <w:rsid w:val="008C741C"/>
    <w:rsid w:val="008C79FF"/>
    <w:rsid w:val="008C7CB9"/>
    <w:rsid w:val="008D071B"/>
    <w:rsid w:val="008D0BB4"/>
    <w:rsid w:val="008D0EA9"/>
    <w:rsid w:val="008D11B6"/>
    <w:rsid w:val="008D2561"/>
    <w:rsid w:val="008D25D2"/>
    <w:rsid w:val="008D37E7"/>
    <w:rsid w:val="008D395C"/>
    <w:rsid w:val="008D3F5A"/>
    <w:rsid w:val="008D49CA"/>
    <w:rsid w:val="008D4F07"/>
    <w:rsid w:val="008D5199"/>
    <w:rsid w:val="008D52A4"/>
    <w:rsid w:val="008D581E"/>
    <w:rsid w:val="008D5895"/>
    <w:rsid w:val="008D58D2"/>
    <w:rsid w:val="008D5B8E"/>
    <w:rsid w:val="008D5E66"/>
    <w:rsid w:val="008D6AE7"/>
    <w:rsid w:val="008D6C5E"/>
    <w:rsid w:val="008D6D1E"/>
    <w:rsid w:val="008D6E58"/>
    <w:rsid w:val="008D7A23"/>
    <w:rsid w:val="008E0EE3"/>
    <w:rsid w:val="008E1187"/>
    <w:rsid w:val="008E12DF"/>
    <w:rsid w:val="008E1F23"/>
    <w:rsid w:val="008E2465"/>
    <w:rsid w:val="008E25E5"/>
    <w:rsid w:val="008E26C2"/>
    <w:rsid w:val="008E2B5E"/>
    <w:rsid w:val="008E2E96"/>
    <w:rsid w:val="008E2F97"/>
    <w:rsid w:val="008E34E2"/>
    <w:rsid w:val="008E3D25"/>
    <w:rsid w:val="008E3F27"/>
    <w:rsid w:val="008E3F81"/>
    <w:rsid w:val="008E4077"/>
    <w:rsid w:val="008E4125"/>
    <w:rsid w:val="008E4899"/>
    <w:rsid w:val="008E4F4A"/>
    <w:rsid w:val="008E5175"/>
    <w:rsid w:val="008E5EDF"/>
    <w:rsid w:val="008E5FA0"/>
    <w:rsid w:val="008E650A"/>
    <w:rsid w:val="008E7113"/>
    <w:rsid w:val="008E72D1"/>
    <w:rsid w:val="008E7B24"/>
    <w:rsid w:val="008E7C49"/>
    <w:rsid w:val="008F027E"/>
    <w:rsid w:val="008F0E2A"/>
    <w:rsid w:val="008F1404"/>
    <w:rsid w:val="008F1BA5"/>
    <w:rsid w:val="008F1D94"/>
    <w:rsid w:val="008F1FBC"/>
    <w:rsid w:val="008F23F0"/>
    <w:rsid w:val="008F2D54"/>
    <w:rsid w:val="008F5480"/>
    <w:rsid w:val="008F5BE8"/>
    <w:rsid w:val="008F5E06"/>
    <w:rsid w:val="008F60C7"/>
    <w:rsid w:val="008F60CE"/>
    <w:rsid w:val="008F6173"/>
    <w:rsid w:val="008F6644"/>
    <w:rsid w:val="008F673E"/>
    <w:rsid w:val="008F70CF"/>
    <w:rsid w:val="008F7B68"/>
    <w:rsid w:val="00900B71"/>
    <w:rsid w:val="009010CA"/>
    <w:rsid w:val="00901118"/>
    <w:rsid w:val="00901430"/>
    <w:rsid w:val="00901437"/>
    <w:rsid w:val="0090176A"/>
    <w:rsid w:val="00902845"/>
    <w:rsid w:val="00903085"/>
    <w:rsid w:val="00903EDE"/>
    <w:rsid w:val="00904181"/>
    <w:rsid w:val="0090427A"/>
    <w:rsid w:val="0090434C"/>
    <w:rsid w:val="00904D2A"/>
    <w:rsid w:val="00904E00"/>
    <w:rsid w:val="0090545D"/>
    <w:rsid w:val="009055D6"/>
    <w:rsid w:val="00905DB3"/>
    <w:rsid w:val="00905E82"/>
    <w:rsid w:val="00906100"/>
    <w:rsid w:val="00906714"/>
    <w:rsid w:val="00907914"/>
    <w:rsid w:val="00907933"/>
    <w:rsid w:val="009079AE"/>
    <w:rsid w:val="00907CE8"/>
    <w:rsid w:val="00907D24"/>
    <w:rsid w:val="009113C7"/>
    <w:rsid w:val="0091147E"/>
    <w:rsid w:val="00911976"/>
    <w:rsid w:val="00911D8F"/>
    <w:rsid w:val="00911DC8"/>
    <w:rsid w:val="00912324"/>
    <w:rsid w:val="00912DD4"/>
    <w:rsid w:val="00913294"/>
    <w:rsid w:val="009142E2"/>
    <w:rsid w:val="0091484B"/>
    <w:rsid w:val="009149F1"/>
    <w:rsid w:val="00914F6C"/>
    <w:rsid w:val="0091514A"/>
    <w:rsid w:val="0091520F"/>
    <w:rsid w:val="009152FE"/>
    <w:rsid w:val="009155D8"/>
    <w:rsid w:val="00916033"/>
    <w:rsid w:val="009160CD"/>
    <w:rsid w:val="00916400"/>
    <w:rsid w:val="009172A8"/>
    <w:rsid w:val="00917D41"/>
    <w:rsid w:val="00917F90"/>
    <w:rsid w:val="00920C27"/>
    <w:rsid w:val="00920CFF"/>
    <w:rsid w:val="00921036"/>
    <w:rsid w:val="0092118D"/>
    <w:rsid w:val="00921D9E"/>
    <w:rsid w:val="0092230C"/>
    <w:rsid w:val="00923244"/>
    <w:rsid w:val="009232B0"/>
    <w:rsid w:val="009233D9"/>
    <w:rsid w:val="00923581"/>
    <w:rsid w:val="009236B8"/>
    <w:rsid w:val="00923F1B"/>
    <w:rsid w:val="009243DC"/>
    <w:rsid w:val="0092446B"/>
    <w:rsid w:val="0092470E"/>
    <w:rsid w:val="00925772"/>
    <w:rsid w:val="00925E3A"/>
    <w:rsid w:val="00926283"/>
    <w:rsid w:val="009262B3"/>
    <w:rsid w:val="00926AB9"/>
    <w:rsid w:val="009270CD"/>
    <w:rsid w:val="00927168"/>
    <w:rsid w:val="0092749A"/>
    <w:rsid w:val="00927BDE"/>
    <w:rsid w:val="009308C4"/>
    <w:rsid w:val="009313A5"/>
    <w:rsid w:val="00931608"/>
    <w:rsid w:val="00932229"/>
    <w:rsid w:val="009323B1"/>
    <w:rsid w:val="00933085"/>
    <w:rsid w:val="009333E2"/>
    <w:rsid w:val="00933484"/>
    <w:rsid w:val="00934CAE"/>
    <w:rsid w:val="00934E97"/>
    <w:rsid w:val="009353FC"/>
    <w:rsid w:val="009355C0"/>
    <w:rsid w:val="00935614"/>
    <w:rsid w:val="00935D31"/>
    <w:rsid w:val="00936C02"/>
    <w:rsid w:val="00936C46"/>
    <w:rsid w:val="00936E90"/>
    <w:rsid w:val="00937A68"/>
    <w:rsid w:val="00937D53"/>
    <w:rsid w:val="00937F38"/>
    <w:rsid w:val="0094021A"/>
    <w:rsid w:val="009410D1"/>
    <w:rsid w:val="009411CF"/>
    <w:rsid w:val="009417DD"/>
    <w:rsid w:val="00942ADB"/>
    <w:rsid w:val="00942FB8"/>
    <w:rsid w:val="00942FED"/>
    <w:rsid w:val="0094337E"/>
    <w:rsid w:val="00943628"/>
    <w:rsid w:val="0094387E"/>
    <w:rsid w:val="00943B77"/>
    <w:rsid w:val="0094429D"/>
    <w:rsid w:val="0094438A"/>
    <w:rsid w:val="00945603"/>
    <w:rsid w:val="00945974"/>
    <w:rsid w:val="00945DD2"/>
    <w:rsid w:val="00945FD9"/>
    <w:rsid w:val="0094656E"/>
    <w:rsid w:val="009465BC"/>
    <w:rsid w:val="009466C4"/>
    <w:rsid w:val="00946A23"/>
    <w:rsid w:val="00947FDA"/>
    <w:rsid w:val="009508B7"/>
    <w:rsid w:val="009508C9"/>
    <w:rsid w:val="00951360"/>
    <w:rsid w:val="00951BC9"/>
    <w:rsid w:val="00951C27"/>
    <w:rsid w:val="009520A7"/>
    <w:rsid w:val="00952A84"/>
    <w:rsid w:val="00952BE9"/>
    <w:rsid w:val="00952D05"/>
    <w:rsid w:val="009530C8"/>
    <w:rsid w:val="0095392D"/>
    <w:rsid w:val="00953973"/>
    <w:rsid w:val="00955B38"/>
    <w:rsid w:val="00956B28"/>
    <w:rsid w:val="00956FAF"/>
    <w:rsid w:val="0095773C"/>
    <w:rsid w:val="00957D27"/>
    <w:rsid w:val="00960022"/>
    <w:rsid w:val="00960024"/>
    <w:rsid w:val="009608CE"/>
    <w:rsid w:val="00961015"/>
    <w:rsid w:val="00961085"/>
    <w:rsid w:val="009611A2"/>
    <w:rsid w:val="00961881"/>
    <w:rsid w:val="00961ED0"/>
    <w:rsid w:val="009620E0"/>
    <w:rsid w:val="009638F0"/>
    <w:rsid w:val="0096441E"/>
    <w:rsid w:val="009644D5"/>
    <w:rsid w:val="00964B31"/>
    <w:rsid w:val="00964BCE"/>
    <w:rsid w:val="009655F8"/>
    <w:rsid w:val="009657AE"/>
    <w:rsid w:val="00965DE5"/>
    <w:rsid w:val="00965E0F"/>
    <w:rsid w:val="00966869"/>
    <w:rsid w:val="009668B3"/>
    <w:rsid w:val="00966CB6"/>
    <w:rsid w:val="00966CB8"/>
    <w:rsid w:val="00966DDA"/>
    <w:rsid w:val="00967379"/>
    <w:rsid w:val="00967C36"/>
    <w:rsid w:val="009709ED"/>
    <w:rsid w:val="0097145D"/>
    <w:rsid w:val="00971975"/>
    <w:rsid w:val="00971DA0"/>
    <w:rsid w:val="00972194"/>
    <w:rsid w:val="009722E4"/>
    <w:rsid w:val="0097254C"/>
    <w:rsid w:val="00972571"/>
    <w:rsid w:val="00972616"/>
    <w:rsid w:val="00972930"/>
    <w:rsid w:val="00973C80"/>
    <w:rsid w:val="00973FFF"/>
    <w:rsid w:val="00974273"/>
    <w:rsid w:val="00974493"/>
    <w:rsid w:val="00974916"/>
    <w:rsid w:val="00974CC1"/>
    <w:rsid w:val="00975AA1"/>
    <w:rsid w:val="00975F95"/>
    <w:rsid w:val="0097626B"/>
    <w:rsid w:val="0097642C"/>
    <w:rsid w:val="00976AE9"/>
    <w:rsid w:val="00976F70"/>
    <w:rsid w:val="009770D3"/>
    <w:rsid w:val="00977438"/>
    <w:rsid w:val="0097798A"/>
    <w:rsid w:val="00977F91"/>
    <w:rsid w:val="0098191B"/>
    <w:rsid w:val="00981C6A"/>
    <w:rsid w:val="0098221D"/>
    <w:rsid w:val="0098330E"/>
    <w:rsid w:val="0098361C"/>
    <w:rsid w:val="00983669"/>
    <w:rsid w:val="00983A7D"/>
    <w:rsid w:val="00983D2B"/>
    <w:rsid w:val="0098400E"/>
    <w:rsid w:val="00984340"/>
    <w:rsid w:val="00984BB6"/>
    <w:rsid w:val="00984CB1"/>
    <w:rsid w:val="0098581C"/>
    <w:rsid w:val="00986976"/>
    <w:rsid w:val="00986B7E"/>
    <w:rsid w:val="00987170"/>
    <w:rsid w:val="009879FB"/>
    <w:rsid w:val="00987A8D"/>
    <w:rsid w:val="0099000D"/>
    <w:rsid w:val="00990136"/>
    <w:rsid w:val="00990291"/>
    <w:rsid w:val="00990573"/>
    <w:rsid w:val="009905CD"/>
    <w:rsid w:val="00990ED3"/>
    <w:rsid w:val="0099162B"/>
    <w:rsid w:val="009916AB"/>
    <w:rsid w:val="009916E6"/>
    <w:rsid w:val="00992164"/>
    <w:rsid w:val="009922E1"/>
    <w:rsid w:val="00992D68"/>
    <w:rsid w:val="009933F2"/>
    <w:rsid w:val="00993B73"/>
    <w:rsid w:val="0099433B"/>
    <w:rsid w:val="009945FA"/>
    <w:rsid w:val="00994602"/>
    <w:rsid w:val="00995268"/>
    <w:rsid w:val="0099555E"/>
    <w:rsid w:val="00995662"/>
    <w:rsid w:val="00995C8E"/>
    <w:rsid w:val="00995D66"/>
    <w:rsid w:val="00995E91"/>
    <w:rsid w:val="00995EE1"/>
    <w:rsid w:val="00995F38"/>
    <w:rsid w:val="00996F5A"/>
    <w:rsid w:val="0099726F"/>
    <w:rsid w:val="00997895"/>
    <w:rsid w:val="009978A9"/>
    <w:rsid w:val="00997C77"/>
    <w:rsid w:val="009A07CD"/>
    <w:rsid w:val="009A12A9"/>
    <w:rsid w:val="009A12C7"/>
    <w:rsid w:val="009A1FE7"/>
    <w:rsid w:val="009A217F"/>
    <w:rsid w:val="009A2D28"/>
    <w:rsid w:val="009A30A0"/>
    <w:rsid w:val="009A3563"/>
    <w:rsid w:val="009A3FF6"/>
    <w:rsid w:val="009A40C1"/>
    <w:rsid w:val="009A42DB"/>
    <w:rsid w:val="009A4FCB"/>
    <w:rsid w:val="009A58FC"/>
    <w:rsid w:val="009A5ACE"/>
    <w:rsid w:val="009A6389"/>
    <w:rsid w:val="009A63E7"/>
    <w:rsid w:val="009A65C8"/>
    <w:rsid w:val="009A65DC"/>
    <w:rsid w:val="009A74D5"/>
    <w:rsid w:val="009A7A8B"/>
    <w:rsid w:val="009A7E59"/>
    <w:rsid w:val="009B0254"/>
    <w:rsid w:val="009B0322"/>
    <w:rsid w:val="009B04EE"/>
    <w:rsid w:val="009B0B2E"/>
    <w:rsid w:val="009B0E9E"/>
    <w:rsid w:val="009B1185"/>
    <w:rsid w:val="009B11C2"/>
    <w:rsid w:val="009B1B21"/>
    <w:rsid w:val="009B22A3"/>
    <w:rsid w:val="009B23DF"/>
    <w:rsid w:val="009B3279"/>
    <w:rsid w:val="009B36AC"/>
    <w:rsid w:val="009B395A"/>
    <w:rsid w:val="009B3E4A"/>
    <w:rsid w:val="009B48C0"/>
    <w:rsid w:val="009B4A8A"/>
    <w:rsid w:val="009B5039"/>
    <w:rsid w:val="009B65CF"/>
    <w:rsid w:val="009B6944"/>
    <w:rsid w:val="009B6D50"/>
    <w:rsid w:val="009B7017"/>
    <w:rsid w:val="009B70E2"/>
    <w:rsid w:val="009B7417"/>
    <w:rsid w:val="009B752F"/>
    <w:rsid w:val="009B78D6"/>
    <w:rsid w:val="009B78FC"/>
    <w:rsid w:val="009B7B29"/>
    <w:rsid w:val="009B7CA4"/>
    <w:rsid w:val="009B7CEF"/>
    <w:rsid w:val="009C03BB"/>
    <w:rsid w:val="009C1200"/>
    <w:rsid w:val="009C20B5"/>
    <w:rsid w:val="009C24F2"/>
    <w:rsid w:val="009C29B4"/>
    <w:rsid w:val="009C2B34"/>
    <w:rsid w:val="009C2CD5"/>
    <w:rsid w:val="009C3318"/>
    <w:rsid w:val="009C3630"/>
    <w:rsid w:val="009C3887"/>
    <w:rsid w:val="009C38DA"/>
    <w:rsid w:val="009C392A"/>
    <w:rsid w:val="009C41C0"/>
    <w:rsid w:val="009C5379"/>
    <w:rsid w:val="009C5434"/>
    <w:rsid w:val="009C5DEF"/>
    <w:rsid w:val="009C5F65"/>
    <w:rsid w:val="009C67FB"/>
    <w:rsid w:val="009C69D2"/>
    <w:rsid w:val="009C7411"/>
    <w:rsid w:val="009C7C8B"/>
    <w:rsid w:val="009D0A13"/>
    <w:rsid w:val="009D12C4"/>
    <w:rsid w:val="009D19AA"/>
    <w:rsid w:val="009D1C1F"/>
    <w:rsid w:val="009D2428"/>
    <w:rsid w:val="009D24BD"/>
    <w:rsid w:val="009D2A9D"/>
    <w:rsid w:val="009D2D0D"/>
    <w:rsid w:val="009D31A6"/>
    <w:rsid w:val="009D31CB"/>
    <w:rsid w:val="009D3575"/>
    <w:rsid w:val="009D3607"/>
    <w:rsid w:val="009D36A2"/>
    <w:rsid w:val="009D3A8B"/>
    <w:rsid w:val="009D3DA6"/>
    <w:rsid w:val="009D407B"/>
    <w:rsid w:val="009D4728"/>
    <w:rsid w:val="009D5A9A"/>
    <w:rsid w:val="009D643F"/>
    <w:rsid w:val="009D64E9"/>
    <w:rsid w:val="009D6A98"/>
    <w:rsid w:val="009D7302"/>
    <w:rsid w:val="009D788A"/>
    <w:rsid w:val="009D7EF2"/>
    <w:rsid w:val="009D7EFA"/>
    <w:rsid w:val="009E01DD"/>
    <w:rsid w:val="009E0417"/>
    <w:rsid w:val="009E0D6C"/>
    <w:rsid w:val="009E0FA2"/>
    <w:rsid w:val="009E27F5"/>
    <w:rsid w:val="009E3A08"/>
    <w:rsid w:val="009E3C59"/>
    <w:rsid w:val="009E415D"/>
    <w:rsid w:val="009E4870"/>
    <w:rsid w:val="009E487E"/>
    <w:rsid w:val="009E490F"/>
    <w:rsid w:val="009E4A5F"/>
    <w:rsid w:val="009E54EA"/>
    <w:rsid w:val="009E57C5"/>
    <w:rsid w:val="009E5DD4"/>
    <w:rsid w:val="009E5F99"/>
    <w:rsid w:val="009E67DF"/>
    <w:rsid w:val="009E715B"/>
    <w:rsid w:val="009E7858"/>
    <w:rsid w:val="009E7D16"/>
    <w:rsid w:val="009E7D73"/>
    <w:rsid w:val="009F00BC"/>
    <w:rsid w:val="009F02A4"/>
    <w:rsid w:val="009F0339"/>
    <w:rsid w:val="009F10F2"/>
    <w:rsid w:val="009F1E5D"/>
    <w:rsid w:val="009F20D7"/>
    <w:rsid w:val="009F2584"/>
    <w:rsid w:val="009F312C"/>
    <w:rsid w:val="009F33BA"/>
    <w:rsid w:val="009F3653"/>
    <w:rsid w:val="009F36B6"/>
    <w:rsid w:val="009F3F04"/>
    <w:rsid w:val="009F465B"/>
    <w:rsid w:val="009F4BE5"/>
    <w:rsid w:val="009F4EA2"/>
    <w:rsid w:val="009F501B"/>
    <w:rsid w:val="009F6260"/>
    <w:rsid w:val="009F644A"/>
    <w:rsid w:val="009F680D"/>
    <w:rsid w:val="009F6E3A"/>
    <w:rsid w:val="009F7118"/>
    <w:rsid w:val="009F7357"/>
    <w:rsid w:val="009F78B6"/>
    <w:rsid w:val="009F7C21"/>
    <w:rsid w:val="00A0030C"/>
    <w:rsid w:val="00A0092B"/>
    <w:rsid w:val="00A00FE4"/>
    <w:rsid w:val="00A012EB"/>
    <w:rsid w:val="00A019F2"/>
    <w:rsid w:val="00A01A51"/>
    <w:rsid w:val="00A01BC2"/>
    <w:rsid w:val="00A02002"/>
    <w:rsid w:val="00A02779"/>
    <w:rsid w:val="00A02981"/>
    <w:rsid w:val="00A02B3E"/>
    <w:rsid w:val="00A02ED7"/>
    <w:rsid w:val="00A02F28"/>
    <w:rsid w:val="00A03322"/>
    <w:rsid w:val="00A034BB"/>
    <w:rsid w:val="00A036A1"/>
    <w:rsid w:val="00A04495"/>
    <w:rsid w:val="00A046CC"/>
    <w:rsid w:val="00A04B91"/>
    <w:rsid w:val="00A0514E"/>
    <w:rsid w:val="00A05700"/>
    <w:rsid w:val="00A05BA0"/>
    <w:rsid w:val="00A05CF1"/>
    <w:rsid w:val="00A05FB1"/>
    <w:rsid w:val="00A063CA"/>
    <w:rsid w:val="00A0640C"/>
    <w:rsid w:val="00A064C0"/>
    <w:rsid w:val="00A06761"/>
    <w:rsid w:val="00A0689C"/>
    <w:rsid w:val="00A06BD9"/>
    <w:rsid w:val="00A07D16"/>
    <w:rsid w:val="00A108FD"/>
    <w:rsid w:val="00A110A9"/>
    <w:rsid w:val="00A11D19"/>
    <w:rsid w:val="00A11D4F"/>
    <w:rsid w:val="00A1272A"/>
    <w:rsid w:val="00A127C4"/>
    <w:rsid w:val="00A14728"/>
    <w:rsid w:val="00A1529D"/>
    <w:rsid w:val="00A154AB"/>
    <w:rsid w:val="00A155F6"/>
    <w:rsid w:val="00A16077"/>
    <w:rsid w:val="00A16B95"/>
    <w:rsid w:val="00A16B96"/>
    <w:rsid w:val="00A174F9"/>
    <w:rsid w:val="00A175EA"/>
    <w:rsid w:val="00A17658"/>
    <w:rsid w:val="00A204B6"/>
    <w:rsid w:val="00A20F98"/>
    <w:rsid w:val="00A2183D"/>
    <w:rsid w:val="00A21BD3"/>
    <w:rsid w:val="00A21C31"/>
    <w:rsid w:val="00A22387"/>
    <w:rsid w:val="00A22E04"/>
    <w:rsid w:val="00A23816"/>
    <w:rsid w:val="00A23B92"/>
    <w:rsid w:val="00A23CDC"/>
    <w:rsid w:val="00A24DA8"/>
    <w:rsid w:val="00A24F4E"/>
    <w:rsid w:val="00A25516"/>
    <w:rsid w:val="00A25709"/>
    <w:rsid w:val="00A25C27"/>
    <w:rsid w:val="00A2625C"/>
    <w:rsid w:val="00A26982"/>
    <w:rsid w:val="00A26C43"/>
    <w:rsid w:val="00A27514"/>
    <w:rsid w:val="00A27557"/>
    <w:rsid w:val="00A2784A"/>
    <w:rsid w:val="00A30506"/>
    <w:rsid w:val="00A30577"/>
    <w:rsid w:val="00A306E1"/>
    <w:rsid w:val="00A30B48"/>
    <w:rsid w:val="00A30C3C"/>
    <w:rsid w:val="00A3114E"/>
    <w:rsid w:val="00A316C0"/>
    <w:rsid w:val="00A31B26"/>
    <w:rsid w:val="00A31B97"/>
    <w:rsid w:val="00A31BFB"/>
    <w:rsid w:val="00A31FAD"/>
    <w:rsid w:val="00A3220D"/>
    <w:rsid w:val="00A32270"/>
    <w:rsid w:val="00A32C24"/>
    <w:rsid w:val="00A33529"/>
    <w:rsid w:val="00A33823"/>
    <w:rsid w:val="00A33B5A"/>
    <w:rsid w:val="00A33D82"/>
    <w:rsid w:val="00A34DAE"/>
    <w:rsid w:val="00A34EB1"/>
    <w:rsid w:val="00A34EC4"/>
    <w:rsid w:val="00A3537F"/>
    <w:rsid w:val="00A353A1"/>
    <w:rsid w:val="00A35CD1"/>
    <w:rsid w:val="00A35DA9"/>
    <w:rsid w:val="00A35EAC"/>
    <w:rsid w:val="00A35F6E"/>
    <w:rsid w:val="00A3621C"/>
    <w:rsid w:val="00A3721D"/>
    <w:rsid w:val="00A37227"/>
    <w:rsid w:val="00A37787"/>
    <w:rsid w:val="00A37860"/>
    <w:rsid w:val="00A37DB3"/>
    <w:rsid w:val="00A400DB"/>
    <w:rsid w:val="00A4017C"/>
    <w:rsid w:val="00A4021D"/>
    <w:rsid w:val="00A40486"/>
    <w:rsid w:val="00A40D3B"/>
    <w:rsid w:val="00A417C3"/>
    <w:rsid w:val="00A417FE"/>
    <w:rsid w:val="00A418CB"/>
    <w:rsid w:val="00A4272E"/>
    <w:rsid w:val="00A4361D"/>
    <w:rsid w:val="00A436BE"/>
    <w:rsid w:val="00A43A29"/>
    <w:rsid w:val="00A43AC6"/>
    <w:rsid w:val="00A43DA0"/>
    <w:rsid w:val="00A44B56"/>
    <w:rsid w:val="00A450AF"/>
    <w:rsid w:val="00A45187"/>
    <w:rsid w:val="00A4547D"/>
    <w:rsid w:val="00A45484"/>
    <w:rsid w:val="00A455E0"/>
    <w:rsid w:val="00A460CA"/>
    <w:rsid w:val="00A462B6"/>
    <w:rsid w:val="00A46558"/>
    <w:rsid w:val="00A467D3"/>
    <w:rsid w:val="00A46A5F"/>
    <w:rsid w:val="00A4750D"/>
    <w:rsid w:val="00A47D69"/>
    <w:rsid w:val="00A50556"/>
    <w:rsid w:val="00A50916"/>
    <w:rsid w:val="00A50BC9"/>
    <w:rsid w:val="00A510C5"/>
    <w:rsid w:val="00A51A54"/>
    <w:rsid w:val="00A51AD0"/>
    <w:rsid w:val="00A51EE5"/>
    <w:rsid w:val="00A51F60"/>
    <w:rsid w:val="00A520C6"/>
    <w:rsid w:val="00A524F0"/>
    <w:rsid w:val="00A52A29"/>
    <w:rsid w:val="00A52C66"/>
    <w:rsid w:val="00A52D02"/>
    <w:rsid w:val="00A532A7"/>
    <w:rsid w:val="00A53520"/>
    <w:rsid w:val="00A5367F"/>
    <w:rsid w:val="00A53EC3"/>
    <w:rsid w:val="00A54304"/>
    <w:rsid w:val="00A5446C"/>
    <w:rsid w:val="00A55A61"/>
    <w:rsid w:val="00A55B17"/>
    <w:rsid w:val="00A56753"/>
    <w:rsid w:val="00A5698C"/>
    <w:rsid w:val="00A574AB"/>
    <w:rsid w:val="00A5767C"/>
    <w:rsid w:val="00A57C29"/>
    <w:rsid w:val="00A601B6"/>
    <w:rsid w:val="00A6039F"/>
    <w:rsid w:val="00A60674"/>
    <w:rsid w:val="00A60B7A"/>
    <w:rsid w:val="00A61A55"/>
    <w:rsid w:val="00A61A97"/>
    <w:rsid w:val="00A61B1A"/>
    <w:rsid w:val="00A61CF6"/>
    <w:rsid w:val="00A61D22"/>
    <w:rsid w:val="00A61DDE"/>
    <w:rsid w:val="00A62559"/>
    <w:rsid w:val="00A628D6"/>
    <w:rsid w:val="00A62AC0"/>
    <w:rsid w:val="00A62F61"/>
    <w:rsid w:val="00A6392A"/>
    <w:rsid w:val="00A64B16"/>
    <w:rsid w:val="00A64F2F"/>
    <w:rsid w:val="00A65111"/>
    <w:rsid w:val="00A655C1"/>
    <w:rsid w:val="00A65604"/>
    <w:rsid w:val="00A65E9F"/>
    <w:rsid w:val="00A669AD"/>
    <w:rsid w:val="00A66FC1"/>
    <w:rsid w:val="00A670AC"/>
    <w:rsid w:val="00A670D6"/>
    <w:rsid w:val="00A67370"/>
    <w:rsid w:val="00A674C6"/>
    <w:rsid w:val="00A674FF"/>
    <w:rsid w:val="00A67B4A"/>
    <w:rsid w:val="00A67B9D"/>
    <w:rsid w:val="00A67F78"/>
    <w:rsid w:val="00A706EA"/>
    <w:rsid w:val="00A70814"/>
    <w:rsid w:val="00A70D53"/>
    <w:rsid w:val="00A70F07"/>
    <w:rsid w:val="00A7130A"/>
    <w:rsid w:val="00A71677"/>
    <w:rsid w:val="00A716A8"/>
    <w:rsid w:val="00A71813"/>
    <w:rsid w:val="00A71E13"/>
    <w:rsid w:val="00A7290A"/>
    <w:rsid w:val="00A72A01"/>
    <w:rsid w:val="00A72D1C"/>
    <w:rsid w:val="00A73157"/>
    <w:rsid w:val="00A734D2"/>
    <w:rsid w:val="00A73D6A"/>
    <w:rsid w:val="00A746B2"/>
    <w:rsid w:val="00A74DE5"/>
    <w:rsid w:val="00A75337"/>
    <w:rsid w:val="00A75DD9"/>
    <w:rsid w:val="00A76D7A"/>
    <w:rsid w:val="00A77027"/>
    <w:rsid w:val="00A77211"/>
    <w:rsid w:val="00A772EB"/>
    <w:rsid w:val="00A773DE"/>
    <w:rsid w:val="00A775E7"/>
    <w:rsid w:val="00A77997"/>
    <w:rsid w:val="00A77A68"/>
    <w:rsid w:val="00A804F7"/>
    <w:rsid w:val="00A80A58"/>
    <w:rsid w:val="00A81717"/>
    <w:rsid w:val="00A82618"/>
    <w:rsid w:val="00A82C46"/>
    <w:rsid w:val="00A8339B"/>
    <w:rsid w:val="00A837F4"/>
    <w:rsid w:val="00A84366"/>
    <w:rsid w:val="00A845B4"/>
    <w:rsid w:val="00A84ED0"/>
    <w:rsid w:val="00A85197"/>
    <w:rsid w:val="00A85249"/>
    <w:rsid w:val="00A85A75"/>
    <w:rsid w:val="00A860F8"/>
    <w:rsid w:val="00A861EF"/>
    <w:rsid w:val="00A865E4"/>
    <w:rsid w:val="00A866B2"/>
    <w:rsid w:val="00A867A7"/>
    <w:rsid w:val="00A86E5A"/>
    <w:rsid w:val="00A900BE"/>
    <w:rsid w:val="00A91017"/>
    <w:rsid w:val="00A91147"/>
    <w:rsid w:val="00A91994"/>
    <w:rsid w:val="00A91A1C"/>
    <w:rsid w:val="00A9216F"/>
    <w:rsid w:val="00A92993"/>
    <w:rsid w:val="00A930B9"/>
    <w:rsid w:val="00A9370C"/>
    <w:rsid w:val="00A947A8"/>
    <w:rsid w:val="00A94AC6"/>
    <w:rsid w:val="00A94DFE"/>
    <w:rsid w:val="00A95446"/>
    <w:rsid w:val="00A955E7"/>
    <w:rsid w:val="00A959C5"/>
    <w:rsid w:val="00A961F5"/>
    <w:rsid w:val="00A976CC"/>
    <w:rsid w:val="00A979D4"/>
    <w:rsid w:val="00AA0A54"/>
    <w:rsid w:val="00AA101E"/>
    <w:rsid w:val="00AA13BC"/>
    <w:rsid w:val="00AA153C"/>
    <w:rsid w:val="00AA1CCD"/>
    <w:rsid w:val="00AA2262"/>
    <w:rsid w:val="00AA27D5"/>
    <w:rsid w:val="00AA29B8"/>
    <w:rsid w:val="00AA2C1B"/>
    <w:rsid w:val="00AA2F04"/>
    <w:rsid w:val="00AA2F9D"/>
    <w:rsid w:val="00AA482E"/>
    <w:rsid w:val="00AA488C"/>
    <w:rsid w:val="00AA4AB7"/>
    <w:rsid w:val="00AA54DF"/>
    <w:rsid w:val="00AA5A20"/>
    <w:rsid w:val="00AA630B"/>
    <w:rsid w:val="00AA6451"/>
    <w:rsid w:val="00AA657F"/>
    <w:rsid w:val="00AA6ED2"/>
    <w:rsid w:val="00AA70B4"/>
    <w:rsid w:val="00AA7282"/>
    <w:rsid w:val="00AA7DC8"/>
    <w:rsid w:val="00AB0074"/>
    <w:rsid w:val="00AB00D2"/>
    <w:rsid w:val="00AB140C"/>
    <w:rsid w:val="00AB1D61"/>
    <w:rsid w:val="00AB1DBD"/>
    <w:rsid w:val="00AB1DD5"/>
    <w:rsid w:val="00AB24C0"/>
    <w:rsid w:val="00AB268C"/>
    <w:rsid w:val="00AB2D58"/>
    <w:rsid w:val="00AB3340"/>
    <w:rsid w:val="00AB3C86"/>
    <w:rsid w:val="00AB4088"/>
    <w:rsid w:val="00AB429D"/>
    <w:rsid w:val="00AB4835"/>
    <w:rsid w:val="00AB49DC"/>
    <w:rsid w:val="00AB4FA0"/>
    <w:rsid w:val="00AB5094"/>
    <w:rsid w:val="00AB56CB"/>
    <w:rsid w:val="00AB644B"/>
    <w:rsid w:val="00AB64C7"/>
    <w:rsid w:val="00AB6CDC"/>
    <w:rsid w:val="00AB6D74"/>
    <w:rsid w:val="00AB7283"/>
    <w:rsid w:val="00AB7510"/>
    <w:rsid w:val="00AB78EC"/>
    <w:rsid w:val="00AB7F9D"/>
    <w:rsid w:val="00AC0012"/>
    <w:rsid w:val="00AC01CE"/>
    <w:rsid w:val="00AC05EB"/>
    <w:rsid w:val="00AC0732"/>
    <w:rsid w:val="00AC126B"/>
    <w:rsid w:val="00AC1394"/>
    <w:rsid w:val="00AC17B3"/>
    <w:rsid w:val="00AC17BE"/>
    <w:rsid w:val="00AC19C7"/>
    <w:rsid w:val="00AC1BEA"/>
    <w:rsid w:val="00AC2125"/>
    <w:rsid w:val="00AC2601"/>
    <w:rsid w:val="00AC2A8E"/>
    <w:rsid w:val="00AC3123"/>
    <w:rsid w:val="00AC3953"/>
    <w:rsid w:val="00AC4B27"/>
    <w:rsid w:val="00AC5103"/>
    <w:rsid w:val="00AC5622"/>
    <w:rsid w:val="00AC56EF"/>
    <w:rsid w:val="00AC59E4"/>
    <w:rsid w:val="00AC5A83"/>
    <w:rsid w:val="00AC5C4A"/>
    <w:rsid w:val="00AC5FC9"/>
    <w:rsid w:val="00AC65C4"/>
    <w:rsid w:val="00AC6BA1"/>
    <w:rsid w:val="00AC6DA5"/>
    <w:rsid w:val="00AC6EB5"/>
    <w:rsid w:val="00AC7304"/>
    <w:rsid w:val="00AC7482"/>
    <w:rsid w:val="00AC76D0"/>
    <w:rsid w:val="00AD035F"/>
    <w:rsid w:val="00AD0EEE"/>
    <w:rsid w:val="00AD17E0"/>
    <w:rsid w:val="00AD29BA"/>
    <w:rsid w:val="00AD2DF1"/>
    <w:rsid w:val="00AD362E"/>
    <w:rsid w:val="00AD375E"/>
    <w:rsid w:val="00AD3C85"/>
    <w:rsid w:val="00AD3FAF"/>
    <w:rsid w:val="00AD4540"/>
    <w:rsid w:val="00AD4689"/>
    <w:rsid w:val="00AD4700"/>
    <w:rsid w:val="00AD4A7B"/>
    <w:rsid w:val="00AD4B07"/>
    <w:rsid w:val="00AD4DC8"/>
    <w:rsid w:val="00AD5661"/>
    <w:rsid w:val="00AD58D3"/>
    <w:rsid w:val="00AD5902"/>
    <w:rsid w:val="00AD59E5"/>
    <w:rsid w:val="00AE0072"/>
    <w:rsid w:val="00AE038B"/>
    <w:rsid w:val="00AE04FA"/>
    <w:rsid w:val="00AE12AD"/>
    <w:rsid w:val="00AE17A9"/>
    <w:rsid w:val="00AE186A"/>
    <w:rsid w:val="00AE1C82"/>
    <w:rsid w:val="00AE258E"/>
    <w:rsid w:val="00AE2621"/>
    <w:rsid w:val="00AE2B50"/>
    <w:rsid w:val="00AE2C3D"/>
    <w:rsid w:val="00AE33C2"/>
    <w:rsid w:val="00AE3753"/>
    <w:rsid w:val="00AE3B1B"/>
    <w:rsid w:val="00AE3B88"/>
    <w:rsid w:val="00AE44CF"/>
    <w:rsid w:val="00AE4695"/>
    <w:rsid w:val="00AE49DE"/>
    <w:rsid w:val="00AE4B5E"/>
    <w:rsid w:val="00AE5090"/>
    <w:rsid w:val="00AE54C8"/>
    <w:rsid w:val="00AE591C"/>
    <w:rsid w:val="00AE6034"/>
    <w:rsid w:val="00AE63A9"/>
    <w:rsid w:val="00AE69BB"/>
    <w:rsid w:val="00AE6ACA"/>
    <w:rsid w:val="00AF01A6"/>
    <w:rsid w:val="00AF04C6"/>
    <w:rsid w:val="00AF051F"/>
    <w:rsid w:val="00AF0552"/>
    <w:rsid w:val="00AF14A4"/>
    <w:rsid w:val="00AF1B6A"/>
    <w:rsid w:val="00AF1EE0"/>
    <w:rsid w:val="00AF225C"/>
    <w:rsid w:val="00AF2A7C"/>
    <w:rsid w:val="00AF2EB4"/>
    <w:rsid w:val="00AF30CC"/>
    <w:rsid w:val="00AF378F"/>
    <w:rsid w:val="00AF38F4"/>
    <w:rsid w:val="00AF3969"/>
    <w:rsid w:val="00AF39A2"/>
    <w:rsid w:val="00AF45F6"/>
    <w:rsid w:val="00AF5586"/>
    <w:rsid w:val="00AF5994"/>
    <w:rsid w:val="00AF5C7A"/>
    <w:rsid w:val="00AF5D58"/>
    <w:rsid w:val="00AF6594"/>
    <w:rsid w:val="00AF67F5"/>
    <w:rsid w:val="00AF7C48"/>
    <w:rsid w:val="00AF7E1A"/>
    <w:rsid w:val="00AF7E54"/>
    <w:rsid w:val="00B0037D"/>
    <w:rsid w:val="00B003EF"/>
    <w:rsid w:val="00B009B3"/>
    <w:rsid w:val="00B01F33"/>
    <w:rsid w:val="00B02211"/>
    <w:rsid w:val="00B02289"/>
    <w:rsid w:val="00B02B32"/>
    <w:rsid w:val="00B035E9"/>
    <w:rsid w:val="00B0378D"/>
    <w:rsid w:val="00B03F39"/>
    <w:rsid w:val="00B03FD0"/>
    <w:rsid w:val="00B04185"/>
    <w:rsid w:val="00B04E39"/>
    <w:rsid w:val="00B05084"/>
    <w:rsid w:val="00B07677"/>
    <w:rsid w:val="00B077ED"/>
    <w:rsid w:val="00B07C3E"/>
    <w:rsid w:val="00B07C53"/>
    <w:rsid w:val="00B07DB7"/>
    <w:rsid w:val="00B10EFE"/>
    <w:rsid w:val="00B112C8"/>
    <w:rsid w:val="00B11576"/>
    <w:rsid w:val="00B11667"/>
    <w:rsid w:val="00B116F6"/>
    <w:rsid w:val="00B116FB"/>
    <w:rsid w:val="00B11BF2"/>
    <w:rsid w:val="00B11D95"/>
    <w:rsid w:val="00B12091"/>
    <w:rsid w:val="00B134A6"/>
    <w:rsid w:val="00B13762"/>
    <w:rsid w:val="00B13E63"/>
    <w:rsid w:val="00B1406D"/>
    <w:rsid w:val="00B14091"/>
    <w:rsid w:val="00B146CA"/>
    <w:rsid w:val="00B14888"/>
    <w:rsid w:val="00B14D98"/>
    <w:rsid w:val="00B150B8"/>
    <w:rsid w:val="00B15124"/>
    <w:rsid w:val="00B15B61"/>
    <w:rsid w:val="00B16241"/>
    <w:rsid w:val="00B16514"/>
    <w:rsid w:val="00B1651C"/>
    <w:rsid w:val="00B17529"/>
    <w:rsid w:val="00B17607"/>
    <w:rsid w:val="00B17F2C"/>
    <w:rsid w:val="00B201D7"/>
    <w:rsid w:val="00B20357"/>
    <w:rsid w:val="00B2048E"/>
    <w:rsid w:val="00B20602"/>
    <w:rsid w:val="00B20678"/>
    <w:rsid w:val="00B20E18"/>
    <w:rsid w:val="00B21422"/>
    <w:rsid w:val="00B21EA2"/>
    <w:rsid w:val="00B22606"/>
    <w:rsid w:val="00B22BF3"/>
    <w:rsid w:val="00B23FFD"/>
    <w:rsid w:val="00B24BF6"/>
    <w:rsid w:val="00B252B4"/>
    <w:rsid w:val="00B2538D"/>
    <w:rsid w:val="00B25EFA"/>
    <w:rsid w:val="00B26017"/>
    <w:rsid w:val="00B2623B"/>
    <w:rsid w:val="00B264DA"/>
    <w:rsid w:val="00B26588"/>
    <w:rsid w:val="00B2659A"/>
    <w:rsid w:val="00B2667C"/>
    <w:rsid w:val="00B276BB"/>
    <w:rsid w:val="00B3026B"/>
    <w:rsid w:val="00B30A80"/>
    <w:rsid w:val="00B31400"/>
    <w:rsid w:val="00B31553"/>
    <w:rsid w:val="00B316C9"/>
    <w:rsid w:val="00B31792"/>
    <w:rsid w:val="00B31E28"/>
    <w:rsid w:val="00B320D7"/>
    <w:rsid w:val="00B324BA"/>
    <w:rsid w:val="00B324CC"/>
    <w:rsid w:val="00B328D7"/>
    <w:rsid w:val="00B32AA9"/>
    <w:rsid w:val="00B32CC3"/>
    <w:rsid w:val="00B32F8A"/>
    <w:rsid w:val="00B344CD"/>
    <w:rsid w:val="00B344D4"/>
    <w:rsid w:val="00B346EC"/>
    <w:rsid w:val="00B348B3"/>
    <w:rsid w:val="00B35007"/>
    <w:rsid w:val="00B3556D"/>
    <w:rsid w:val="00B35A6E"/>
    <w:rsid w:val="00B35CD0"/>
    <w:rsid w:val="00B35F7D"/>
    <w:rsid w:val="00B364AB"/>
    <w:rsid w:val="00B36659"/>
    <w:rsid w:val="00B367BC"/>
    <w:rsid w:val="00B36A83"/>
    <w:rsid w:val="00B37503"/>
    <w:rsid w:val="00B376AB"/>
    <w:rsid w:val="00B37C53"/>
    <w:rsid w:val="00B40311"/>
    <w:rsid w:val="00B4108C"/>
    <w:rsid w:val="00B41195"/>
    <w:rsid w:val="00B41914"/>
    <w:rsid w:val="00B420E9"/>
    <w:rsid w:val="00B42165"/>
    <w:rsid w:val="00B42FCC"/>
    <w:rsid w:val="00B43E1E"/>
    <w:rsid w:val="00B44428"/>
    <w:rsid w:val="00B445FF"/>
    <w:rsid w:val="00B4515B"/>
    <w:rsid w:val="00B456BB"/>
    <w:rsid w:val="00B4605F"/>
    <w:rsid w:val="00B4631E"/>
    <w:rsid w:val="00B464D8"/>
    <w:rsid w:val="00B4715E"/>
    <w:rsid w:val="00B47702"/>
    <w:rsid w:val="00B4788A"/>
    <w:rsid w:val="00B5034A"/>
    <w:rsid w:val="00B50403"/>
    <w:rsid w:val="00B507DD"/>
    <w:rsid w:val="00B50803"/>
    <w:rsid w:val="00B50D7F"/>
    <w:rsid w:val="00B50F6E"/>
    <w:rsid w:val="00B51CFF"/>
    <w:rsid w:val="00B5240E"/>
    <w:rsid w:val="00B5258B"/>
    <w:rsid w:val="00B534F3"/>
    <w:rsid w:val="00B54133"/>
    <w:rsid w:val="00B54566"/>
    <w:rsid w:val="00B5489C"/>
    <w:rsid w:val="00B54B65"/>
    <w:rsid w:val="00B5522C"/>
    <w:rsid w:val="00B56D90"/>
    <w:rsid w:val="00B570F8"/>
    <w:rsid w:val="00B571BB"/>
    <w:rsid w:val="00B574AE"/>
    <w:rsid w:val="00B57A7C"/>
    <w:rsid w:val="00B57D5F"/>
    <w:rsid w:val="00B6059A"/>
    <w:rsid w:val="00B608CB"/>
    <w:rsid w:val="00B608D5"/>
    <w:rsid w:val="00B6139E"/>
    <w:rsid w:val="00B6186F"/>
    <w:rsid w:val="00B61EAE"/>
    <w:rsid w:val="00B62599"/>
    <w:rsid w:val="00B628B7"/>
    <w:rsid w:val="00B6364B"/>
    <w:rsid w:val="00B63670"/>
    <w:rsid w:val="00B637D1"/>
    <w:rsid w:val="00B64029"/>
    <w:rsid w:val="00B64D29"/>
    <w:rsid w:val="00B65049"/>
    <w:rsid w:val="00B650A4"/>
    <w:rsid w:val="00B6531C"/>
    <w:rsid w:val="00B655B2"/>
    <w:rsid w:val="00B658F5"/>
    <w:rsid w:val="00B65B89"/>
    <w:rsid w:val="00B65F9F"/>
    <w:rsid w:val="00B66042"/>
    <w:rsid w:val="00B66F82"/>
    <w:rsid w:val="00B678D0"/>
    <w:rsid w:val="00B67BBE"/>
    <w:rsid w:val="00B67C75"/>
    <w:rsid w:val="00B70308"/>
    <w:rsid w:val="00B70C57"/>
    <w:rsid w:val="00B715A9"/>
    <w:rsid w:val="00B7162A"/>
    <w:rsid w:val="00B71856"/>
    <w:rsid w:val="00B71899"/>
    <w:rsid w:val="00B71AEA"/>
    <w:rsid w:val="00B728CE"/>
    <w:rsid w:val="00B730C7"/>
    <w:rsid w:val="00B73C88"/>
    <w:rsid w:val="00B73DF3"/>
    <w:rsid w:val="00B73E45"/>
    <w:rsid w:val="00B74084"/>
    <w:rsid w:val="00B74529"/>
    <w:rsid w:val="00B74A4E"/>
    <w:rsid w:val="00B74CC5"/>
    <w:rsid w:val="00B7534A"/>
    <w:rsid w:val="00B7603A"/>
    <w:rsid w:val="00B761A0"/>
    <w:rsid w:val="00B77111"/>
    <w:rsid w:val="00B77180"/>
    <w:rsid w:val="00B80E3E"/>
    <w:rsid w:val="00B82F4F"/>
    <w:rsid w:val="00B832BD"/>
    <w:rsid w:val="00B8382C"/>
    <w:rsid w:val="00B83880"/>
    <w:rsid w:val="00B839B6"/>
    <w:rsid w:val="00B83C16"/>
    <w:rsid w:val="00B84331"/>
    <w:rsid w:val="00B846B1"/>
    <w:rsid w:val="00B847C0"/>
    <w:rsid w:val="00B84F77"/>
    <w:rsid w:val="00B8516E"/>
    <w:rsid w:val="00B85275"/>
    <w:rsid w:val="00B8594D"/>
    <w:rsid w:val="00B85A04"/>
    <w:rsid w:val="00B86482"/>
    <w:rsid w:val="00B864B2"/>
    <w:rsid w:val="00B865A8"/>
    <w:rsid w:val="00B87160"/>
    <w:rsid w:val="00B878E2"/>
    <w:rsid w:val="00B87F82"/>
    <w:rsid w:val="00B90110"/>
    <w:rsid w:val="00B906A1"/>
    <w:rsid w:val="00B90EA9"/>
    <w:rsid w:val="00B911EE"/>
    <w:rsid w:val="00B91B6A"/>
    <w:rsid w:val="00B91D6A"/>
    <w:rsid w:val="00B920BC"/>
    <w:rsid w:val="00B9210A"/>
    <w:rsid w:val="00B9213B"/>
    <w:rsid w:val="00B921BD"/>
    <w:rsid w:val="00B9249C"/>
    <w:rsid w:val="00B92AD5"/>
    <w:rsid w:val="00B92F98"/>
    <w:rsid w:val="00B93629"/>
    <w:rsid w:val="00B93771"/>
    <w:rsid w:val="00B93B49"/>
    <w:rsid w:val="00B93BF2"/>
    <w:rsid w:val="00B940C5"/>
    <w:rsid w:val="00B94A8C"/>
    <w:rsid w:val="00B952DE"/>
    <w:rsid w:val="00B957E9"/>
    <w:rsid w:val="00B96887"/>
    <w:rsid w:val="00B972CB"/>
    <w:rsid w:val="00B9761B"/>
    <w:rsid w:val="00B9790E"/>
    <w:rsid w:val="00B97A9C"/>
    <w:rsid w:val="00B97CAC"/>
    <w:rsid w:val="00B97D46"/>
    <w:rsid w:val="00B97E5D"/>
    <w:rsid w:val="00BA01BD"/>
    <w:rsid w:val="00BA0A05"/>
    <w:rsid w:val="00BA0CC6"/>
    <w:rsid w:val="00BA177D"/>
    <w:rsid w:val="00BA211A"/>
    <w:rsid w:val="00BA2160"/>
    <w:rsid w:val="00BA363D"/>
    <w:rsid w:val="00BA39B4"/>
    <w:rsid w:val="00BA3B05"/>
    <w:rsid w:val="00BA409E"/>
    <w:rsid w:val="00BA4E13"/>
    <w:rsid w:val="00BA553E"/>
    <w:rsid w:val="00BA5767"/>
    <w:rsid w:val="00BA576A"/>
    <w:rsid w:val="00BA5782"/>
    <w:rsid w:val="00BA5BDD"/>
    <w:rsid w:val="00BA5E4E"/>
    <w:rsid w:val="00BA6136"/>
    <w:rsid w:val="00BA6666"/>
    <w:rsid w:val="00BA6671"/>
    <w:rsid w:val="00BA68F7"/>
    <w:rsid w:val="00BA6ABB"/>
    <w:rsid w:val="00BA6BEF"/>
    <w:rsid w:val="00BA7AF9"/>
    <w:rsid w:val="00BB0578"/>
    <w:rsid w:val="00BB0EE7"/>
    <w:rsid w:val="00BB1364"/>
    <w:rsid w:val="00BB17C4"/>
    <w:rsid w:val="00BB1ECA"/>
    <w:rsid w:val="00BB23BB"/>
    <w:rsid w:val="00BB2498"/>
    <w:rsid w:val="00BB27A2"/>
    <w:rsid w:val="00BB2A7D"/>
    <w:rsid w:val="00BB2CA9"/>
    <w:rsid w:val="00BB319E"/>
    <w:rsid w:val="00BB32E1"/>
    <w:rsid w:val="00BB34DF"/>
    <w:rsid w:val="00BB44D0"/>
    <w:rsid w:val="00BB4929"/>
    <w:rsid w:val="00BB4E42"/>
    <w:rsid w:val="00BB5376"/>
    <w:rsid w:val="00BB56FC"/>
    <w:rsid w:val="00BB683C"/>
    <w:rsid w:val="00BB6A0F"/>
    <w:rsid w:val="00BB6A30"/>
    <w:rsid w:val="00BB731A"/>
    <w:rsid w:val="00BB7465"/>
    <w:rsid w:val="00BB7CD0"/>
    <w:rsid w:val="00BB7D8F"/>
    <w:rsid w:val="00BC0812"/>
    <w:rsid w:val="00BC0980"/>
    <w:rsid w:val="00BC1365"/>
    <w:rsid w:val="00BC185B"/>
    <w:rsid w:val="00BC2546"/>
    <w:rsid w:val="00BC2C91"/>
    <w:rsid w:val="00BC2E99"/>
    <w:rsid w:val="00BC3713"/>
    <w:rsid w:val="00BC49FA"/>
    <w:rsid w:val="00BC4AA3"/>
    <w:rsid w:val="00BC564C"/>
    <w:rsid w:val="00BC58C2"/>
    <w:rsid w:val="00BC5E37"/>
    <w:rsid w:val="00BC6160"/>
    <w:rsid w:val="00BC6572"/>
    <w:rsid w:val="00BC693A"/>
    <w:rsid w:val="00BC6EFC"/>
    <w:rsid w:val="00BC7244"/>
    <w:rsid w:val="00BC7258"/>
    <w:rsid w:val="00BD00B0"/>
    <w:rsid w:val="00BD0132"/>
    <w:rsid w:val="00BD01C3"/>
    <w:rsid w:val="00BD02AF"/>
    <w:rsid w:val="00BD093D"/>
    <w:rsid w:val="00BD12A2"/>
    <w:rsid w:val="00BD12CB"/>
    <w:rsid w:val="00BD1B0B"/>
    <w:rsid w:val="00BD1CA8"/>
    <w:rsid w:val="00BD21E1"/>
    <w:rsid w:val="00BD2691"/>
    <w:rsid w:val="00BD29E3"/>
    <w:rsid w:val="00BD2C4B"/>
    <w:rsid w:val="00BD2EDC"/>
    <w:rsid w:val="00BD3312"/>
    <w:rsid w:val="00BD354D"/>
    <w:rsid w:val="00BD35F0"/>
    <w:rsid w:val="00BD3D1B"/>
    <w:rsid w:val="00BD4827"/>
    <w:rsid w:val="00BD4B0C"/>
    <w:rsid w:val="00BD4B3D"/>
    <w:rsid w:val="00BD4C57"/>
    <w:rsid w:val="00BD50A8"/>
    <w:rsid w:val="00BD5557"/>
    <w:rsid w:val="00BD5789"/>
    <w:rsid w:val="00BD5C52"/>
    <w:rsid w:val="00BD5CE9"/>
    <w:rsid w:val="00BD5D35"/>
    <w:rsid w:val="00BD6063"/>
    <w:rsid w:val="00BD6C2C"/>
    <w:rsid w:val="00BD6D53"/>
    <w:rsid w:val="00BD70DF"/>
    <w:rsid w:val="00BD798B"/>
    <w:rsid w:val="00BD7C32"/>
    <w:rsid w:val="00BE0033"/>
    <w:rsid w:val="00BE023C"/>
    <w:rsid w:val="00BE09B6"/>
    <w:rsid w:val="00BE11CF"/>
    <w:rsid w:val="00BE1403"/>
    <w:rsid w:val="00BE1B6D"/>
    <w:rsid w:val="00BE2ED2"/>
    <w:rsid w:val="00BE3341"/>
    <w:rsid w:val="00BE33BF"/>
    <w:rsid w:val="00BE43A6"/>
    <w:rsid w:val="00BE528C"/>
    <w:rsid w:val="00BE53A3"/>
    <w:rsid w:val="00BE5613"/>
    <w:rsid w:val="00BE5857"/>
    <w:rsid w:val="00BE5872"/>
    <w:rsid w:val="00BE5ADD"/>
    <w:rsid w:val="00BE60FE"/>
    <w:rsid w:val="00BE6383"/>
    <w:rsid w:val="00BE650D"/>
    <w:rsid w:val="00BE68DB"/>
    <w:rsid w:val="00BE6AEB"/>
    <w:rsid w:val="00BE6E52"/>
    <w:rsid w:val="00BE6F5D"/>
    <w:rsid w:val="00BE7134"/>
    <w:rsid w:val="00BE73EB"/>
    <w:rsid w:val="00BE7BB5"/>
    <w:rsid w:val="00BF0110"/>
    <w:rsid w:val="00BF06FC"/>
    <w:rsid w:val="00BF1175"/>
    <w:rsid w:val="00BF1898"/>
    <w:rsid w:val="00BF2BEC"/>
    <w:rsid w:val="00BF32C8"/>
    <w:rsid w:val="00BF3AE6"/>
    <w:rsid w:val="00BF3D59"/>
    <w:rsid w:val="00BF3ECD"/>
    <w:rsid w:val="00BF42B2"/>
    <w:rsid w:val="00BF4306"/>
    <w:rsid w:val="00BF49BE"/>
    <w:rsid w:val="00BF5129"/>
    <w:rsid w:val="00BF5273"/>
    <w:rsid w:val="00BF611F"/>
    <w:rsid w:val="00BF669B"/>
    <w:rsid w:val="00BF6A9A"/>
    <w:rsid w:val="00BF6EBA"/>
    <w:rsid w:val="00C0150D"/>
    <w:rsid w:val="00C015C0"/>
    <w:rsid w:val="00C015C3"/>
    <w:rsid w:val="00C01AB0"/>
    <w:rsid w:val="00C03234"/>
    <w:rsid w:val="00C03724"/>
    <w:rsid w:val="00C042CD"/>
    <w:rsid w:val="00C046C5"/>
    <w:rsid w:val="00C0566D"/>
    <w:rsid w:val="00C056F7"/>
    <w:rsid w:val="00C05CAD"/>
    <w:rsid w:val="00C069BF"/>
    <w:rsid w:val="00C06B2F"/>
    <w:rsid w:val="00C06E32"/>
    <w:rsid w:val="00C07546"/>
    <w:rsid w:val="00C10278"/>
    <w:rsid w:val="00C1061B"/>
    <w:rsid w:val="00C10D88"/>
    <w:rsid w:val="00C10DE5"/>
    <w:rsid w:val="00C11196"/>
    <w:rsid w:val="00C112FF"/>
    <w:rsid w:val="00C11732"/>
    <w:rsid w:val="00C118D6"/>
    <w:rsid w:val="00C11B27"/>
    <w:rsid w:val="00C12251"/>
    <w:rsid w:val="00C1247A"/>
    <w:rsid w:val="00C1265F"/>
    <w:rsid w:val="00C126F5"/>
    <w:rsid w:val="00C12C45"/>
    <w:rsid w:val="00C1313D"/>
    <w:rsid w:val="00C13815"/>
    <w:rsid w:val="00C13AC3"/>
    <w:rsid w:val="00C14E01"/>
    <w:rsid w:val="00C14FF4"/>
    <w:rsid w:val="00C153E3"/>
    <w:rsid w:val="00C15A08"/>
    <w:rsid w:val="00C15B2A"/>
    <w:rsid w:val="00C15FB9"/>
    <w:rsid w:val="00C1654F"/>
    <w:rsid w:val="00C168AB"/>
    <w:rsid w:val="00C169CE"/>
    <w:rsid w:val="00C16E1B"/>
    <w:rsid w:val="00C178E7"/>
    <w:rsid w:val="00C1795D"/>
    <w:rsid w:val="00C202EF"/>
    <w:rsid w:val="00C20A4F"/>
    <w:rsid w:val="00C20DA9"/>
    <w:rsid w:val="00C21433"/>
    <w:rsid w:val="00C21C7C"/>
    <w:rsid w:val="00C21E2D"/>
    <w:rsid w:val="00C229E3"/>
    <w:rsid w:val="00C22CA1"/>
    <w:rsid w:val="00C23A17"/>
    <w:rsid w:val="00C24168"/>
    <w:rsid w:val="00C2484E"/>
    <w:rsid w:val="00C249A7"/>
    <w:rsid w:val="00C24A98"/>
    <w:rsid w:val="00C24B9F"/>
    <w:rsid w:val="00C254D9"/>
    <w:rsid w:val="00C2559C"/>
    <w:rsid w:val="00C2560F"/>
    <w:rsid w:val="00C25E21"/>
    <w:rsid w:val="00C26013"/>
    <w:rsid w:val="00C26150"/>
    <w:rsid w:val="00C26314"/>
    <w:rsid w:val="00C26882"/>
    <w:rsid w:val="00C268A5"/>
    <w:rsid w:val="00C26B50"/>
    <w:rsid w:val="00C26C7B"/>
    <w:rsid w:val="00C270AA"/>
    <w:rsid w:val="00C27723"/>
    <w:rsid w:val="00C3024F"/>
    <w:rsid w:val="00C30610"/>
    <w:rsid w:val="00C31355"/>
    <w:rsid w:val="00C31914"/>
    <w:rsid w:val="00C31AEE"/>
    <w:rsid w:val="00C31B04"/>
    <w:rsid w:val="00C31CA1"/>
    <w:rsid w:val="00C322DA"/>
    <w:rsid w:val="00C32610"/>
    <w:rsid w:val="00C326C6"/>
    <w:rsid w:val="00C329B9"/>
    <w:rsid w:val="00C32A4F"/>
    <w:rsid w:val="00C3360B"/>
    <w:rsid w:val="00C34A80"/>
    <w:rsid w:val="00C35100"/>
    <w:rsid w:val="00C354A6"/>
    <w:rsid w:val="00C35994"/>
    <w:rsid w:val="00C35CA9"/>
    <w:rsid w:val="00C36337"/>
    <w:rsid w:val="00C365EF"/>
    <w:rsid w:val="00C36631"/>
    <w:rsid w:val="00C37F06"/>
    <w:rsid w:val="00C4047E"/>
    <w:rsid w:val="00C404A4"/>
    <w:rsid w:val="00C40A1E"/>
    <w:rsid w:val="00C412B4"/>
    <w:rsid w:val="00C42F1F"/>
    <w:rsid w:val="00C4302F"/>
    <w:rsid w:val="00C43536"/>
    <w:rsid w:val="00C4376E"/>
    <w:rsid w:val="00C4391C"/>
    <w:rsid w:val="00C43E50"/>
    <w:rsid w:val="00C451DA"/>
    <w:rsid w:val="00C45213"/>
    <w:rsid w:val="00C45431"/>
    <w:rsid w:val="00C454D6"/>
    <w:rsid w:val="00C4579C"/>
    <w:rsid w:val="00C45C4F"/>
    <w:rsid w:val="00C4657B"/>
    <w:rsid w:val="00C46F13"/>
    <w:rsid w:val="00C47468"/>
    <w:rsid w:val="00C50337"/>
    <w:rsid w:val="00C504BE"/>
    <w:rsid w:val="00C51183"/>
    <w:rsid w:val="00C51236"/>
    <w:rsid w:val="00C51508"/>
    <w:rsid w:val="00C5219B"/>
    <w:rsid w:val="00C528D1"/>
    <w:rsid w:val="00C52E5F"/>
    <w:rsid w:val="00C5338B"/>
    <w:rsid w:val="00C5350C"/>
    <w:rsid w:val="00C537B8"/>
    <w:rsid w:val="00C53ED7"/>
    <w:rsid w:val="00C547EB"/>
    <w:rsid w:val="00C5493F"/>
    <w:rsid w:val="00C54C3A"/>
    <w:rsid w:val="00C557BE"/>
    <w:rsid w:val="00C5642B"/>
    <w:rsid w:val="00C569C4"/>
    <w:rsid w:val="00C56F95"/>
    <w:rsid w:val="00C57294"/>
    <w:rsid w:val="00C5773B"/>
    <w:rsid w:val="00C57AB1"/>
    <w:rsid w:val="00C60C18"/>
    <w:rsid w:val="00C60CA8"/>
    <w:rsid w:val="00C61BA3"/>
    <w:rsid w:val="00C622F1"/>
    <w:rsid w:val="00C623E9"/>
    <w:rsid w:val="00C6295D"/>
    <w:rsid w:val="00C6352A"/>
    <w:rsid w:val="00C636DF"/>
    <w:rsid w:val="00C63D7F"/>
    <w:rsid w:val="00C6499D"/>
    <w:rsid w:val="00C64EF6"/>
    <w:rsid w:val="00C64F10"/>
    <w:rsid w:val="00C64F4D"/>
    <w:rsid w:val="00C65400"/>
    <w:rsid w:val="00C65FB2"/>
    <w:rsid w:val="00C66324"/>
    <w:rsid w:val="00C66608"/>
    <w:rsid w:val="00C66745"/>
    <w:rsid w:val="00C66B4E"/>
    <w:rsid w:val="00C66CCB"/>
    <w:rsid w:val="00C66F46"/>
    <w:rsid w:val="00C67039"/>
    <w:rsid w:val="00C67232"/>
    <w:rsid w:val="00C6738F"/>
    <w:rsid w:val="00C6798F"/>
    <w:rsid w:val="00C67A2F"/>
    <w:rsid w:val="00C67E7D"/>
    <w:rsid w:val="00C67EF8"/>
    <w:rsid w:val="00C701F8"/>
    <w:rsid w:val="00C70B3A"/>
    <w:rsid w:val="00C70F95"/>
    <w:rsid w:val="00C718EC"/>
    <w:rsid w:val="00C7221D"/>
    <w:rsid w:val="00C724A9"/>
    <w:rsid w:val="00C7263D"/>
    <w:rsid w:val="00C72A10"/>
    <w:rsid w:val="00C7300E"/>
    <w:rsid w:val="00C73051"/>
    <w:rsid w:val="00C73538"/>
    <w:rsid w:val="00C73BAE"/>
    <w:rsid w:val="00C7440D"/>
    <w:rsid w:val="00C74551"/>
    <w:rsid w:val="00C748C0"/>
    <w:rsid w:val="00C7518A"/>
    <w:rsid w:val="00C752AE"/>
    <w:rsid w:val="00C75ACD"/>
    <w:rsid w:val="00C75E6A"/>
    <w:rsid w:val="00C761EE"/>
    <w:rsid w:val="00C763D8"/>
    <w:rsid w:val="00C765EF"/>
    <w:rsid w:val="00C76E7E"/>
    <w:rsid w:val="00C77732"/>
    <w:rsid w:val="00C77A95"/>
    <w:rsid w:val="00C77F06"/>
    <w:rsid w:val="00C80762"/>
    <w:rsid w:val="00C80CF3"/>
    <w:rsid w:val="00C80E7F"/>
    <w:rsid w:val="00C80EBD"/>
    <w:rsid w:val="00C8159A"/>
    <w:rsid w:val="00C8173C"/>
    <w:rsid w:val="00C81B35"/>
    <w:rsid w:val="00C827C8"/>
    <w:rsid w:val="00C83774"/>
    <w:rsid w:val="00C8381E"/>
    <w:rsid w:val="00C83A05"/>
    <w:rsid w:val="00C8409F"/>
    <w:rsid w:val="00C84FD6"/>
    <w:rsid w:val="00C85988"/>
    <w:rsid w:val="00C85D07"/>
    <w:rsid w:val="00C85D90"/>
    <w:rsid w:val="00C86148"/>
    <w:rsid w:val="00C8662F"/>
    <w:rsid w:val="00C86B14"/>
    <w:rsid w:val="00C87027"/>
    <w:rsid w:val="00C87A3B"/>
    <w:rsid w:val="00C87C38"/>
    <w:rsid w:val="00C9092D"/>
    <w:rsid w:val="00C90B47"/>
    <w:rsid w:val="00C90FB2"/>
    <w:rsid w:val="00C90FE1"/>
    <w:rsid w:val="00C9116D"/>
    <w:rsid w:val="00C9128D"/>
    <w:rsid w:val="00C91541"/>
    <w:rsid w:val="00C91618"/>
    <w:rsid w:val="00C91AF8"/>
    <w:rsid w:val="00C91D63"/>
    <w:rsid w:val="00C925C8"/>
    <w:rsid w:val="00C92859"/>
    <w:rsid w:val="00C92CC9"/>
    <w:rsid w:val="00C933F5"/>
    <w:rsid w:val="00C938B1"/>
    <w:rsid w:val="00C94938"/>
    <w:rsid w:val="00C95165"/>
    <w:rsid w:val="00C95338"/>
    <w:rsid w:val="00C9611A"/>
    <w:rsid w:val="00C9616E"/>
    <w:rsid w:val="00C967E4"/>
    <w:rsid w:val="00C96B99"/>
    <w:rsid w:val="00C96C4B"/>
    <w:rsid w:val="00C96EB8"/>
    <w:rsid w:val="00C97B9A"/>
    <w:rsid w:val="00C97D46"/>
    <w:rsid w:val="00C97DA3"/>
    <w:rsid w:val="00CA0020"/>
    <w:rsid w:val="00CA0746"/>
    <w:rsid w:val="00CA08C3"/>
    <w:rsid w:val="00CA0F16"/>
    <w:rsid w:val="00CA1A67"/>
    <w:rsid w:val="00CA259B"/>
    <w:rsid w:val="00CA25A5"/>
    <w:rsid w:val="00CA25FE"/>
    <w:rsid w:val="00CA28AD"/>
    <w:rsid w:val="00CA2ED8"/>
    <w:rsid w:val="00CA2F05"/>
    <w:rsid w:val="00CA39A8"/>
    <w:rsid w:val="00CA416B"/>
    <w:rsid w:val="00CA50ED"/>
    <w:rsid w:val="00CA5330"/>
    <w:rsid w:val="00CA5963"/>
    <w:rsid w:val="00CA614B"/>
    <w:rsid w:val="00CA6217"/>
    <w:rsid w:val="00CA6F56"/>
    <w:rsid w:val="00CA7035"/>
    <w:rsid w:val="00CA727C"/>
    <w:rsid w:val="00CA75F6"/>
    <w:rsid w:val="00CA7DBB"/>
    <w:rsid w:val="00CA7E46"/>
    <w:rsid w:val="00CB0B97"/>
    <w:rsid w:val="00CB0F04"/>
    <w:rsid w:val="00CB1133"/>
    <w:rsid w:val="00CB1173"/>
    <w:rsid w:val="00CB1DCB"/>
    <w:rsid w:val="00CB2345"/>
    <w:rsid w:val="00CB2EE6"/>
    <w:rsid w:val="00CB383C"/>
    <w:rsid w:val="00CB3A13"/>
    <w:rsid w:val="00CB4601"/>
    <w:rsid w:val="00CB4C20"/>
    <w:rsid w:val="00CB5731"/>
    <w:rsid w:val="00CB595F"/>
    <w:rsid w:val="00CB5D45"/>
    <w:rsid w:val="00CB5DC4"/>
    <w:rsid w:val="00CB6397"/>
    <w:rsid w:val="00CB646A"/>
    <w:rsid w:val="00CB6D9D"/>
    <w:rsid w:val="00CB6E7D"/>
    <w:rsid w:val="00CB6EE4"/>
    <w:rsid w:val="00CB7362"/>
    <w:rsid w:val="00CB7574"/>
    <w:rsid w:val="00CB7B93"/>
    <w:rsid w:val="00CB7C4E"/>
    <w:rsid w:val="00CB7FFC"/>
    <w:rsid w:val="00CC0502"/>
    <w:rsid w:val="00CC0D45"/>
    <w:rsid w:val="00CC100A"/>
    <w:rsid w:val="00CC1CD8"/>
    <w:rsid w:val="00CC20F4"/>
    <w:rsid w:val="00CC3032"/>
    <w:rsid w:val="00CC3CCF"/>
    <w:rsid w:val="00CC4622"/>
    <w:rsid w:val="00CC4B82"/>
    <w:rsid w:val="00CC4C53"/>
    <w:rsid w:val="00CC565F"/>
    <w:rsid w:val="00CC6121"/>
    <w:rsid w:val="00CC6172"/>
    <w:rsid w:val="00CC61A2"/>
    <w:rsid w:val="00CC635A"/>
    <w:rsid w:val="00CC63A7"/>
    <w:rsid w:val="00CC63CC"/>
    <w:rsid w:val="00CC75D2"/>
    <w:rsid w:val="00CC7910"/>
    <w:rsid w:val="00CC7B11"/>
    <w:rsid w:val="00CC7B9C"/>
    <w:rsid w:val="00CC7BF5"/>
    <w:rsid w:val="00CD0632"/>
    <w:rsid w:val="00CD0C14"/>
    <w:rsid w:val="00CD1626"/>
    <w:rsid w:val="00CD1BEC"/>
    <w:rsid w:val="00CD2058"/>
    <w:rsid w:val="00CD243F"/>
    <w:rsid w:val="00CD2AFA"/>
    <w:rsid w:val="00CD2BA6"/>
    <w:rsid w:val="00CD41ED"/>
    <w:rsid w:val="00CD4354"/>
    <w:rsid w:val="00CD43FA"/>
    <w:rsid w:val="00CD459A"/>
    <w:rsid w:val="00CD5211"/>
    <w:rsid w:val="00CD563B"/>
    <w:rsid w:val="00CD751E"/>
    <w:rsid w:val="00CD7666"/>
    <w:rsid w:val="00CD79E4"/>
    <w:rsid w:val="00CE062F"/>
    <w:rsid w:val="00CE085A"/>
    <w:rsid w:val="00CE0926"/>
    <w:rsid w:val="00CE11A1"/>
    <w:rsid w:val="00CE2054"/>
    <w:rsid w:val="00CE2164"/>
    <w:rsid w:val="00CE2D9E"/>
    <w:rsid w:val="00CE3331"/>
    <w:rsid w:val="00CE3F63"/>
    <w:rsid w:val="00CE3FD4"/>
    <w:rsid w:val="00CE433C"/>
    <w:rsid w:val="00CE4976"/>
    <w:rsid w:val="00CE4FB4"/>
    <w:rsid w:val="00CE5330"/>
    <w:rsid w:val="00CE56B9"/>
    <w:rsid w:val="00CE5E7A"/>
    <w:rsid w:val="00CE6555"/>
    <w:rsid w:val="00CE7154"/>
    <w:rsid w:val="00CE7162"/>
    <w:rsid w:val="00CE7553"/>
    <w:rsid w:val="00CE7877"/>
    <w:rsid w:val="00CE7DF6"/>
    <w:rsid w:val="00CF05C9"/>
    <w:rsid w:val="00CF06A6"/>
    <w:rsid w:val="00CF0759"/>
    <w:rsid w:val="00CF0839"/>
    <w:rsid w:val="00CF0D05"/>
    <w:rsid w:val="00CF13C5"/>
    <w:rsid w:val="00CF1B8F"/>
    <w:rsid w:val="00CF1D83"/>
    <w:rsid w:val="00CF1DB3"/>
    <w:rsid w:val="00CF2993"/>
    <w:rsid w:val="00CF2A52"/>
    <w:rsid w:val="00CF2EB5"/>
    <w:rsid w:val="00CF367F"/>
    <w:rsid w:val="00CF3A1C"/>
    <w:rsid w:val="00CF3C55"/>
    <w:rsid w:val="00CF46B5"/>
    <w:rsid w:val="00CF4A86"/>
    <w:rsid w:val="00CF5BED"/>
    <w:rsid w:val="00CF6DB6"/>
    <w:rsid w:val="00CF7413"/>
    <w:rsid w:val="00CF7FFE"/>
    <w:rsid w:val="00D00D1F"/>
    <w:rsid w:val="00D00D50"/>
    <w:rsid w:val="00D012C7"/>
    <w:rsid w:val="00D016FB"/>
    <w:rsid w:val="00D01897"/>
    <w:rsid w:val="00D01F15"/>
    <w:rsid w:val="00D025EB"/>
    <w:rsid w:val="00D02825"/>
    <w:rsid w:val="00D030AA"/>
    <w:rsid w:val="00D032AE"/>
    <w:rsid w:val="00D0359A"/>
    <w:rsid w:val="00D03D71"/>
    <w:rsid w:val="00D03DCC"/>
    <w:rsid w:val="00D03EEC"/>
    <w:rsid w:val="00D03FBE"/>
    <w:rsid w:val="00D04546"/>
    <w:rsid w:val="00D04640"/>
    <w:rsid w:val="00D0482F"/>
    <w:rsid w:val="00D04927"/>
    <w:rsid w:val="00D04A3D"/>
    <w:rsid w:val="00D0557A"/>
    <w:rsid w:val="00D0610C"/>
    <w:rsid w:val="00D06922"/>
    <w:rsid w:val="00D06ADE"/>
    <w:rsid w:val="00D06C09"/>
    <w:rsid w:val="00D077EC"/>
    <w:rsid w:val="00D07C9E"/>
    <w:rsid w:val="00D10835"/>
    <w:rsid w:val="00D10C04"/>
    <w:rsid w:val="00D10DD4"/>
    <w:rsid w:val="00D11E92"/>
    <w:rsid w:val="00D12CE1"/>
    <w:rsid w:val="00D1345F"/>
    <w:rsid w:val="00D1361F"/>
    <w:rsid w:val="00D1451E"/>
    <w:rsid w:val="00D14742"/>
    <w:rsid w:val="00D1499F"/>
    <w:rsid w:val="00D15C9D"/>
    <w:rsid w:val="00D1610D"/>
    <w:rsid w:val="00D16797"/>
    <w:rsid w:val="00D17FB4"/>
    <w:rsid w:val="00D17FC6"/>
    <w:rsid w:val="00D202B5"/>
    <w:rsid w:val="00D206F3"/>
    <w:rsid w:val="00D20721"/>
    <w:rsid w:val="00D20EA6"/>
    <w:rsid w:val="00D212E8"/>
    <w:rsid w:val="00D21456"/>
    <w:rsid w:val="00D214D5"/>
    <w:rsid w:val="00D216F5"/>
    <w:rsid w:val="00D21824"/>
    <w:rsid w:val="00D21868"/>
    <w:rsid w:val="00D21E96"/>
    <w:rsid w:val="00D22A5E"/>
    <w:rsid w:val="00D23386"/>
    <w:rsid w:val="00D2346B"/>
    <w:rsid w:val="00D24261"/>
    <w:rsid w:val="00D245D6"/>
    <w:rsid w:val="00D248DF"/>
    <w:rsid w:val="00D254C1"/>
    <w:rsid w:val="00D256E0"/>
    <w:rsid w:val="00D2580B"/>
    <w:rsid w:val="00D25AD4"/>
    <w:rsid w:val="00D27028"/>
    <w:rsid w:val="00D27090"/>
    <w:rsid w:val="00D275B3"/>
    <w:rsid w:val="00D27612"/>
    <w:rsid w:val="00D3011D"/>
    <w:rsid w:val="00D30770"/>
    <w:rsid w:val="00D31324"/>
    <w:rsid w:val="00D315DF"/>
    <w:rsid w:val="00D31644"/>
    <w:rsid w:val="00D31792"/>
    <w:rsid w:val="00D318BE"/>
    <w:rsid w:val="00D31B0C"/>
    <w:rsid w:val="00D31E1C"/>
    <w:rsid w:val="00D31E4A"/>
    <w:rsid w:val="00D3266D"/>
    <w:rsid w:val="00D32D1E"/>
    <w:rsid w:val="00D33A4A"/>
    <w:rsid w:val="00D33D6E"/>
    <w:rsid w:val="00D34806"/>
    <w:rsid w:val="00D35072"/>
    <w:rsid w:val="00D35EDE"/>
    <w:rsid w:val="00D36193"/>
    <w:rsid w:val="00D364CD"/>
    <w:rsid w:val="00D365BC"/>
    <w:rsid w:val="00D36610"/>
    <w:rsid w:val="00D3668F"/>
    <w:rsid w:val="00D36910"/>
    <w:rsid w:val="00D36B3D"/>
    <w:rsid w:val="00D3743A"/>
    <w:rsid w:val="00D3758B"/>
    <w:rsid w:val="00D3764E"/>
    <w:rsid w:val="00D37823"/>
    <w:rsid w:val="00D37B7B"/>
    <w:rsid w:val="00D37B96"/>
    <w:rsid w:val="00D37D2B"/>
    <w:rsid w:val="00D40AE3"/>
    <w:rsid w:val="00D40D7E"/>
    <w:rsid w:val="00D40E1B"/>
    <w:rsid w:val="00D41879"/>
    <w:rsid w:val="00D41B27"/>
    <w:rsid w:val="00D41F85"/>
    <w:rsid w:val="00D4273F"/>
    <w:rsid w:val="00D42A69"/>
    <w:rsid w:val="00D43739"/>
    <w:rsid w:val="00D43BE4"/>
    <w:rsid w:val="00D43F16"/>
    <w:rsid w:val="00D441A2"/>
    <w:rsid w:val="00D443A8"/>
    <w:rsid w:val="00D447BD"/>
    <w:rsid w:val="00D448DC"/>
    <w:rsid w:val="00D449E0"/>
    <w:rsid w:val="00D44B12"/>
    <w:rsid w:val="00D453BC"/>
    <w:rsid w:val="00D45706"/>
    <w:rsid w:val="00D4579A"/>
    <w:rsid w:val="00D45CF2"/>
    <w:rsid w:val="00D4633C"/>
    <w:rsid w:val="00D463C6"/>
    <w:rsid w:val="00D46609"/>
    <w:rsid w:val="00D46C2A"/>
    <w:rsid w:val="00D47127"/>
    <w:rsid w:val="00D4733F"/>
    <w:rsid w:val="00D4751F"/>
    <w:rsid w:val="00D47AA7"/>
    <w:rsid w:val="00D47C94"/>
    <w:rsid w:val="00D47E14"/>
    <w:rsid w:val="00D47F31"/>
    <w:rsid w:val="00D500F0"/>
    <w:rsid w:val="00D5012D"/>
    <w:rsid w:val="00D5019E"/>
    <w:rsid w:val="00D5054D"/>
    <w:rsid w:val="00D50794"/>
    <w:rsid w:val="00D5082E"/>
    <w:rsid w:val="00D5148F"/>
    <w:rsid w:val="00D514B2"/>
    <w:rsid w:val="00D51911"/>
    <w:rsid w:val="00D51EE1"/>
    <w:rsid w:val="00D52180"/>
    <w:rsid w:val="00D53404"/>
    <w:rsid w:val="00D539F2"/>
    <w:rsid w:val="00D5428C"/>
    <w:rsid w:val="00D54479"/>
    <w:rsid w:val="00D545F1"/>
    <w:rsid w:val="00D54FE8"/>
    <w:rsid w:val="00D5530D"/>
    <w:rsid w:val="00D5531B"/>
    <w:rsid w:val="00D55608"/>
    <w:rsid w:val="00D55BC9"/>
    <w:rsid w:val="00D5603D"/>
    <w:rsid w:val="00D561AA"/>
    <w:rsid w:val="00D56284"/>
    <w:rsid w:val="00D56989"/>
    <w:rsid w:val="00D56D0A"/>
    <w:rsid w:val="00D57425"/>
    <w:rsid w:val="00D5745E"/>
    <w:rsid w:val="00D577F0"/>
    <w:rsid w:val="00D57988"/>
    <w:rsid w:val="00D57AFB"/>
    <w:rsid w:val="00D605B9"/>
    <w:rsid w:val="00D60802"/>
    <w:rsid w:val="00D60F9B"/>
    <w:rsid w:val="00D611C0"/>
    <w:rsid w:val="00D6163F"/>
    <w:rsid w:val="00D6198D"/>
    <w:rsid w:val="00D61C21"/>
    <w:rsid w:val="00D623E3"/>
    <w:rsid w:val="00D625D5"/>
    <w:rsid w:val="00D626BC"/>
    <w:rsid w:val="00D62B53"/>
    <w:rsid w:val="00D62BD1"/>
    <w:rsid w:val="00D63009"/>
    <w:rsid w:val="00D63797"/>
    <w:rsid w:val="00D638A9"/>
    <w:rsid w:val="00D64149"/>
    <w:rsid w:val="00D642E9"/>
    <w:rsid w:val="00D6448B"/>
    <w:rsid w:val="00D644CE"/>
    <w:rsid w:val="00D6457D"/>
    <w:rsid w:val="00D649E0"/>
    <w:rsid w:val="00D64BA9"/>
    <w:rsid w:val="00D64F7C"/>
    <w:rsid w:val="00D65377"/>
    <w:rsid w:val="00D65472"/>
    <w:rsid w:val="00D65EF9"/>
    <w:rsid w:val="00D66001"/>
    <w:rsid w:val="00D663FD"/>
    <w:rsid w:val="00D66D09"/>
    <w:rsid w:val="00D66D48"/>
    <w:rsid w:val="00D701F0"/>
    <w:rsid w:val="00D70A39"/>
    <w:rsid w:val="00D70BB3"/>
    <w:rsid w:val="00D716D9"/>
    <w:rsid w:val="00D717EF"/>
    <w:rsid w:val="00D726CB"/>
    <w:rsid w:val="00D731AF"/>
    <w:rsid w:val="00D73B65"/>
    <w:rsid w:val="00D73E54"/>
    <w:rsid w:val="00D73FA2"/>
    <w:rsid w:val="00D7408E"/>
    <w:rsid w:val="00D74DB5"/>
    <w:rsid w:val="00D751DD"/>
    <w:rsid w:val="00D7527F"/>
    <w:rsid w:val="00D755C1"/>
    <w:rsid w:val="00D75642"/>
    <w:rsid w:val="00D767D9"/>
    <w:rsid w:val="00D77445"/>
    <w:rsid w:val="00D77566"/>
    <w:rsid w:val="00D779F1"/>
    <w:rsid w:val="00D77F96"/>
    <w:rsid w:val="00D80E9E"/>
    <w:rsid w:val="00D80F2C"/>
    <w:rsid w:val="00D81049"/>
    <w:rsid w:val="00D818A3"/>
    <w:rsid w:val="00D81F5B"/>
    <w:rsid w:val="00D822D1"/>
    <w:rsid w:val="00D82780"/>
    <w:rsid w:val="00D82CE7"/>
    <w:rsid w:val="00D83900"/>
    <w:rsid w:val="00D83F48"/>
    <w:rsid w:val="00D84740"/>
    <w:rsid w:val="00D84796"/>
    <w:rsid w:val="00D85059"/>
    <w:rsid w:val="00D85EEB"/>
    <w:rsid w:val="00D8610E"/>
    <w:rsid w:val="00D86251"/>
    <w:rsid w:val="00D86310"/>
    <w:rsid w:val="00D8732F"/>
    <w:rsid w:val="00D87D4F"/>
    <w:rsid w:val="00D90444"/>
    <w:rsid w:val="00D90B32"/>
    <w:rsid w:val="00D90F7B"/>
    <w:rsid w:val="00D91503"/>
    <w:rsid w:val="00D91806"/>
    <w:rsid w:val="00D91899"/>
    <w:rsid w:val="00D91AD6"/>
    <w:rsid w:val="00D91D2C"/>
    <w:rsid w:val="00D9243E"/>
    <w:rsid w:val="00D927D3"/>
    <w:rsid w:val="00D928EC"/>
    <w:rsid w:val="00D92D8D"/>
    <w:rsid w:val="00D92E8A"/>
    <w:rsid w:val="00D92EA3"/>
    <w:rsid w:val="00D931B7"/>
    <w:rsid w:val="00D933EB"/>
    <w:rsid w:val="00D93C88"/>
    <w:rsid w:val="00D94D3A"/>
    <w:rsid w:val="00D95254"/>
    <w:rsid w:val="00D968CC"/>
    <w:rsid w:val="00D969DF"/>
    <w:rsid w:val="00D96DD6"/>
    <w:rsid w:val="00D97245"/>
    <w:rsid w:val="00DA007E"/>
    <w:rsid w:val="00DA06CD"/>
    <w:rsid w:val="00DA06D7"/>
    <w:rsid w:val="00DA0836"/>
    <w:rsid w:val="00DA0FF0"/>
    <w:rsid w:val="00DA1082"/>
    <w:rsid w:val="00DA12E7"/>
    <w:rsid w:val="00DA165A"/>
    <w:rsid w:val="00DA2108"/>
    <w:rsid w:val="00DA266F"/>
    <w:rsid w:val="00DA2847"/>
    <w:rsid w:val="00DA2E31"/>
    <w:rsid w:val="00DA34A5"/>
    <w:rsid w:val="00DA3808"/>
    <w:rsid w:val="00DA41AA"/>
    <w:rsid w:val="00DA59E8"/>
    <w:rsid w:val="00DA5B0C"/>
    <w:rsid w:val="00DA632C"/>
    <w:rsid w:val="00DA7099"/>
    <w:rsid w:val="00DB050E"/>
    <w:rsid w:val="00DB0760"/>
    <w:rsid w:val="00DB0928"/>
    <w:rsid w:val="00DB1223"/>
    <w:rsid w:val="00DB1819"/>
    <w:rsid w:val="00DB1C2C"/>
    <w:rsid w:val="00DB221C"/>
    <w:rsid w:val="00DB23AC"/>
    <w:rsid w:val="00DB2C27"/>
    <w:rsid w:val="00DB32CB"/>
    <w:rsid w:val="00DB3980"/>
    <w:rsid w:val="00DB3E86"/>
    <w:rsid w:val="00DB43C5"/>
    <w:rsid w:val="00DB46DB"/>
    <w:rsid w:val="00DB51BC"/>
    <w:rsid w:val="00DB56E9"/>
    <w:rsid w:val="00DB5995"/>
    <w:rsid w:val="00DB5AD9"/>
    <w:rsid w:val="00DB6CF9"/>
    <w:rsid w:val="00DB7D7D"/>
    <w:rsid w:val="00DB7F52"/>
    <w:rsid w:val="00DC02AF"/>
    <w:rsid w:val="00DC02E9"/>
    <w:rsid w:val="00DC073D"/>
    <w:rsid w:val="00DC0D7B"/>
    <w:rsid w:val="00DC0E54"/>
    <w:rsid w:val="00DC109F"/>
    <w:rsid w:val="00DC14BC"/>
    <w:rsid w:val="00DC1CE2"/>
    <w:rsid w:val="00DC1D59"/>
    <w:rsid w:val="00DC1DF4"/>
    <w:rsid w:val="00DC2742"/>
    <w:rsid w:val="00DC2E71"/>
    <w:rsid w:val="00DC3250"/>
    <w:rsid w:val="00DC3A7B"/>
    <w:rsid w:val="00DC3CA7"/>
    <w:rsid w:val="00DC4332"/>
    <w:rsid w:val="00DC47BF"/>
    <w:rsid w:val="00DC49AE"/>
    <w:rsid w:val="00DC4CCB"/>
    <w:rsid w:val="00DC4CFB"/>
    <w:rsid w:val="00DC4E7A"/>
    <w:rsid w:val="00DC537D"/>
    <w:rsid w:val="00DC57AA"/>
    <w:rsid w:val="00DC57DF"/>
    <w:rsid w:val="00DC5A9B"/>
    <w:rsid w:val="00DC5F4B"/>
    <w:rsid w:val="00DC6067"/>
    <w:rsid w:val="00DC6238"/>
    <w:rsid w:val="00DC6FDB"/>
    <w:rsid w:val="00DC700E"/>
    <w:rsid w:val="00DC785D"/>
    <w:rsid w:val="00DC78FA"/>
    <w:rsid w:val="00DC7A12"/>
    <w:rsid w:val="00DD0AEC"/>
    <w:rsid w:val="00DD0DA0"/>
    <w:rsid w:val="00DD0E43"/>
    <w:rsid w:val="00DD197F"/>
    <w:rsid w:val="00DD1F8D"/>
    <w:rsid w:val="00DD2727"/>
    <w:rsid w:val="00DD35F3"/>
    <w:rsid w:val="00DD3705"/>
    <w:rsid w:val="00DD3747"/>
    <w:rsid w:val="00DD3749"/>
    <w:rsid w:val="00DD39A9"/>
    <w:rsid w:val="00DD3A47"/>
    <w:rsid w:val="00DD588C"/>
    <w:rsid w:val="00DD5EBC"/>
    <w:rsid w:val="00DD62E7"/>
    <w:rsid w:val="00DD6951"/>
    <w:rsid w:val="00DD6F5F"/>
    <w:rsid w:val="00DD7267"/>
    <w:rsid w:val="00DD7456"/>
    <w:rsid w:val="00DE0010"/>
    <w:rsid w:val="00DE16AB"/>
    <w:rsid w:val="00DE1785"/>
    <w:rsid w:val="00DE3194"/>
    <w:rsid w:val="00DE34A0"/>
    <w:rsid w:val="00DE42DF"/>
    <w:rsid w:val="00DE4A63"/>
    <w:rsid w:val="00DE4B4D"/>
    <w:rsid w:val="00DE4D27"/>
    <w:rsid w:val="00DE55EB"/>
    <w:rsid w:val="00DE599D"/>
    <w:rsid w:val="00DE5C35"/>
    <w:rsid w:val="00DE5F02"/>
    <w:rsid w:val="00DE61C6"/>
    <w:rsid w:val="00DE6686"/>
    <w:rsid w:val="00DE6DF4"/>
    <w:rsid w:val="00DE72CB"/>
    <w:rsid w:val="00DE73AB"/>
    <w:rsid w:val="00DE7710"/>
    <w:rsid w:val="00DE792B"/>
    <w:rsid w:val="00DE7C87"/>
    <w:rsid w:val="00DF0984"/>
    <w:rsid w:val="00DF0A04"/>
    <w:rsid w:val="00DF0F4D"/>
    <w:rsid w:val="00DF124E"/>
    <w:rsid w:val="00DF198D"/>
    <w:rsid w:val="00DF218E"/>
    <w:rsid w:val="00DF2566"/>
    <w:rsid w:val="00DF2618"/>
    <w:rsid w:val="00DF2D01"/>
    <w:rsid w:val="00DF3365"/>
    <w:rsid w:val="00DF35F0"/>
    <w:rsid w:val="00DF44B1"/>
    <w:rsid w:val="00DF4633"/>
    <w:rsid w:val="00DF48B9"/>
    <w:rsid w:val="00DF4AB9"/>
    <w:rsid w:val="00DF4FC6"/>
    <w:rsid w:val="00DF519F"/>
    <w:rsid w:val="00DF56A2"/>
    <w:rsid w:val="00DF6024"/>
    <w:rsid w:val="00DF6607"/>
    <w:rsid w:val="00DF6634"/>
    <w:rsid w:val="00DF666F"/>
    <w:rsid w:val="00DF6927"/>
    <w:rsid w:val="00DF6A67"/>
    <w:rsid w:val="00DF6B62"/>
    <w:rsid w:val="00DF74EC"/>
    <w:rsid w:val="00DF7762"/>
    <w:rsid w:val="00DF7B5A"/>
    <w:rsid w:val="00DF7E21"/>
    <w:rsid w:val="00E004A1"/>
    <w:rsid w:val="00E006B9"/>
    <w:rsid w:val="00E022DB"/>
    <w:rsid w:val="00E03147"/>
    <w:rsid w:val="00E03188"/>
    <w:rsid w:val="00E031EE"/>
    <w:rsid w:val="00E0378D"/>
    <w:rsid w:val="00E043C1"/>
    <w:rsid w:val="00E04D14"/>
    <w:rsid w:val="00E05198"/>
    <w:rsid w:val="00E056CA"/>
    <w:rsid w:val="00E05B64"/>
    <w:rsid w:val="00E06C8A"/>
    <w:rsid w:val="00E06D1A"/>
    <w:rsid w:val="00E07FB6"/>
    <w:rsid w:val="00E1008A"/>
    <w:rsid w:val="00E1064C"/>
    <w:rsid w:val="00E108A0"/>
    <w:rsid w:val="00E108EB"/>
    <w:rsid w:val="00E109E8"/>
    <w:rsid w:val="00E117F4"/>
    <w:rsid w:val="00E11937"/>
    <w:rsid w:val="00E11A5A"/>
    <w:rsid w:val="00E11ECB"/>
    <w:rsid w:val="00E13063"/>
    <w:rsid w:val="00E136F2"/>
    <w:rsid w:val="00E13792"/>
    <w:rsid w:val="00E13BA2"/>
    <w:rsid w:val="00E14671"/>
    <w:rsid w:val="00E148C2"/>
    <w:rsid w:val="00E149CD"/>
    <w:rsid w:val="00E15058"/>
    <w:rsid w:val="00E15DBA"/>
    <w:rsid w:val="00E16754"/>
    <w:rsid w:val="00E167D9"/>
    <w:rsid w:val="00E17966"/>
    <w:rsid w:val="00E20338"/>
    <w:rsid w:val="00E21D34"/>
    <w:rsid w:val="00E22592"/>
    <w:rsid w:val="00E2306E"/>
    <w:rsid w:val="00E23989"/>
    <w:rsid w:val="00E23C1C"/>
    <w:rsid w:val="00E23DCF"/>
    <w:rsid w:val="00E24104"/>
    <w:rsid w:val="00E24AB3"/>
    <w:rsid w:val="00E24BE9"/>
    <w:rsid w:val="00E24D36"/>
    <w:rsid w:val="00E25125"/>
    <w:rsid w:val="00E2520B"/>
    <w:rsid w:val="00E252CE"/>
    <w:rsid w:val="00E252DB"/>
    <w:rsid w:val="00E2538A"/>
    <w:rsid w:val="00E25923"/>
    <w:rsid w:val="00E2595B"/>
    <w:rsid w:val="00E267D6"/>
    <w:rsid w:val="00E269B1"/>
    <w:rsid w:val="00E270A9"/>
    <w:rsid w:val="00E2717C"/>
    <w:rsid w:val="00E27991"/>
    <w:rsid w:val="00E30178"/>
    <w:rsid w:val="00E3032C"/>
    <w:rsid w:val="00E30409"/>
    <w:rsid w:val="00E309A3"/>
    <w:rsid w:val="00E30B42"/>
    <w:rsid w:val="00E31613"/>
    <w:rsid w:val="00E319BF"/>
    <w:rsid w:val="00E31A89"/>
    <w:rsid w:val="00E31D8E"/>
    <w:rsid w:val="00E322E8"/>
    <w:rsid w:val="00E33B15"/>
    <w:rsid w:val="00E33D40"/>
    <w:rsid w:val="00E33F6D"/>
    <w:rsid w:val="00E33F94"/>
    <w:rsid w:val="00E34458"/>
    <w:rsid w:val="00E3470F"/>
    <w:rsid w:val="00E35AB3"/>
    <w:rsid w:val="00E35FFE"/>
    <w:rsid w:val="00E36738"/>
    <w:rsid w:val="00E369F9"/>
    <w:rsid w:val="00E36E5D"/>
    <w:rsid w:val="00E370A6"/>
    <w:rsid w:val="00E37AEC"/>
    <w:rsid w:val="00E405C5"/>
    <w:rsid w:val="00E409A0"/>
    <w:rsid w:val="00E40BD3"/>
    <w:rsid w:val="00E41153"/>
    <w:rsid w:val="00E41C83"/>
    <w:rsid w:val="00E423E5"/>
    <w:rsid w:val="00E42475"/>
    <w:rsid w:val="00E42541"/>
    <w:rsid w:val="00E429BB"/>
    <w:rsid w:val="00E42FF8"/>
    <w:rsid w:val="00E43271"/>
    <w:rsid w:val="00E432DD"/>
    <w:rsid w:val="00E43488"/>
    <w:rsid w:val="00E43823"/>
    <w:rsid w:val="00E44847"/>
    <w:rsid w:val="00E44F94"/>
    <w:rsid w:val="00E451D7"/>
    <w:rsid w:val="00E453A6"/>
    <w:rsid w:val="00E460E0"/>
    <w:rsid w:val="00E461A7"/>
    <w:rsid w:val="00E468B7"/>
    <w:rsid w:val="00E470CB"/>
    <w:rsid w:val="00E47DB0"/>
    <w:rsid w:val="00E50008"/>
    <w:rsid w:val="00E507B8"/>
    <w:rsid w:val="00E50A21"/>
    <w:rsid w:val="00E5136F"/>
    <w:rsid w:val="00E514B9"/>
    <w:rsid w:val="00E5155A"/>
    <w:rsid w:val="00E518A4"/>
    <w:rsid w:val="00E519BE"/>
    <w:rsid w:val="00E526C4"/>
    <w:rsid w:val="00E526E4"/>
    <w:rsid w:val="00E52C56"/>
    <w:rsid w:val="00E53554"/>
    <w:rsid w:val="00E53937"/>
    <w:rsid w:val="00E53AD5"/>
    <w:rsid w:val="00E53BE1"/>
    <w:rsid w:val="00E53CCC"/>
    <w:rsid w:val="00E53E27"/>
    <w:rsid w:val="00E54D10"/>
    <w:rsid w:val="00E5643E"/>
    <w:rsid w:val="00E56496"/>
    <w:rsid w:val="00E564A5"/>
    <w:rsid w:val="00E5667F"/>
    <w:rsid w:val="00E56890"/>
    <w:rsid w:val="00E56932"/>
    <w:rsid w:val="00E56D03"/>
    <w:rsid w:val="00E56D48"/>
    <w:rsid w:val="00E5756B"/>
    <w:rsid w:val="00E57B13"/>
    <w:rsid w:val="00E60074"/>
    <w:rsid w:val="00E601C8"/>
    <w:rsid w:val="00E601D2"/>
    <w:rsid w:val="00E60665"/>
    <w:rsid w:val="00E6082B"/>
    <w:rsid w:val="00E60849"/>
    <w:rsid w:val="00E6093F"/>
    <w:rsid w:val="00E60AF2"/>
    <w:rsid w:val="00E611AD"/>
    <w:rsid w:val="00E61A65"/>
    <w:rsid w:val="00E61A7C"/>
    <w:rsid w:val="00E61E5A"/>
    <w:rsid w:val="00E6247E"/>
    <w:rsid w:val="00E62639"/>
    <w:rsid w:val="00E626C7"/>
    <w:rsid w:val="00E62971"/>
    <w:rsid w:val="00E62C41"/>
    <w:rsid w:val="00E62D44"/>
    <w:rsid w:val="00E630DA"/>
    <w:rsid w:val="00E631F3"/>
    <w:rsid w:val="00E63A66"/>
    <w:rsid w:val="00E63A78"/>
    <w:rsid w:val="00E651FF"/>
    <w:rsid w:val="00E661F6"/>
    <w:rsid w:val="00E664EA"/>
    <w:rsid w:val="00E6726D"/>
    <w:rsid w:val="00E675E3"/>
    <w:rsid w:val="00E67935"/>
    <w:rsid w:val="00E67A95"/>
    <w:rsid w:val="00E70227"/>
    <w:rsid w:val="00E70943"/>
    <w:rsid w:val="00E716A8"/>
    <w:rsid w:val="00E7216F"/>
    <w:rsid w:val="00E72B0B"/>
    <w:rsid w:val="00E7324C"/>
    <w:rsid w:val="00E735F9"/>
    <w:rsid w:val="00E7406C"/>
    <w:rsid w:val="00E743DC"/>
    <w:rsid w:val="00E747B2"/>
    <w:rsid w:val="00E74A6B"/>
    <w:rsid w:val="00E74CD2"/>
    <w:rsid w:val="00E7525F"/>
    <w:rsid w:val="00E75A5C"/>
    <w:rsid w:val="00E75F43"/>
    <w:rsid w:val="00E762B7"/>
    <w:rsid w:val="00E76A01"/>
    <w:rsid w:val="00E76F6E"/>
    <w:rsid w:val="00E76FE5"/>
    <w:rsid w:val="00E77036"/>
    <w:rsid w:val="00E77741"/>
    <w:rsid w:val="00E77C22"/>
    <w:rsid w:val="00E80AF4"/>
    <w:rsid w:val="00E80BB6"/>
    <w:rsid w:val="00E80DCC"/>
    <w:rsid w:val="00E80E7A"/>
    <w:rsid w:val="00E81068"/>
    <w:rsid w:val="00E8124E"/>
    <w:rsid w:val="00E8143F"/>
    <w:rsid w:val="00E81746"/>
    <w:rsid w:val="00E81D80"/>
    <w:rsid w:val="00E82359"/>
    <w:rsid w:val="00E827A7"/>
    <w:rsid w:val="00E828CA"/>
    <w:rsid w:val="00E82AC4"/>
    <w:rsid w:val="00E831D9"/>
    <w:rsid w:val="00E8393E"/>
    <w:rsid w:val="00E846EA"/>
    <w:rsid w:val="00E84F68"/>
    <w:rsid w:val="00E8632C"/>
    <w:rsid w:val="00E86395"/>
    <w:rsid w:val="00E863BA"/>
    <w:rsid w:val="00E86A03"/>
    <w:rsid w:val="00E87045"/>
    <w:rsid w:val="00E879ED"/>
    <w:rsid w:val="00E9023B"/>
    <w:rsid w:val="00E90E91"/>
    <w:rsid w:val="00E92A96"/>
    <w:rsid w:val="00E92CFE"/>
    <w:rsid w:val="00E936E1"/>
    <w:rsid w:val="00E93A05"/>
    <w:rsid w:val="00E93E55"/>
    <w:rsid w:val="00E93F05"/>
    <w:rsid w:val="00E943E2"/>
    <w:rsid w:val="00E94624"/>
    <w:rsid w:val="00E94AC3"/>
    <w:rsid w:val="00E95810"/>
    <w:rsid w:val="00E95950"/>
    <w:rsid w:val="00E95A98"/>
    <w:rsid w:val="00E9624A"/>
    <w:rsid w:val="00E96AE7"/>
    <w:rsid w:val="00EA04D4"/>
    <w:rsid w:val="00EA0A92"/>
    <w:rsid w:val="00EA0CAE"/>
    <w:rsid w:val="00EA0FD5"/>
    <w:rsid w:val="00EA1250"/>
    <w:rsid w:val="00EA16BB"/>
    <w:rsid w:val="00EA1A95"/>
    <w:rsid w:val="00EA1C31"/>
    <w:rsid w:val="00EA27B0"/>
    <w:rsid w:val="00EA2EF1"/>
    <w:rsid w:val="00EA3093"/>
    <w:rsid w:val="00EA3199"/>
    <w:rsid w:val="00EA3276"/>
    <w:rsid w:val="00EA40CC"/>
    <w:rsid w:val="00EA4A72"/>
    <w:rsid w:val="00EA5DD0"/>
    <w:rsid w:val="00EA65B4"/>
    <w:rsid w:val="00EA6636"/>
    <w:rsid w:val="00EA67E7"/>
    <w:rsid w:val="00EA686A"/>
    <w:rsid w:val="00EA6AC5"/>
    <w:rsid w:val="00EA74F8"/>
    <w:rsid w:val="00EA7A33"/>
    <w:rsid w:val="00EA7FA3"/>
    <w:rsid w:val="00EB00E9"/>
    <w:rsid w:val="00EB00F3"/>
    <w:rsid w:val="00EB056A"/>
    <w:rsid w:val="00EB0959"/>
    <w:rsid w:val="00EB0A13"/>
    <w:rsid w:val="00EB10A1"/>
    <w:rsid w:val="00EB12FF"/>
    <w:rsid w:val="00EB140E"/>
    <w:rsid w:val="00EB19EE"/>
    <w:rsid w:val="00EB2F64"/>
    <w:rsid w:val="00EB3448"/>
    <w:rsid w:val="00EB3673"/>
    <w:rsid w:val="00EB39E9"/>
    <w:rsid w:val="00EB3D0D"/>
    <w:rsid w:val="00EB44FE"/>
    <w:rsid w:val="00EB4F59"/>
    <w:rsid w:val="00EB54BB"/>
    <w:rsid w:val="00EB5ECC"/>
    <w:rsid w:val="00EB6909"/>
    <w:rsid w:val="00EB6DFF"/>
    <w:rsid w:val="00EB7274"/>
    <w:rsid w:val="00EB73AF"/>
    <w:rsid w:val="00EB759D"/>
    <w:rsid w:val="00EB7A11"/>
    <w:rsid w:val="00EB7C0E"/>
    <w:rsid w:val="00EC0B13"/>
    <w:rsid w:val="00EC0B1C"/>
    <w:rsid w:val="00EC0BA0"/>
    <w:rsid w:val="00EC1DCD"/>
    <w:rsid w:val="00EC2C30"/>
    <w:rsid w:val="00EC2E75"/>
    <w:rsid w:val="00EC2FAE"/>
    <w:rsid w:val="00EC36CD"/>
    <w:rsid w:val="00EC3899"/>
    <w:rsid w:val="00EC3FFE"/>
    <w:rsid w:val="00EC4442"/>
    <w:rsid w:val="00EC4E89"/>
    <w:rsid w:val="00EC524C"/>
    <w:rsid w:val="00EC5B7B"/>
    <w:rsid w:val="00EC654A"/>
    <w:rsid w:val="00EC6AB6"/>
    <w:rsid w:val="00EC7822"/>
    <w:rsid w:val="00EC7C5E"/>
    <w:rsid w:val="00EC7DC9"/>
    <w:rsid w:val="00EC7F19"/>
    <w:rsid w:val="00ED00EF"/>
    <w:rsid w:val="00ED01AE"/>
    <w:rsid w:val="00ED0289"/>
    <w:rsid w:val="00ED038A"/>
    <w:rsid w:val="00ED1127"/>
    <w:rsid w:val="00ED15FE"/>
    <w:rsid w:val="00ED1F62"/>
    <w:rsid w:val="00ED1FCE"/>
    <w:rsid w:val="00ED2437"/>
    <w:rsid w:val="00ED3697"/>
    <w:rsid w:val="00ED4534"/>
    <w:rsid w:val="00ED46DD"/>
    <w:rsid w:val="00ED4BEC"/>
    <w:rsid w:val="00ED4D25"/>
    <w:rsid w:val="00ED4D4B"/>
    <w:rsid w:val="00ED5042"/>
    <w:rsid w:val="00ED53D8"/>
    <w:rsid w:val="00ED566F"/>
    <w:rsid w:val="00ED6076"/>
    <w:rsid w:val="00ED69C1"/>
    <w:rsid w:val="00ED7326"/>
    <w:rsid w:val="00ED75DB"/>
    <w:rsid w:val="00ED7619"/>
    <w:rsid w:val="00ED765A"/>
    <w:rsid w:val="00ED77A3"/>
    <w:rsid w:val="00ED784F"/>
    <w:rsid w:val="00ED7EEA"/>
    <w:rsid w:val="00EE092F"/>
    <w:rsid w:val="00EE0F56"/>
    <w:rsid w:val="00EE1CDE"/>
    <w:rsid w:val="00EE238A"/>
    <w:rsid w:val="00EE37AE"/>
    <w:rsid w:val="00EE3AD2"/>
    <w:rsid w:val="00EE3D60"/>
    <w:rsid w:val="00EE40C2"/>
    <w:rsid w:val="00EE460D"/>
    <w:rsid w:val="00EE518A"/>
    <w:rsid w:val="00EE5280"/>
    <w:rsid w:val="00EE5BEF"/>
    <w:rsid w:val="00EE5FBE"/>
    <w:rsid w:val="00EE65C5"/>
    <w:rsid w:val="00EE79FA"/>
    <w:rsid w:val="00EF053E"/>
    <w:rsid w:val="00EF08A1"/>
    <w:rsid w:val="00EF0A22"/>
    <w:rsid w:val="00EF0E7D"/>
    <w:rsid w:val="00EF12C9"/>
    <w:rsid w:val="00EF1585"/>
    <w:rsid w:val="00EF1B1B"/>
    <w:rsid w:val="00EF26C6"/>
    <w:rsid w:val="00EF2B8F"/>
    <w:rsid w:val="00EF2DB7"/>
    <w:rsid w:val="00EF3736"/>
    <w:rsid w:val="00EF3978"/>
    <w:rsid w:val="00EF3B1D"/>
    <w:rsid w:val="00EF4433"/>
    <w:rsid w:val="00EF522B"/>
    <w:rsid w:val="00EF5D46"/>
    <w:rsid w:val="00EF6045"/>
    <w:rsid w:val="00EF6093"/>
    <w:rsid w:val="00EF60C9"/>
    <w:rsid w:val="00EF636D"/>
    <w:rsid w:val="00EF6A1F"/>
    <w:rsid w:val="00EF6D35"/>
    <w:rsid w:val="00EF6F42"/>
    <w:rsid w:val="00EF70B5"/>
    <w:rsid w:val="00EF71AE"/>
    <w:rsid w:val="00EF7291"/>
    <w:rsid w:val="00F007C6"/>
    <w:rsid w:val="00F00B76"/>
    <w:rsid w:val="00F00EAF"/>
    <w:rsid w:val="00F01A9A"/>
    <w:rsid w:val="00F01B97"/>
    <w:rsid w:val="00F01F86"/>
    <w:rsid w:val="00F0341C"/>
    <w:rsid w:val="00F03749"/>
    <w:rsid w:val="00F049C2"/>
    <w:rsid w:val="00F04A3C"/>
    <w:rsid w:val="00F04C6B"/>
    <w:rsid w:val="00F054ED"/>
    <w:rsid w:val="00F0575E"/>
    <w:rsid w:val="00F05875"/>
    <w:rsid w:val="00F05D2E"/>
    <w:rsid w:val="00F05F4C"/>
    <w:rsid w:val="00F06191"/>
    <w:rsid w:val="00F06B8C"/>
    <w:rsid w:val="00F06D9E"/>
    <w:rsid w:val="00F06F0C"/>
    <w:rsid w:val="00F07168"/>
    <w:rsid w:val="00F071C5"/>
    <w:rsid w:val="00F0727E"/>
    <w:rsid w:val="00F07804"/>
    <w:rsid w:val="00F1008A"/>
    <w:rsid w:val="00F1062C"/>
    <w:rsid w:val="00F10B2C"/>
    <w:rsid w:val="00F10C4E"/>
    <w:rsid w:val="00F111BD"/>
    <w:rsid w:val="00F1167A"/>
    <w:rsid w:val="00F11797"/>
    <w:rsid w:val="00F11886"/>
    <w:rsid w:val="00F11FA3"/>
    <w:rsid w:val="00F1247D"/>
    <w:rsid w:val="00F12EE3"/>
    <w:rsid w:val="00F13A97"/>
    <w:rsid w:val="00F13D86"/>
    <w:rsid w:val="00F144B4"/>
    <w:rsid w:val="00F14850"/>
    <w:rsid w:val="00F14B75"/>
    <w:rsid w:val="00F15E42"/>
    <w:rsid w:val="00F17594"/>
    <w:rsid w:val="00F1778B"/>
    <w:rsid w:val="00F177E6"/>
    <w:rsid w:val="00F17811"/>
    <w:rsid w:val="00F17BC9"/>
    <w:rsid w:val="00F20B41"/>
    <w:rsid w:val="00F20D55"/>
    <w:rsid w:val="00F21D7B"/>
    <w:rsid w:val="00F222A0"/>
    <w:rsid w:val="00F223BB"/>
    <w:rsid w:val="00F22EE6"/>
    <w:rsid w:val="00F23159"/>
    <w:rsid w:val="00F235C7"/>
    <w:rsid w:val="00F23663"/>
    <w:rsid w:val="00F23B4F"/>
    <w:rsid w:val="00F24423"/>
    <w:rsid w:val="00F25754"/>
    <w:rsid w:val="00F25A04"/>
    <w:rsid w:val="00F25E03"/>
    <w:rsid w:val="00F267A3"/>
    <w:rsid w:val="00F26D7B"/>
    <w:rsid w:val="00F26D9F"/>
    <w:rsid w:val="00F26F94"/>
    <w:rsid w:val="00F27D00"/>
    <w:rsid w:val="00F27E1F"/>
    <w:rsid w:val="00F30B10"/>
    <w:rsid w:val="00F30E78"/>
    <w:rsid w:val="00F31E61"/>
    <w:rsid w:val="00F321B4"/>
    <w:rsid w:val="00F3273B"/>
    <w:rsid w:val="00F32BB3"/>
    <w:rsid w:val="00F32CD4"/>
    <w:rsid w:val="00F33115"/>
    <w:rsid w:val="00F3327F"/>
    <w:rsid w:val="00F33432"/>
    <w:rsid w:val="00F33C63"/>
    <w:rsid w:val="00F33F52"/>
    <w:rsid w:val="00F345E9"/>
    <w:rsid w:val="00F34CE5"/>
    <w:rsid w:val="00F3567A"/>
    <w:rsid w:val="00F36774"/>
    <w:rsid w:val="00F36BAA"/>
    <w:rsid w:val="00F36FC9"/>
    <w:rsid w:val="00F40060"/>
    <w:rsid w:val="00F401CC"/>
    <w:rsid w:val="00F4077F"/>
    <w:rsid w:val="00F40A7E"/>
    <w:rsid w:val="00F40E03"/>
    <w:rsid w:val="00F40EAF"/>
    <w:rsid w:val="00F417CF"/>
    <w:rsid w:val="00F41DAC"/>
    <w:rsid w:val="00F41DD3"/>
    <w:rsid w:val="00F4203B"/>
    <w:rsid w:val="00F420DE"/>
    <w:rsid w:val="00F42665"/>
    <w:rsid w:val="00F430B7"/>
    <w:rsid w:val="00F4312E"/>
    <w:rsid w:val="00F434A2"/>
    <w:rsid w:val="00F43E9C"/>
    <w:rsid w:val="00F440B8"/>
    <w:rsid w:val="00F444F0"/>
    <w:rsid w:val="00F44F0C"/>
    <w:rsid w:val="00F44F22"/>
    <w:rsid w:val="00F45000"/>
    <w:rsid w:val="00F45303"/>
    <w:rsid w:val="00F4550C"/>
    <w:rsid w:val="00F4586A"/>
    <w:rsid w:val="00F45F73"/>
    <w:rsid w:val="00F462B6"/>
    <w:rsid w:val="00F464AB"/>
    <w:rsid w:val="00F46925"/>
    <w:rsid w:val="00F46C80"/>
    <w:rsid w:val="00F47251"/>
    <w:rsid w:val="00F47457"/>
    <w:rsid w:val="00F476CE"/>
    <w:rsid w:val="00F476F1"/>
    <w:rsid w:val="00F47955"/>
    <w:rsid w:val="00F47E83"/>
    <w:rsid w:val="00F50752"/>
    <w:rsid w:val="00F508E5"/>
    <w:rsid w:val="00F51B03"/>
    <w:rsid w:val="00F51B5B"/>
    <w:rsid w:val="00F51BB4"/>
    <w:rsid w:val="00F5233B"/>
    <w:rsid w:val="00F526C9"/>
    <w:rsid w:val="00F52FE3"/>
    <w:rsid w:val="00F5403D"/>
    <w:rsid w:val="00F54625"/>
    <w:rsid w:val="00F54D68"/>
    <w:rsid w:val="00F550BF"/>
    <w:rsid w:val="00F55269"/>
    <w:rsid w:val="00F55639"/>
    <w:rsid w:val="00F56775"/>
    <w:rsid w:val="00F56944"/>
    <w:rsid w:val="00F57028"/>
    <w:rsid w:val="00F57377"/>
    <w:rsid w:val="00F57440"/>
    <w:rsid w:val="00F57E98"/>
    <w:rsid w:val="00F57F25"/>
    <w:rsid w:val="00F60803"/>
    <w:rsid w:val="00F608AC"/>
    <w:rsid w:val="00F610B7"/>
    <w:rsid w:val="00F6143D"/>
    <w:rsid w:val="00F61DE9"/>
    <w:rsid w:val="00F620D0"/>
    <w:rsid w:val="00F6262E"/>
    <w:rsid w:val="00F62C4D"/>
    <w:rsid w:val="00F6306A"/>
    <w:rsid w:val="00F6351F"/>
    <w:rsid w:val="00F6407D"/>
    <w:rsid w:val="00F64566"/>
    <w:rsid w:val="00F64728"/>
    <w:rsid w:val="00F649F2"/>
    <w:rsid w:val="00F64A0B"/>
    <w:rsid w:val="00F64D1A"/>
    <w:rsid w:val="00F655F3"/>
    <w:rsid w:val="00F65AD2"/>
    <w:rsid w:val="00F665B4"/>
    <w:rsid w:val="00F66913"/>
    <w:rsid w:val="00F6781B"/>
    <w:rsid w:val="00F67EF5"/>
    <w:rsid w:val="00F706CC"/>
    <w:rsid w:val="00F70909"/>
    <w:rsid w:val="00F70A52"/>
    <w:rsid w:val="00F70C9E"/>
    <w:rsid w:val="00F71029"/>
    <w:rsid w:val="00F7146B"/>
    <w:rsid w:val="00F718EF"/>
    <w:rsid w:val="00F72540"/>
    <w:rsid w:val="00F7269E"/>
    <w:rsid w:val="00F72909"/>
    <w:rsid w:val="00F72AE1"/>
    <w:rsid w:val="00F72F3E"/>
    <w:rsid w:val="00F73853"/>
    <w:rsid w:val="00F73C1D"/>
    <w:rsid w:val="00F74079"/>
    <w:rsid w:val="00F7407F"/>
    <w:rsid w:val="00F74371"/>
    <w:rsid w:val="00F74A03"/>
    <w:rsid w:val="00F74A1A"/>
    <w:rsid w:val="00F750AD"/>
    <w:rsid w:val="00F7541B"/>
    <w:rsid w:val="00F754FA"/>
    <w:rsid w:val="00F75BCB"/>
    <w:rsid w:val="00F75C9E"/>
    <w:rsid w:val="00F76696"/>
    <w:rsid w:val="00F76C23"/>
    <w:rsid w:val="00F76E7C"/>
    <w:rsid w:val="00F76F2E"/>
    <w:rsid w:val="00F76F81"/>
    <w:rsid w:val="00F778D1"/>
    <w:rsid w:val="00F8001F"/>
    <w:rsid w:val="00F804BA"/>
    <w:rsid w:val="00F80ECB"/>
    <w:rsid w:val="00F8106C"/>
    <w:rsid w:val="00F8163C"/>
    <w:rsid w:val="00F819AE"/>
    <w:rsid w:val="00F81C59"/>
    <w:rsid w:val="00F82021"/>
    <w:rsid w:val="00F822F2"/>
    <w:rsid w:val="00F82396"/>
    <w:rsid w:val="00F82443"/>
    <w:rsid w:val="00F82751"/>
    <w:rsid w:val="00F82A76"/>
    <w:rsid w:val="00F82D8D"/>
    <w:rsid w:val="00F83037"/>
    <w:rsid w:val="00F830E6"/>
    <w:rsid w:val="00F833CD"/>
    <w:rsid w:val="00F83456"/>
    <w:rsid w:val="00F836A1"/>
    <w:rsid w:val="00F83881"/>
    <w:rsid w:val="00F83FA5"/>
    <w:rsid w:val="00F840B2"/>
    <w:rsid w:val="00F842B6"/>
    <w:rsid w:val="00F842E8"/>
    <w:rsid w:val="00F84E80"/>
    <w:rsid w:val="00F84EDE"/>
    <w:rsid w:val="00F85262"/>
    <w:rsid w:val="00F857D8"/>
    <w:rsid w:val="00F859C6"/>
    <w:rsid w:val="00F862AF"/>
    <w:rsid w:val="00F8635D"/>
    <w:rsid w:val="00F86512"/>
    <w:rsid w:val="00F86B69"/>
    <w:rsid w:val="00F86BEE"/>
    <w:rsid w:val="00F86C5E"/>
    <w:rsid w:val="00F87582"/>
    <w:rsid w:val="00F87ACB"/>
    <w:rsid w:val="00F87E97"/>
    <w:rsid w:val="00F904CE"/>
    <w:rsid w:val="00F90F76"/>
    <w:rsid w:val="00F91E93"/>
    <w:rsid w:val="00F92DF0"/>
    <w:rsid w:val="00F93B01"/>
    <w:rsid w:val="00F93FEC"/>
    <w:rsid w:val="00F9489C"/>
    <w:rsid w:val="00F94C8F"/>
    <w:rsid w:val="00F94CF0"/>
    <w:rsid w:val="00F9539B"/>
    <w:rsid w:val="00F95777"/>
    <w:rsid w:val="00F95E5E"/>
    <w:rsid w:val="00F961BD"/>
    <w:rsid w:val="00F9628C"/>
    <w:rsid w:val="00F9655B"/>
    <w:rsid w:val="00F967F0"/>
    <w:rsid w:val="00F97862"/>
    <w:rsid w:val="00F97F9A"/>
    <w:rsid w:val="00FA015D"/>
    <w:rsid w:val="00FA04CC"/>
    <w:rsid w:val="00FA0617"/>
    <w:rsid w:val="00FA09A1"/>
    <w:rsid w:val="00FA0D04"/>
    <w:rsid w:val="00FA1201"/>
    <w:rsid w:val="00FA1B7A"/>
    <w:rsid w:val="00FA2EBD"/>
    <w:rsid w:val="00FA317A"/>
    <w:rsid w:val="00FA37F5"/>
    <w:rsid w:val="00FA39EC"/>
    <w:rsid w:val="00FA3F4E"/>
    <w:rsid w:val="00FA3F53"/>
    <w:rsid w:val="00FA4207"/>
    <w:rsid w:val="00FA4257"/>
    <w:rsid w:val="00FA42CA"/>
    <w:rsid w:val="00FA4459"/>
    <w:rsid w:val="00FA449D"/>
    <w:rsid w:val="00FA4A46"/>
    <w:rsid w:val="00FA5078"/>
    <w:rsid w:val="00FA5945"/>
    <w:rsid w:val="00FA6106"/>
    <w:rsid w:val="00FA616E"/>
    <w:rsid w:val="00FA62F9"/>
    <w:rsid w:val="00FA64CD"/>
    <w:rsid w:val="00FA6761"/>
    <w:rsid w:val="00FA690D"/>
    <w:rsid w:val="00FA6ADF"/>
    <w:rsid w:val="00FA7071"/>
    <w:rsid w:val="00FA710C"/>
    <w:rsid w:val="00FA7713"/>
    <w:rsid w:val="00FA79D8"/>
    <w:rsid w:val="00FA7F9C"/>
    <w:rsid w:val="00FB05F2"/>
    <w:rsid w:val="00FB0C3C"/>
    <w:rsid w:val="00FB104C"/>
    <w:rsid w:val="00FB18DB"/>
    <w:rsid w:val="00FB1CD4"/>
    <w:rsid w:val="00FB1D31"/>
    <w:rsid w:val="00FB1D70"/>
    <w:rsid w:val="00FB1DDB"/>
    <w:rsid w:val="00FB1ED8"/>
    <w:rsid w:val="00FB1F9C"/>
    <w:rsid w:val="00FB3822"/>
    <w:rsid w:val="00FB46E2"/>
    <w:rsid w:val="00FB4B3F"/>
    <w:rsid w:val="00FB4C32"/>
    <w:rsid w:val="00FB4DD2"/>
    <w:rsid w:val="00FB5445"/>
    <w:rsid w:val="00FB5A11"/>
    <w:rsid w:val="00FB5E45"/>
    <w:rsid w:val="00FB6BE7"/>
    <w:rsid w:val="00FB6FB5"/>
    <w:rsid w:val="00FB723C"/>
    <w:rsid w:val="00FB7322"/>
    <w:rsid w:val="00FB7BD1"/>
    <w:rsid w:val="00FB7EA0"/>
    <w:rsid w:val="00FC08CD"/>
    <w:rsid w:val="00FC0EBD"/>
    <w:rsid w:val="00FC11D5"/>
    <w:rsid w:val="00FC14EC"/>
    <w:rsid w:val="00FC1C71"/>
    <w:rsid w:val="00FC282F"/>
    <w:rsid w:val="00FC2D9B"/>
    <w:rsid w:val="00FC3116"/>
    <w:rsid w:val="00FC3242"/>
    <w:rsid w:val="00FC3A7C"/>
    <w:rsid w:val="00FC43AC"/>
    <w:rsid w:val="00FC483F"/>
    <w:rsid w:val="00FC4AB6"/>
    <w:rsid w:val="00FC4CAA"/>
    <w:rsid w:val="00FC4EA3"/>
    <w:rsid w:val="00FC5067"/>
    <w:rsid w:val="00FC5111"/>
    <w:rsid w:val="00FC520E"/>
    <w:rsid w:val="00FC5BB5"/>
    <w:rsid w:val="00FC66BD"/>
    <w:rsid w:val="00FC6F91"/>
    <w:rsid w:val="00FC706C"/>
    <w:rsid w:val="00FC76F1"/>
    <w:rsid w:val="00FC79AF"/>
    <w:rsid w:val="00FC7D2C"/>
    <w:rsid w:val="00FD0252"/>
    <w:rsid w:val="00FD0583"/>
    <w:rsid w:val="00FD0DCF"/>
    <w:rsid w:val="00FD1065"/>
    <w:rsid w:val="00FD192F"/>
    <w:rsid w:val="00FD20DE"/>
    <w:rsid w:val="00FD2808"/>
    <w:rsid w:val="00FD2EBF"/>
    <w:rsid w:val="00FD38DB"/>
    <w:rsid w:val="00FD3FB0"/>
    <w:rsid w:val="00FD4239"/>
    <w:rsid w:val="00FD4C75"/>
    <w:rsid w:val="00FD531E"/>
    <w:rsid w:val="00FD5B73"/>
    <w:rsid w:val="00FD5B7A"/>
    <w:rsid w:val="00FD5EB4"/>
    <w:rsid w:val="00FD676D"/>
    <w:rsid w:val="00FD6D06"/>
    <w:rsid w:val="00FD73D8"/>
    <w:rsid w:val="00FD799C"/>
    <w:rsid w:val="00FD7BA7"/>
    <w:rsid w:val="00FE01FC"/>
    <w:rsid w:val="00FE0AA9"/>
    <w:rsid w:val="00FE0DEC"/>
    <w:rsid w:val="00FE1973"/>
    <w:rsid w:val="00FE21C5"/>
    <w:rsid w:val="00FE221C"/>
    <w:rsid w:val="00FE228B"/>
    <w:rsid w:val="00FE23F3"/>
    <w:rsid w:val="00FE281E"/>
    <w:rsid w:val="00FE3336"/>
    <w:rsid w:val="00FE3854"/>
    <w:rsid w:val="00FE4229"/>
    <w:rsid w:val="00FE52FC"/>
    <w:rsid w:val="00FE567E"/>
    <w:rsid w:val="00FE5D2E"/>
    <w:rsid w:val="00FE6437"/>
    <w:rsid w:val="00FE64A6"/>
    <w:rsid w:val="00FE68C4"/>
    <w:rsid w:val="00FE69BE"/>
    <w:rsid w:val="00FE790C"/>
    <w:rsid w:val="00FE7AEC"/>
    <w:rsid w:val="00FF048A"/>
    <w:rsid w:val="00FF0589"/>
    <w:rsid w:val="00FF07E3"/>
    <w:rsid w:val="00FF08AC"/>
    <w:rsid w:val="00FF1096"/>
    <w:rsid w:val="00FF1B06"/>
    <w:rsid w:val="00FF20DA"/>
    <w:rsid w:val="00FF21B7"/>
    <w:rsid w:val="00FF2F03"/>
    <w:rsid w:val="00FF30C1"/>
    <w:rsid w:val="00FF3510"/>
    <w:rsid w:val="00FF3E93"/>
    <w:rsid w:val="00FF4E03"/>
    <w:rsid w:val="00FF4F5E"/>
    <w:rsid w:val="00FF5604"/>
    <w:rsid w:val="00FF590B"/>
    <w:rsid w:val="00FF59E2"/>
    <w:rsid w:val="00FF5CB3"/>
    <w:rsid w:val="00FF5EE1"/>
    <w:rsid w:val="00FF6129"/>
    <w:rsid w:val="00FF615D"/>
    <w:rsid w:val="00FF6617"/>
    <w:rsid w:val="00FF67EE"/>
    <w:rsid w:val="00FF6C64"/>
    <w:rsid w:val="00FF6CDD"/>
    <w:rsid w:val="00FF6DFF"/>
    <w:rsid w:val="00FF71D7"/>
    <w:rsid w:val="00FF7715"/>
    <w:rsid w:val="00FF7FB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C82AD9"/>
  <w15:docId w15:val="{6DA924BA-52C6-F14B-AAFD-FFA7EA3E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84EDE"/>
    <w:rPr>
      <w:sz w:val="24"/>
      <w:szCs w:val="24"/>
      <w:lang w:eastAsia="it-IT"/>
    </w:rPr>
  </w:style>
  <w:style w:type="paragraph" w:styleId="Titolo1">
    <w:name w:val="heading 1"/>
    <w:basedOn w:val="Normale"/>
    <w:next w:val="Normale"/>
    <w:link w:val="Titolo1Carattere"/>
    <w:uiPriority w:val="9"/>
    <w:qFormat/>
    <w:rsid w:val="00DD374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qFormat/>
    <w:rsid w:val="002346EF"/>
    <w:pPr>
      <w:spacing w:before="100" w:beforeAutospacing="1" w:after="100" w:afterAutospacing="1"/>
      <w:outlineLvl w:val="1"/>
    </w:pPr>
    <w:rPr>
      <w:b/>
      <w:bCs/>
      <w:sz w:val="36"/>
      <w:szCs w:val="36"/>
    </w:rPr>
  </w:style>
  <w:style w:type="paragraph" w:styleId="Titolo3">
    <w:name w:val="heading 3"/>
    <w:basedOn w:val="Normale"/>
    <w:next w:val="Normale"/>
    <w:link w:val="Titolo3Carattere"/>
    <w:uiPriority w:val="9"/>
    <w:semiHidden/>
    <w:unhideWhenUsed/>
    <w:qFormat/>
    <w:rsid w:val="005B1FA5"/>
    <w:pPr>
      <w:keepNext/>
      <w:keepLines/>
      <w:spacing w:before="40"/>
      <w:outlineLvl w:val="2"/>
    </w:pPr>
    <w:rPr>
      <w:rFonts w:asciiTheme="majorHAnsi" w:eastAsiaTheme="majorEastAsia" w:hAnsiTheme="majorHAnsi" w:cstheme="majorBidi"/>
      <w:color w:val="243F60" w:themeColor="accent1" w:themeShade="7F"/>
    </w:rPr>
  </w:style>
  <w:style w:type="paragraph" w:styleId="Titolo4">
    <w:name w:val="heading 4"/>
    <w:basedOn w:val="Normale"/>
    <w:next w:val="Normale"/>
    <w:link w:val="Titolo4Carattere"/>
    <w:uiPriority w:val="9"/>
    <w:semiHidden/>
    <w:unhideWhenUsed/>
    <w:qFormat/>
    <w:rsid w:val="00DD374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
    <w:name w:val="ti"/>
    <w:basedOn w:val="Carpredefinitoparagrafo"/>
    <w:rsid w:val="002346EF"/>
  </w:style>
  <w:style w:type="character" w:styleId="Collegamentoipertestuale">
    <w:name w:val="Hyperlink"/>
    <w:rsid w:val="002346EF"/>
    <w:rPr>
      <w:color w:val="0000FF"/>
      <w:u w:val="single"/>
    </w:rPr>
  </w:style>
  <w:style w:type="character" w:customStyle="1" w:styleId="linkbar">
    <w:name w:val="linkbar"/>
    <w:basedOn w:val="Carpredefinitoparagrafo"/>
    <w:rsid w:val="002346EF"/>
  </w:style>
  <w:style w:type="paragraph" w:customStyle="1" w:styleId="affiliation">
    <w:name w:val="affiliation"/>
    <w:basedOn w:val="Normale"/>
    <w:rsid w:val="002346EF"/>
    <w:pPr>
      <w:spacing w:before="100" w:beforeAutospacing="1" w:after="100" w:afterAutospacing="1"/>
    </w:pPr>
  </w:style>
  <w:style w:type="paragraph" w:customStyle="1" w:styleId="abstract">
    <w:name w:val="abstract"/>
    <w:basedOn w:val="Normale"/>
    <w:rsid w:val="002346EF"/>
    <w:pPr>
      <w:spacing w:before="100" w:beforeAutospacing="1" w:after="100" w:afterAutospacing="1"/>
    </w:pPr>
  </w:style>
  <w:style w:type="paragraph" w:customStyle="1" w:styleId="pmid">
    <w:name w:val="pmid"/>
    <w:basedOn w:val="Normale"/>
    <w:rsid w:val="002346EF"/>
    <w:pPr>
      <w:spacing w:before="100" w:beforeAutospacing="1" w:after="100" w:afterAutospacing="1"/>
    </w:pPr>
  </w:style>
  <w:style w:type="paragraph" w:customStyle="1" w:styleId="desc">
    <w:name w:val="desc"/>
    <w:basedOn w:val="Normale"/>
    <w:rsid w:val="002346EF"/>
    <w:pPr>
      <w:spacing w:before="100" w:beforeAutospacing="1" w:after="100" w:afterAutospacing="1"/>
    </w:pPr>
  </w:style>
  <w:style w:type="character" w:styleId="Enfasicorsivo">
    <w:name w:val="Emphasis"/>
    <w:uiPriority w:val="20"/>
    <w:qFormat/>
    <w:rsid w:val="002346EF"/>
    <w:rPr>
      <w:i/>
      <w:iCs/>
    </w:rPr>
  </w:style>
  <w:style w:type="paragraph" w:customStyle="1" w:styleId="note">
    <w:name w:val="note"/>
    <w:basedOn w:val="Normale"/>
    <w:rsid w:val="002346EF"/>
    <w:pPr>
      <w:spacing w:before="100" w:beforeAutospacing="1" w:after="100" w:afterAutospacing="1"/>
    </w:pPr>
  </w:style>
  <w:style w:type="character" w:customStyle="1" w:styleId="reviewflag">
    <w:name w:val="reviewflag"/>
    <w:basedOn w:val="Carpredefinitoparagrafo"/>
    <w:rsid w:val="002346EF"/>
  </w:style>
  <w:style w:type="character" w:customStyle="1" w:styleId="name">
    <w:name w:val="name"/>
    <w:rsid w:val="00B20E18"/>
  </w:style>
  <w:style w:type="paragraph" w:styleId="Testofumetto">
    <w:name w:val="Balloon Text"/>
    <w:basedOn w:val="Normale"/>
    <w:link w:val="TestofumettoCarattere"/>
    <w:uiPriority w:val="99"/>
    <w:semiHidden/>
    <w:unhideWhenUsed/>
    <w:rsid w:val="00F401CC"/>
    <w:rPr>
      <w:rFonts w:ascii="Segoe UI" w:hAnsi="Segoe UI" w:cs="Segoe UI"/>
      <w:sz w:val="18"/>
      <w:szCs w:val="18"/>
    </w:rPr>
  </w:style>
  <w:style w:type="character" w:customStyle="1" w:styleId="TestofumettoCarattere">
    <w:name w:val="Testo fumetto Carattere"/>
    <w:link w:val="Testofumetto"/>
    <w:uiPriority w:val="99"/>
    <w:semiHidden/>
    <w:rsid w:val="00F401CC"/>
    <w:rPr>
      <w:rFonts w:ascii="Segoe UI" w:hAnsi="Segoe UI" w:cs="Segoe UI"/>
      <w:sz w:val="18"/>
      <w:szCs w:val="18"/>
    </w:rPr>
  </w:style>
  <w:style w:type="character" w:styleId="Rimandocommento">
    <w:name w:val="annotation reference"/>
    <w:uiPriority w:val="99"/>
    <w:semiHidden/>
    <w:unhideWhenUsed/>
    <w:rsid w:val="00F401CC"/>
    <w:rPr>
      <w:sz w:val="16"/>
      <w:szCs w:val="16"/>
    </w:rPr>
  </w:style>
  <w:style w:type="paragraph" w:styleId="Testocommento">
    <w:name w:val="annotation text"/>
    <w:basedOn w:val="Normale"/>
    <w:link w:val="TestocommentoCarattere"/>
    <w:uiPriority w:val="99"/>
    <w:unhideWhenUsed/>
    <w:rsid w:val="00F401CC"/>
    <w:rPr>
      <w:sz w:val="20"/>
      <w:szCs w:val="20"/>
    </w:rPr>
  </w:style>
  <w:style w:type="character" w:customStyle="1" w:styleId="TestocommentoCarattere">
    <w:name w:val="Testo commento Carattere"/>
    <w:basedOn w:val="Carpredefinitoparagrafo"/>
    <w:link w:val="Testocommento"/>
    <w:uiPriority w:val="99"/>
    <w:rsid w:val="00F401CC"/>
  </w:style>
  <w:style w:type="paragraph" w:styleId="Soggettocommento">
    <w:name w:val="annotation subject"/>
    <w:basedOn w:val="Testocommento"/>
    <w:next w:val="Testocommento"/>
    <w:link w:val="SoggettocommentoCarattere"/>
    <w:uiPriority w:val="99"/>
    <w:semiHidden/>
    <w:unhideWhenUsed/>
    <w:rsid w:val="00F401CC"/>
    <w:rPr>
      <w:b/>
      <w:bCs/>
    </w:rPr>
  </w:style>
  <w:style w:type="character" w:customStyle="1" w:styleId="SoggettocommentoCarattere">
    <w:name w:val="Soggetto commento Carattere"/>
    <w:link w:val="Soggettocommento"/>
    <w:uiPriority w:val="99"/>
    <w:semiHidden/>
    <w:rsid w:val="00F401CC"/>
    <w:rPr>
      <w:b/>
      <w:bCs/>
    </w:rPr>
  </w:style>
  <w:style w:type="paragraph" w:customStyle="1" w:styleId="Sfondoacolori-Colore11">
    <w:name w:val="Sfondo a colori - Colore 11"/>
    <w:hidden/>
    <w:uiPriority w:val="71"/>
    <w:rsid w:val="00A510C5"/>
    <w:rPr>
      <w:sz w:val="24"/>
      <w:szCs w:val="24"/>
      <w:lang w:eastAsia="it-IT"/>
    </w:rPr>
  </w:style>
  <w:style w:type="paragraph" w:customStyle="1" w:styleId="Revisione1">
    <w:name w:val="Revisione1"/>
    <w:hidden/>
    <w:uiPriority w:val="99"/>
    <w:semiHidden/>
    <w:rsid w:val="0019299F"/>
    <w:rPr>
      <w:sz w:val="24"/>
      <w:szCs w:val="24"/>
      <w:lang w:eastAsia="it-IT"/>
    </w:rPr>
  </w:style>
  <w:style w:type="paragraph" w:styleId="Intestazione">
    <w:name w:val="header"/>
    <w:basedOn w:val="Normale"/>
    <w:link w:val="IntestazioneCarattere"/>
    <w:uiPriority w:val="99"/>
    <w:unhideWhenUsed/>
    <w:rsid w:val="00DB7F52"/>
    <w:pPr>
      <w:tabs>
        <w:tab w:val="center" w:pos="4819"/>
        <w:tab w:val="right" w:pos="9638"/>
      </w:tabs>
    </w:pPr>
  </w:style>
  <w:style w:type="character" w:customStyle="1" w:styleId="IntestazioneCarattere">
    <w:name w:val="Intestazione Carattere"/>
    <w:link w:val="Intestazione"/>
    <w:uiPriority w:val="99"/>
    <w:rsid w:val="00DB7F52"/>
    <w:rPr>
      <w:sz w:val="24"/>
      <w:szCs w:val="24"/>
    </w:rPr>
  </w:style>
  <w:style w:type="paragraph" w:styleId="Pidipagina">
    <w:name w:val="footer"/>
    <w:basedOn w:val="Normale"/>
    <w:link w:val="PidipaginaCarattere"/>
    <w:unhideWhenUsed/>
    <w:rsid w:val="00DB7F52"/>
    <w:pPr>
      <w:tabs>
        <w:tab w:val="center" w:pos="4819"/>
        <w:tab w:val="right" w:pos="9638"/>
      </w:tabs>
    </w:pPr>
  </w:style>
  <w:style w:type="character" w:customStyle="1" w:styleId="PidipaginaCarattere">
    <w:name w:val="Piè di pagina Carattere"/>
    <w:link w:val="Pidipagina"/>
    <w:uiPriority w:val="99"/>
    <w:rsid w:val="00DB7F52"/>
    <w:rPr>
      <w:sz w:val="24"/>
      <w:szCs w:val="24"/>
    </w:rPr>
  </w:style>
  <w:style w:type="character" w:customStyle="1" w:styleId="FooterChar">
    <w:name w:val="Footer Char"/>
    <w:semiHidden/>
    <w:locked/>
    <w:rsid w:val="00F41DD3"/>
    <w:rPr>
      <w:rFonts w:cs="Times New Roman"/>
      <w:lang w:val="x-none" w:eastAsia="en-US"/>
    </w:rPr>
  </w:style>
  <w:style w:type="character" w:styleId="Numeropagina">
    <w:name w:val="page number"/>
    <w:rsid w:val="00F41DD3"/>
    <w:rPr>
      <w:rFonts w:cs="Times New Roman"/>
    </w:rPr>
  </w:style>
  <w:style w:type="character" w:styleId="Numeroriga">
    <w:name w:val="line number"/>
    <w:basedOn w:val="Carpredefinitoparagrafo"/>
    <w:rsid w:val="007D0905"/>
  </w:style>
  <w:style w:type="paragraph" w:styleId="NormaleWeb">
    <w:name w:val="Normal (Web)"/>
    <w:basedOn w:val="Normale"/>
    <w:uiPriority w:val="99"/>
    <w:semiHidden/>
    <w:unhideWhenUsed/>
    <w:rsid w:val="00D40AE3"/>
    <w:pPr>
      <w:spacing w:before="100" w:beforeAutospacing="1" w:after="100" w:afterAutospacing="1"/>
    </w:pPr>
    <w:rPr>
      <w:rFonts w:ascii="Times" w:hAnsi="Times"/>
      <w:sz w:val="20"/>
      <w:szCs w:val="20"/>
      <w:lang w:eastAsia="en-US"/>
    </w:rPr>
  </w:style>
  <w:style w:type="paragraph" w:customStyle="1" w:styleId="Intestazioneepidipagina">
    <w:name w:val="Intestazione e piè di pagina"/>
    <w:rsid w:val="00AA6ED2"/>
    <w:pPr>
      <w:pBdr>
        <w:top w:val="nil"/>
        <w:left w:val="nil"/>
        <w:bottom w:val="nil"/>
        <w:right w:val="nil"/>
        <w:between w:val="nil"/>
        <w:bar w:val="nil"/>
      </w:pBdr>
      <w:tabs>
        <w:tab w:val="right" w:pos="9020"/>
      </w:tabs>
    </w:pPr>
    <w:rPr>
      <w:rFonts w:ascii="Helvetica" w:eastAsia="Arial Unicode MS" w:hAnsi="Arial Unicode MS" w:cs="Arial Unicode MS"/>
      <w:color w:val="000000"/>
      <w:sz w:val="24"/>
      <w:szCs w:val="24"/>
      <w:bdr w:val="nil"/>
    </w:rPr>
  </w:style>
  <w:style w:type="paragraph" w:customStyle="1" w:styleId="Corpo">
    <w:name w:val="Corpo"/>
    <w:rsid w:val="00AA6ED2"/>
    <w:pPr>
      <w:pBdr>
        <w:top w:val="nil"/>
        <w:left w:val="nil"/>
        <w:bottom w:val="nil"/>
        <w:right w:val="nil"/>
        <w:between w:val="nil"/>
        <w:bar w:val="nil"/>
      </w:pBdr>
    </w:pPr>
    <w:rPr>
      <w:rFonts w:eastAsia="Arial Unicode MS" w:hAnsi="Arial Unicode MS" w:cs="Arial Unicode MS"/>
      <w:color w:val="000000"/>
      <w:sz w:val="24"/>
      <w:szCs w:val="24"/>
      <w:u w:color="000000"/>
      <w:bdr w:val="nil"/>
      <w:lang w:val="en-US"/>
    </w:rPr>
  </w:style>
  <w:style w:type="character" w:customStyle="1" w:styleId="Link">
    <w:name w:val="Link"/>
    <w:rsid w:val="00AA6ED2"/>
    <w:rPr>
      <w:color w:val="0000FF"/>
      <w:u w:val="single" w:color="0000FF"/>
    </w:rPr>
  </w:style>
  <w:style w:type="character" w:customStyle="1" w:styleId="Hyperlink0">
    <w:name w:val="Hyperlink.0"/>
    <w:rsid w:val="00AA6ED2"/>
    <w:rPr>
      <w:color w:val="0000FF"/>
      <w:u w:val="single" w:color="0000FF"/>
      <w:lang w:val="en-US"/>
    </w:rPr>
  </w:style>
  <w:style w:type="paragraph" w:customStyle="1" w:styleId="Didefault">
    <w:name w:val="Di default"/>
    <w:rsid w:val="00AA6ED2"/>
    <w:pPr>
      <w:pBdr>
        <w:top w:val="nil"/>
        <w:left w:val="nil"/>
        <w:bottom w:val="nil"/>
        <w:right w:val="nil"/>
        <w:between w:val="nil"/>
        <w:bar w:val="nil"/>
      </w:pBdr>
    </w:pPr>
    <w:rPr>
      <w:rFonts w:ascii="Helvetica" w:eastAsia="Helvetica" w:hAnsi="Helvetica" w:cs="Helvetica"/>
      <w:color w:val="000000"/>
      <w:sz w:val="22"/>
      <w:szCs w:val="22"/>
      <w:bdr w:val="nil"/>
    </w:rPr>
  </w:style>
  <w:style w:type="character" w:customStyle="1" w:styleId="Hyperlink1">
    <w:name w:val="Hyperlink.1"/>
    <w:rsid w:val="00AA6ED2"/>
    <w:rPr>
      <w:rFonts w:cs="Times New Roman"/>
      <w:color w:val="0432FF"/>
      <w:u w:color="0432FF"/>
      <w:lang w:val="en-US"/>
    </w:rPr>
  </w:style>
  <w:style w:type="character" w:customStyle="1" w:styleId="Hyperlink2">
    <w:name w:val="Hyperlink.2"/>
    <w:rsid w:val="00AA6ED2"/>
    <w:rPr>
      <w:color w:val="0432FF"/>
      <w:u w:val="none" w:color="0432FF"/>
      <w:lang w:val="en-US"/>
    </w:rPr>
  </w:style>
  <w:style w:type="character" w:customStyle="1" w:styleId="Hyperlink3">
    <w:name w:val="Hyperlink.3"/>
    <w:rsid w:val="00AA6ED2"/>
    <w:rPr>
      <w:rFonts w:cs="Times New Roman"/>
      <w:color w:val="0432FF"/>
      <w:u w:color="0432FF"/>
      <w:lang w:val="en-US"/>
    </w:rPr>
  </w:style>
  <w:style w:type="character" w:customStyle="1" w:styleId="Hyperlink4">
    <w:name w:val="Hyperlink.4"/>
    <w:rsid w:val="00AA6ED2"/>
    <w:rPr>
      <w:rFonts w:cs="Times New Roman"/>
      <w:color w:val="000000"/>
      <w:u w:color="000000"/>
      <w:lang w:val="en-US"/>
    </w:rPr>
  </w:style>
  <w:style w:type="character" w:customStyle="1" w:styleId="Hyperlink5">
    <w:name w:val="Hyperlink.5"/>
    <w:rsid w:val="00AA6ED2"/>
    <w:rPr>
      <w:color w:val="000000"/>
      <w:u w:val="none" w:color="000000"/>
      <w:lang w:val="en-US"/>
    </w:rPr>
  </w:style>
  <w:style w:type="character" w:customStyle="1" w:styleId="Hyperlink6">
    <w:name w:val="Hyperlink.6"/>
    <w:rsid w:val="00AA6ED2"/>
    <w:rPr>
      <w:color w:val="000000"/>
      <w:u w:val="none" w:color="000000"/>
      <w:lang w:val="en-US"/>
    </w:rPr>
  </w:style>
  <w:style w:type="character" w:customStyle="1" w:styleId="Hyperlink7">
    <w:name w:val="Hyperlink.7"/>
    <w:rsid w:val="00AA6ED2"/>
    <w:rPr>
      <w:rFonts w:cs="Times New Roman"/>
      <w:lang w:val="en-US"/>
    </w:rPr>
  </w:style>
  <w:style w:type="character" w:customStyle="1" w:styleId="Hyperlink8">
    <w:name w:val="Hyperlink.8"/>
    <w:rsid w:val="00AA6ED2"/>
    <w:rPr>
      <w:rFonts w:cs="Times New Roman"/>
      <w:color w:val="000000"/>
      <w:u w:color="000000"/>
      <w:lang w:val="en-US"/>
    </w:rPr>
  </w:style>
  <w:style w:type="character" w:customStyle="1" w:styleId="Hyperlink9">
    <w:name w:val="Hyperlink.9"/>
    <w:rsid w:val="00AA6ED2"/>
    <w:rPr>
      <w:rFonts w:cs="Times New Roman"/>
      <w:color w:val="000000"/>
      <w:u w:color="000000"/>
    </w:rPr>
  </w:style>
  <w:style w:type="character" w:customStyle="1" w:styleId="Hyperlink10">
    <w:name w:val="Hyperlink.10"/>
    <w:rsid w:val="00AA6ED2"/>
  </w:style>
  <w:style w:type="character" w:customStyle="1" w:styleId="Hyperlink11">
    <w:name w:val="Hyperlink.11"/>
    <w:rsid w:val="00AA6ED2"/>
    <w:rPr>
      <w:color w:val="000000"/>
      <w:u w:val="none" w:color="000000"/>
    </w:rPr>
  </w:style>
  <w:style w:type="character" w:customStyle="1" w:styleId="Hyperlink12">
    <w:name w:val="Hyperlink.12"/>
    <w:rsid w:val="00AA6ED2"/>
    <w:rPr>
      <w:rFonts w:cs="Times New Roman"/>
      <w:lang w:val="de-DE"/>
    </w:rPr>
  </w:style>
  <w:style w:type="character" w:customStyle="1" w:styleId="highlight">
    <w:name w:val="highlight"/>
    <w:basedOn w:val="Carpredefinitoparagrafo"/>
    <w:rsid w:val="00D91AD6"/>
  </w:style>
  <w:style w:type="character" w:customStyle="1" w:styleId="Titolo1Carattere">
    <w:name w:val="Titolo 1 Carattere"/>
    <w:basedOn w:val="Carpredefinitoparagrafo"/>
    <w:link w:val="Titolo1"/>
    <w:uiPriority w:val="9"/>
    <w:rsid w:val="00DD3749"/>
    <w:rPr>
      <w:rFonts w:asciiTheme="majorHAnsi" w:eastAsiaTheme="majorEastAsia" w:hAnsiTheme="majorHAnsi" w:cstheme="majorBidi"/>
      <w:color w:val="365F91" w:themeColor="accent1" w:themeShade="BF"/>
      <w:sz w:val="32"/>
      <w:szCs w:val="32"/>
      <w:lang w:eastAsia="it-IT"/>
    </w:rPr>
  </w:style>
  <w:style w:type="character" w:customStyle="1" w:styleId="Titolo4Carattere">
    <w:name w:val="Titolo 4 Carattere"/>
    <w:basedOn w:val="Carpredefinitoparagrafo"/>
    <w:link w:val="Titolo4"/>
    <w:uiPriority w:val="9"/>
    <w:semiHidden/>
    <w:rsid w:val="00DD3749"/>
    <w:rPr>
      <w:rFonts w:asciiTheme="majorHAnsi" w:eastAsiaTheme="majorEastAsia" w:hAnsiTheme="majorHAnsi" w:cstheme="majorBidi"/>
      <w:i/>
      <w:iCs/>
      <w:color w:val="365F91" w:themeColor="accent1" w:themeShade="BF"/>
      <w:sz w:val="24"/>
      <w:szCs w:val="24"/>
      <w:lang w:eastAsia="it-IT"/>
    </w:rPr>
  </w:style>
  <w:style w:type="paragraph" w:styleId="Revisione">
    <w:name w:val="Revision"/>
    <w:hidden/>
    <w:uiPriority w:val="99"/>
    <w:semiHidden/>
    <w:rsid w:val="00314751"/>
    <w:rPr>
      <w:sz w:val="24"/>
      <w:szCs w:val="24"/>
      <w:lang w:eastAsia="it-IT"/>
    </w:rPr>
  </w:style>
  <w:style w:type="character" w:styleId="Collegamentovisitato">
    <w:name w:val="FollowedHyperlink"/>
    <w:basedOn w:val="Carpredefinitoparagrafo"/>
    <w:uiPriority w:val="99"/>
    <w:semiHidden/>
    <w:unhideWhenUsed/>
    <w:rsid w:val="005D6E8B"/>
    <w:rPr>
      <w:color w:val="800080" w:themeColor="followedHyperlink"/>
      <w:u w:val="single"/>
    </w:rPr>
  </w:style>
  <w:style w:type="character" w:customStyle="1" w:styleId="normaltextrun">
    <w:name w:val="normaltextrun"/>
    <w:basedOn w:val="Carpredefinitoparagrafo"/>
    <w:rsid w:val="00B22606"/>
  </w:style>
  <w:style w:type="character" w:customStyle="1" w:styleId="eop">
    <w:name w:val="eop"/>
    <w:basedOn w:val="Carpredefinitoparagrafo"/>
    <w:rsid w:val="00B22606"/>
  </w:style>
  <w:style w:type="character" w:customStyle="1" w:styleId="Menzionenonrisolta1">
    <w:name w:val="Menzione non risolta1"/>
    <w:basedOn w:val="Carpredefinitoparagrafo"/>
    <w:uiPriority w:val="99"/>
    <w:semiHidden/>
    <w:unhideWhenUsed/>
    <w:rsid w:val="008B71A8"/>
    <w:rPr>
      <w:color w:val="808080"/>
      <w:shd w:val="clear" w:color="auto" w:fill="E6E6E6"/>
    </w:rPr>
  </w:style>
  <w:style w:type="paragraph" w:styleId="Paragrafoelenco">
    <w:name w:val="List Paragraph"/>
    <w:basedOn w:val="Normale"/>
    <w:uiPriority w:val="34"/>
    <w:qFormat/>
    <w:rsid w:val="002F3EAD"/>
    <w:pPr>
      <w:ind w:left="720"/>
      <w:contextualSpacing/>
    </w:pPr>
  </w:style>
  <w:style w:type="character" w:customStyle="1" w:styleId="Menzionenonrisolta2">
    <w:name w:val="Menzione non risolta2"/>
    <w:basedOn w:val="Carpredefinitoparagrafo"/>
    <w:uiPriority w:val="99"/>
    <w:semiHidden/>
    <w:unhideWhenUsed/>
    <w:rsid w:val="007B3326"/>
    <w:rPr>
      <w:color w:val="808080"/>
      <w:shd w:val="clear" w:color="auto" w:fill="E6E6E6"/>
    </w:rPr>
  </w:style>
  <w:style w:type="table" w:styleId="Grigliatabella">
    <w:name w:val="Table Grid"/>
    <w:basedOn w:val="Tabellanormale"/>
    <w:uiPriority w:val="59"/>
    <w:rsid w:val="0048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
    <w:name w:val="Light Shading"/>
    <w:basedOn w:val="Tabellanormale"/>
    <w:uiPriority w:val="60"/>
    <w:rsid w:val="00BD01C3"/>
    <w:rPr>
      <w:rFonts w:asciiTheme="minorHAnsi" w:eastAsiaTheme="minorEastAsia" w:hAnsiTheme="minorHAnsi" w:cstheme="minorBidi"/>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3Carattere">
    <w:name w:val="Titolo 3 Carattere"/>
    <w:basedOn w:val="Carpredefinitoparagrafo"/>
    <w:link w:val="Titolo3"/>
    <w:uiPriority w:val="9"/>
    <w:semiHidden/>
    <w:rsid w:val="005B1FA5"/>
    <w:rPr>
      <w:rFonts w:asciiTheme="majorHAnsi" w:eastAsiaTheme="majorEastAsia" w:hAnsiTheme="majorHAnsi" w:cstheme="majorBidi"/>
      <w:color w:val="243F60" w:themeColor="accent1" w:themeShade="7F"/>
      <w:sz w:val="24"/>
      <w:szCs w:val="24"/>
      <w:lang w:eastAsia="it-IT"/>
    </w:rPr>
  </w:style>
  <w:style w:type="character" w:customStyle="1" w:styleId="Menzionenonrisolta3">
    <w:name w:val="Menzione non risolta3"/>
    <w:basedOn w:val="Carpredefinitoparagrafo"/>
    <w:uiPriority w:val="99"/>
    <w:semiHidden/>
    <w:unhideWhenUsed/>
    <w:rsid w:val="00F857D8"/>
    <w:rPr>
      <w:color w:val="605E5C"/>
      <w:shd w:val="clear" w:color="auto" w:fill="E1DFDD"/>
    </w:rPr>
  </w:style>
  <w:style w:type="table" w:styleId="Grigliatabellachiara">
    <w:name w:val="Grid Table Light"/>
    <w:basedOn w:val="Tabellanormale"/>
    <w:uiPriority w:val="40"/>
    <w:rsid w:val="00171434"/>
    <w:rPr>
      <w:rFonts w:asciiTheme="minorHAnsi" w:eastAsiaTheme="minorHAnsi" w:hAnsiTheme="minorHAnsi" w:cstheme="minorBidi"/>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46015">
      <w:bodyDiv w:val="1"/>
      <w:marLeft w:val="0"/>
      <w:marRight w:val="0"/>
      <w:marTop w:val="0"/>
      <w:marBottom w:val="0"/>
      <w:divBdr>
        <w:top w:val="none" w:sz="0" w:space="0" w:color="auto"/>
        <w:left w:val="none" w:sz="0" w:space="0" w:color="auto"/>
        <w:bottom w:val="none" w:sz="0" w:space="0" w:color="auto"/>
        <w:right w:val="none" w:sz="0" w:space="0" w:color="auto"/>
      </w:divBdr>
    </w:div>
    <w:div w:id="305935987">
      <w:bodyDiv w:val="1"/>
      <w:marLeft w:val="0"/>
      <w:marRight w:val="0"/>
      <w:marTop w:val="0"/>
      <w:marBottom w:val="0"/>
      <w:divBdr>
        <w:top w:val="none" w:sz="0" w:space="0" w:color="auto"/>
        <w:left w:val="none" w:sz="0" w:space="0" w:color="auto"/>
        <w:bottom w:val="none" w:sz="0" w:space="0" w:color="auto"/>
        <w:right w:val="none" w:sz="0" w:space="0" w:color="auto"/>
      </w:divBdr>
    </w:div>
    <w:div w:id="310791600">
      <w:bodyDiv w:val="1"/>
      <w:marLeft w:val="0"/>
      <w:marRight w:val="0"/>
      <w:marTop w:val="0"/>
      <w:marBottom w:val="0"/>
      <w:divBdr>
        <w:top w:val="none" w:sz="0" w:space="0" w:color="auto"/>
        <w:left w:val="none" w:sz="0" w:space="0" w:color="auto"/>
        <w:bottom w:val="none" w:sz="0" w:space="0" w:color="auto"/>
        <w:right w:val="none" w:sz="0" w:space="0" w:color="auto"/>
      </w:divBdr>
      <w:divsChild>
        <w:div w:id="1273853400">
          <w:marLeft w:val="0"/>
          <w:marRight w:val="0"/>
          <w:marTop w:val="34"/>
          <w:marBottom w:val="34"/>
          <w:divBdr>
            <w:top w:val="none" w:sz="0" w:space="0" w:color="auto"/>
            <w:left w:val="none" w:sz="0" w:space="0" w:color="auto"/>
            <w:bottom w:val="none" w:sz="0" w:space="0" w:color="auto"/>
            <w:right w:val="none" w:sz="0" w:space="0" w:color="auto"/>
          </w:divBdr>
        </w:div>
      </w:divsChild>
    </w:div>
    <w:div w:id="340746468">
      <w:bodyDiv w:val="1"/>
      <w:marLeft w:val="0"/>
      <w:marRight w:val="0"/>
      <w:marTop w:val="0"/>
      <w:marBottom w:val="0"/>
      <w:divBdr>
        <w:top w:val="none" w:sz="0" w:space="0" w:color="auto"/>
        <w:left w:val="none" w:sz="0" w:space="0" w:color="auto"/>
        <w:bottom w:val="none" w:sz="0" w:space="0" w:color="auto"/>
        <w:right w:val="none" w:sz="0" w:space="0" w:color="auto"/>
      </w:divBdr>
      <w:divsChild>
        <w:div w:id="1513491174">
          <w:marLeft w:val="0"/>
          <w:marRight w:val="0"/>
          <w:marTop w:val="0"/>
          <w:marBottom w:val="0"/>
          <w:divBdr>
            <w:top w:val="none" w:sz="0" w:space="0" w:color="auto"/>
            <w:left w:val="none" w:sz="0" w:space="0" w:color="auto"/>
            <w:bottom w:val="none" w:sz="0" w:space="0" w:color="auto"/>
            <w:right w:val="none" w:sz="0" w:space="0" w:color="auto"/>
          </w:divBdr>
          <w:divsChild>
            <w:div w:id="1412194286">
              <w:marLeft w:val="0"/>
              <w:marRight w:val="0"/>
              <w:marTop w:val="0"/>
              <w:marBottom w:val="0"/>
              <w:divBdr>
                <w:top w:val="none" w:sz="0" w:space="0" w:color="auto"/>
                <w:left w:val="none" w:sz="0" w:space="0" w:color="auto"/>
                <w:bottom w:val="none" w:sz="0" w:space="0" w:color="auto"/>
                <w:right w:val="none" w:sz="0" w:space="0" w:color="auto"/>
              </w:divBdr>
              <w:divsChild>
                <w:div w:id="17489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78199">
      <w:bodyDiv w:val="1"/>
      <w:marLeft w:val="0"/>
      <w:marRight w:val="0"/>
      <w:marTop w:val="0"/>
      <w:marBottom w:val="0"/>
      <w:divBdr>
        <w:top w:val="none" w:sz="0" w:space="0" w:color="auto"/>
        <w:left w:val="none" w:sz="0" w:space="0" w:color="auto"/>
        <w:bottom w:val="none" w:sz="0" w:space="0" w:color="auto"/>
        <w:right w:val="none" w:sz="0" w:space="0" w:color="auto"/>
      </w:divBdr>
    </w:div>
    <w:div w:id="392435070">
      <w:bodyDiv w:val="1"/>
      <w:marLeft w:val="0"/>
      <w:marRight w:val="0"/>
      <w:marTop w:val="0"/>
      <w:marBottom w:val="0"/>
      <w:divBdr>
        <w:top w:val="none" w:sz="0" w:space="0" w:color="auto"/>
        <w:left w:val="none" w:sz="0" w:space="0" w:color="auto"/>
        <w:bottom w:val="none" w:sz="0" w:space="0" w:color="auto"/>
        <w:right w:val="none" w:sz="0" w:space="0" w:color="auto"/>
      </w:divBdr>
    </w:div>
    <w:div w:id="459494207">
      <w:bodyDiv w:val="1"/>
      <w:marLeft w:val="0"/>
      <w:marRight w:val="0"/>
      <w:marTop w:val="0"/>
      <w:marBottom w:val="0"/>
      <w:divBdr>
        <w:top w:val="none" w:sz="0" w:space="0" w:color="auto"/>
        <w:left w:val="none" w:sz="0" w:space="0" w:color="auto"/>
        <w:bottom w:val="none" w:sz="0" w:space="0" w:color="auto"/>
        <w:right w:val="none" w:sz="0" w:space="0" w:color="auto"/>
      </w:divBdr>
    </w:div>
    <w:div w:id="482895209">
      <w:bodyDiv w:val="1"/>
      <w:marLeft w:val="0"/>
      <w:marRight w:val="0"/>
      <w:marTop w:val="0"/>
      <w:marBottom w:val="0"/>
      <w:divBdr>
        <w:top w:val="none" w:sz="0" w:space="0" w:color="auto"/>
        <w:left w:val="none" w:sz="0" w:space="0" w:color="auto"/>
        <w:bottom w:val="none" w:sz="0" w:space="0" w:color="auto"/>
        <w:right w:val="none" w:sz="0" w:space="0" w:color="auto"/>
      </w:divBdr>
    </w:div>
    <w:div w:id="568930438">
      <w:bodyDiv w:val="1"/>
      <w:marLeft w:val="0"/>
      <w:marRight w:val="0"/>
      <w:marTop w:val="0"/>
      <w:marBottom w:val="0"/>
      <w:divBdr>
        <w:top w:val="none" w:sz="0" w:space="0" w:color="auto"/>
        <w:left w:val="none" w:sz="0" w:space="0" w:color="auto"/>
        <w:bottom w:val="none" w:sz="0" w:space="0" w:color="auto"/>
        <w:right w:val="none" w:sz="0" w:space="0" w:color="auto"/>
      </w:divBdr>
    </w:div>
    <w:div w:id="603079234">
      <w:bodyDiv w:val="1"/>
      <w:marLeft w:val="0"/>
      <w:marRight w:val="0"/>
      <w:marTop w:val="0"/>
      <w:marBottom w:val="0"/>
      <w:divBdr>
        <w:top w:val="none" w:sz="0" w:space="0" w:color="auto"/>
        <w:left w:val="none" w:sz="0" w:space="0" w:color="auto"/>
        <w:bottom w:val="none" w:sz="0" w:space="0" w:color="auto"/>
        <w:right w:val="none" w:sz="0" w:space="0" w:color="auto"/>
      </w:divBdr>
    </w:div>
    <w:div w:id="611745705">
      <w:bodyDiv w:val="1"/>
      <w:marLeft w:val="0"/>
      <w:marRight w:val="0"/>
      <w:marTop w:val="0"/>
      <w:marBottom w:val="0"/>
      <w:divBdr>
        <w:top w:val="none" w:sz="0" w:space="0" w:color="auto"/>
        <w:left w:val="none" w:sz="0" w:space="0" w:color="auto"/>
        <w:bottom w:val="none" w:sz="0" w:space="0" w:color="auto"/>
        <w:right w:val="none" w:sz="0" w:space="0" w:color="auto"/>
      </w:divBdr>
    </w:div>
    <w:div w:id="614219968">
      <w:bodyDiv w:val="1"/>
      <w:marLeft w:val="0"/>
      <w:marRight w:val="0"/>
      <w:marTop w:val="0"/>
      <w:marBottom w:val="0"/>
      <w:divBdr>
        <w:top w:val="none" w:sz="0" w:space="0" w:color="auto"/>
        <w:left w:val="none" w:sz="0" w:space="0" w:color="auto"/>
        <w:bottom w:val="none" w:sz="0" w:space="0" w:color="auto"/>
        <w:right w:val="none" w:sz="0" w:space="0" w:color="auto"/>
      </w:divBdr>
    </w:div>
    <w:div w:id="637490196">
      <w:bodyDiv w:val="1"/>
      <w:marLeft w:val="0"/>
      <w:marRight w:val="0"/>
      <w:marTop w:val="0"/>
      <w:marBottom w:val="0"/>
      <w:divBdr>
        <w:top w:val="none" w:sz="0" w:space="0" w:color="auto"/>
        <w:left w:val="none" w:sz="0" w:space="0" w:color="auto"/>
        <w:bottom w:val="none" w:sz="0" w:space="0" w:color="auto"/>
        <w:right w:val="none" w:sz="0" w:space="0" w:color="auto"/>
      </w:divBdr>
    </w:div>
    <w:div w:id="707413543">
      <w:bodyDiv w:val="1"/>
      <w:marLeft w:val="0"/>
      <w:marRight w:val="0"/>
      <w:marTop w:val="0"/>
      <w:marBottom w:val="0"/>
      <w:divBdr>
        <w:top w:val="none" w:sz="0" w:space="0" w:color="auto"/>
        <w:left w:val="none" w:sz="0" w:space="0" w:color="auto"/>
        <w:bottom w:val="none" w:sz="0" w:space="0" w:color="auto"/>
        <w:right w:val="none" w:sz="0" w:space="0" w:color="auto"/>
      </w:divBdr>
    </w:div>
    <w:div w:id="757478333">
      <w:bodyDiv w:val="1"/>
      <w:marLeft w:val="0"/>
      <w:marRight w:val="0"/>
      <w:marTop w:val="0"/>
      <w:marBottom w:val="0"/>
      <w:divBdr>
        <w:top w:val="none" w:sz="0" w:space="0" w:color="auto"/>
        <w:left w:val="none" w:sz="0" w:space="0" w:color="auto"/>
        <w:bottom w:val="none" w:sz="0" w:space="0" w:color="auto"/>
        <w:right w:val="none" w:sz="0" w:space="0" w:color="auto"/>
      </w:divBdr>
    </w:div>
    <w:div w:id="768814223">
      <w:bodyDiv w:val="1"/>
      <w:marLeft w:val="0"/>
      <w:marRight w:val="0"/>
      <w:marTop w:val="0"/>
      <w:marBottom w:val="0"/>
      <w:divBdr>
        <w:top w:val="none" w:sz="0" w:space="0" w:color="auto"/>
        <w:left w:val="none" w:sz="0" w:space="0" w:color="auto"/>
        <w:bottom w:val="none" w:sz="0" w:space="0" w:color="auto"/>
        <w:right w:val="none" w:sz="0" w:space="0" w:color="auto"/>
      </w:divBdr>
    </w:div>
    <w:div w:id="800925467">
      <w:bodyDiv w:val="1"/>
      <w:marLeft w:val="0"/>
      <w:marRight w:val="0"/>
      <w:marTop w:val="0"/>
      <w:marBottom w:val="0"/>
      <w:divBdr>
        <w:top w:val="none" w:sz="0" w:space="0" w:color="auto"/>
        <w:left w:val="none" w:sz="0" w:space="0" w:color="auto"/>
        <w:bottom w:val="none" w:sz="0" w:space="0" w:color="auto"/>
        <w:right w:val="none" w:sz="0" w:space="0" w:color="auto"/>
      </w:divBdr>
    </w:div>
    <w:div w:id="810102827">
      <w:bodyDiv w:val="1"/>
      <w:marLeft w:val="0"/>
      <w:marRight w:val="0"/>
      <w:marTop w:val="0"/>
      <w:marBottom w:val="0"/>
      <w:divBdr>
        <w:top w:val="none" w:sz="0" w:space="0" w:color="auto"/>
        <w:left w:val="none" w:sz="0" w:space="0" w:color="auto"/>
        <w:bottom w:val="none" w:sz="0" w:space="0" w:color="auto"/>
        <w:right w:val="none" w:sz="0" w:space="0" w:color="auto"/>
      </w:divBdr>
    </w:div>
    <w:div w:id="849025727">
      <w:bodyDiv w:val="1"/>
      <w:marLeft w:val="0"/>
      <w:marRight w:val="0"/>
      <w:marTop w:val="0"/>
      <w:marBottom w:val="0"/>
      <w:divBdr>
        <w:top w:val="none" w:sz="0" w:space="0" w:color="auto"/>
        <w:left w:val="none" w:sz="0" w:space="0" w:color="auto"/>
        <w:bottom w:val="none" w:sz="0" w:space="0" w:color="auto"/>
        <w:right w:val="none" w:sz="0" w:space="0" w:color="auto"/>
      </w:divBdr>
    </w:div>
    <w:div w:id="874656630">
      <w:bodyDiv w:val="1"/>
      <w:marLeft w:val="0"/>
      <w:marRight w:val="0"/>
      <w:marTop w:val="0"/>
      <w:marBottom w:val="0"/>
      <w:divBdr>
        <w:top w:val="none" w:sz="0" w:space="0" w:color="auto"/>
        <w:left w:val="none" w:sz="0" w:space="0" w:color="auto"/>
        <w:bottom w:val="none" w:sz="0" w:space="0" w:color="auto"/>
        <w:right w:val="none" w:sz="0" w:space="0" w:color="auto"/>
      </w:divBdr>
    </w:div>
    <w:div w:id="896284311">
      <w:bodyDiv w:val="1"/>
      <w:marLeft w:val="0"/>
      <w:marRight w:val="0"/>
      <w:marTop w:val="0"/>
      <w:marBottom w:val="0"/>
      <w:divBdr>
        <w:top w:val="none" w:sz="0" w:space="0" w:color="auto"/>
        <w:left w:val="none" w:sz="0" w:space="0" w:color="auto"/>
        <w:bottom w:val="none" w:sz="0" w:space="0" w:color="auto"/>
        <w:right w:val="none" w:sz="0" w:space="0" w:color="auto"/>
      </w:divBdr>
    </w:div>
    <w:div w:id="903756462">
      <w:bodyDiv w:val="1"/>
      <w:marLeft w:val="0"/>
      <w:marRight w:val="0"/>
      <w:marTop w:val="0"/>
      <w:marBottom w:val="0"/>
      <w:divBdr>
        <w:top w:val="none" w:sz="0" w:space="0" w:color="auto"/>
        <w:left w:val="none" w:sz="0" w:space="0" w:color="auto"/>
        <w:bottom w:val="none" w:sz="0" w:space="0" w:color="auto"/>
        <w:right w:val="none" w:sz="0" w:space="0" w:color="auto"/>
      </w:divBdr>
    </w:div>
    <w:div w:id="915358404">
      <w:bodyDiv w:val="1"/>
      <w:marLeft w:val="0"/>
      <w:marRight w:val="0"/>
      <w:marTop w:val="0"/>
      <w:marBottom w:val="0"/>
      <w:divBdr>
        <w:top w:val="none" w:sz="0" w:space="0" w:color="auto"/>
        <w:left w:val="none" w:sz="0" w:space="0" w:color="auto"/>
        <w:bottom w:val="none" w:sz="0" w:space="0" w:color="auto"/>
        <w:right w:val="none" w:sz="0" w:space="0" w:color="auto"/>
      </w:divBdr>
    </w:div>
    <w:div w:id="949122858">
      <w:bodyDiv w:val="1"/>
      <w:marLeft w:val="0"/>
      <w:marRight w:val="0"/>
      <w:marTop w:val="0"/>
      <w:marBottom w:val="0"/>
      <w:divBdr>
        <w:top w:val="none" w:sz="0" w:space="0" w:color="auto"/>
        <w:left w:val="none" w:sz="0" w:space="0" w:color="auto"/>
        <w:bottom w:val="none" w:sz="0" w:space="0" w:color="auto"/>
        <w:right w:val="none" w:sz="0" w:space="0" w:color="auto"/>
      </w:divBdr>
    </w:div>
    <w:div w:id="1016077196">
      <w:bodyDiv w:val="1"/>
      <w:marLeft w:val="0"/>
      <w:marRight w:val="0"/>
      <w:marTop w:val="0"/>
      <w:marBottom w:val="0"/>
      <w:divBdr>
        <w:top w:val="none" w:sz="0" w:space="0" w:color="auto"/>
        <w:left w:val="none" w:sz="0" w:space="0" w:color="auto"/>
        <w:bottom w:val="none" w:sz="0" w:space="0" w:color="auto"/>
        <w:right w:val="none" w:sz="0" w:space="0" w:color="auto"/>
      </w:divBdr>
    </w:div>
    <w:div w:id="1020744989">
      <w:bodyDiv w:val="1"/>
      <w:marLeft w:val="0"/>
      <w:marRight w:val="0"/>
      <w:marTop w:val="0"/>
      <w:marBottom w:val="0"/>
      <w:divBdr>
        <w:top w:val="none" w:sz="0" w:space="0" w:color="auto"/>
        <w:left w:val="none" w:sz="0" w:space="0" w:color="auto"/>
        <w:bottom w:val="none" w:sz="0" w:space="0" w:color="auto"/>
        <w:right w:val="none" w:sz="0" w:space="0" w:color="auto"/>
      </w:divBdr>
    </w:div>
    <w:div w:id="1041054296">
      <w:bodyDiv w:val="1"/>
      <w:marLeft w:val="0"/>
      <w:marRight w:val="0"/>
      <w:marTop w:val="0"/>
      <w:marBottom w:val="0"/>
      <w:divBdr>
        <w:top w:val="none" w:sz="0" w:space="0" w:color="auto"/>
        <w:left w:val="none" w:sz="0" w:space="0" w:color="auto"/>
        <w:bottom w:val="none" w:sz="0" w:space="0" w:color="auto"/>
        <w:right w:val="none" w:sz="0" w:space="0" w:color="auto"/>
      </w:divBdr>
    </w:div>
    <w:div w:id="1057895646">
      <w:bodyDiv w:val="1"/>
      <w:marLeft w:val="0"/>
      <w:marRight w:val="0"/>
      <w:marTop w:val="0"/>
      <w:marBottom w:val="0"/>
      <w:divBdr>
        <w:top w:val="none" w:sz="0" w:space="0" w:color="auto"/>
        <w:left w:val="none" w:sz="0" w:space="0" w:color="auto"/>
        <w:bottom w:val="none" w:sz="0" w:space="0" w:color="auto"/>
        <w:right w:val="none" w:sz="0" w:space="0" w:color="auto"/>
      </w:divBdr>
    </w:div>
    <w:div w:id="1107582306">
      <w:bodyDiv w:val="1"/>
      <w:marLeft w:val="0"/>
      <w:marRight w:val="0"/>
      <w:marTop w:val="0"/>
      <w:marBottom w:val="0"/>
      <w:divBdr>
        <w:top w:val="none" w:sz="0" w:space="0" w:color="auto"/>
        <w:left w:val="none" w:sz="0" w:space="0" w:color="auto"/>
        <w:bottom w:val="none" w:sz="0" w:space="0" w:color="auto"/>
        <w:right w:val="none" w:sz="0" w:space="0" w:color="auto"/>
      </w:divBdr>
      <w:divsChild>
        <w:div w:id="2061440043">
          <w:marLeft w:val="0"/>
          <w:marRight w:val="0"/>
          <w:marTop w:val="0"/>
          <w:marBottom w:val="0"/>
          <w:divBdr>
            <w:top w:val="none" w:sz="0" w:space="0" w:color="auto"/>
            <w:left w:val="none" w:sz="0" w:space="0" w:color="auto"/>
            <w:bottom w:val="none" w:sz="0" w:space="0" w:color="auto"/>
            <w:right w:val="none" w:sz="0" w:space="0" w:color="auto"/>
          </w:divBdr>
          <w:divsChild>
            <w:div w:id="1632829960">
              <w:marLeft w:val="0"/>
              <w:marRight w:val="0"/>
              <w:marTop w:val="0"/>
              <w:marBottom w:val="0"/>
              <w:divBdr>
                <w:top w:val="none" w:sz="0" w:space="0" w:color="auto"/>
                <w:left w:val="none" w:sz="0" w:space="0" w:color="auto"/>
                <w:bottom w:val="none" w:sz="0" w:space="0" w:color="auto"/>
                <w:right w:val="none" w:sz="0" w:space="0" w:color="auto"/>
              </w:divBdr>
              <w:divsChild>
                <w:div w:id="10818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7334">
      <w:bodyDiv w:val="1"/>
      <w:marLeft w:val="0"/>
      <w:marRight w:val="0"/>
      <w:marTop w:val="0"/>
      <w:marBottom w:val="0"/>
      <w:divBdr>
        <w:top w:val="none" w:sz="0" w:space="0" w:color="auto"/>
        <w:left w:val="none" w:sz="0" w:space="0" w:color="auto"/>
        <w:bottom w:val="none" w:sz="0" w:space="0" w:color="auto"/>
        <w:right w:val="none" w:sz="0" w:space="0" w:color="auto"/>
      </w:divBdr>
      <w:divsChild>
        <w:div w:id="1042289240">
          <w:marLeft w:val="0"/>
          <w:marRight w:val="0"/>
          <w:marTop w:val="0"/>
          <w:marBottom w:val="0"/>
          <w:divBdr>
            <w:top w:val="none" w:sz="0" w:space="0" w:color="auto"/>
            <w:left w:val="none" w:sz="0" w:space="0" w:color="auto"/>
            <w:bottom w:val="none" w:sz="0" w:space="0" w:color="auto"/>
            <w:right w:val="none" w:sz="0" w:space="0" w:color="auto"/>
          </w:divBdr>
          <w:divsChild>
            <w:div w:id="1568177613">
              <w:marLeft w:val="0"/>
              <w:marRight w:val="0"/>
              <w:marTop w:val="0"/>
              <w:marBottom w:val="0"/>
              <w:divBdr>
                <w:top w:val="none" w:sz="0" w:space="0" w:color="auto"/>
                <w:left w:val="none" w:sz="0" w:space="0" w:color="auto"/>
                <w:bottom w:val="none" w:sz="0" w:space="0" w:color="auto"/>
                <w:right w:val="none" w:sz="0" w:space="0" w:color="auto"/>
              </w:divBdr>
              <w:divsChild>
                <w:div w:id="84695128">
                  <w:marLeft w:val="0"/>
                  <w:marRight w:val="0"/>
                  <w:marTop w:val="0"/>
                  <w:marBottom w:val="0"/>
                  <w:divBdr>
                    <w:top w:val="none" w:sz="0" w:space="0" w:color="auto"/>
                    <w:left w:val="none" w:sz="0" w:space="0" w:color="auto"/>
                    <w:bottom w:val="none" w:sz="0" w:space="0" w:color="auto"/>
                    <w:right w:val="none" w:sz="0" w:space="0" w:color="auto"/>
                  </w:divBdr>
                  <w:divsChild>
                    <w:div w:id="1223712771">
                      <w:marLeft w:val="0"/>
                      <w:marRight w:val="0"/>
                      <w:marTop w:val="0"/>
                      <w:marBottom w:val="0"/>
                      <w:divBdr>
                        <w:top w:val="none" w:sz="0" w:space="0" w:color="auto"/>
                        <w:left w:val="none" w:sz="0" w:space="0" w:color="auto"/>
                        <w:bottom w:val="none" w:sz="0" w:space="0" w:color="auto"/>
                        <w:right w:val="none" w:sz="0" w:space="0" w:color="auto"/>
                      </w:divBdr>
                      <w:divsChild>
                        <w:div w:id="1866014354">
                          <w:marLeft w:val="0"/>
                          <w:marRight w:val="0"/>
                          <w:marTop w:val="0"/>
                          <w:marBottom w:val="0"/>
                          <w:divBdr>
                            <w:top w:val="none" w:sz="0" w:space="0" w:color="auto"/>
                            <w:left w:val="none" w:sz="0" w:space="0" w:color="auto"/>
                            <w:bottom w:val="none" w:sz="0" w:space="0" w:color="auto"/>
                            <w:right w:val="none" w:sz="0" w:space="0" w:color="auto"/>
                          </w:divBdr>
                          <w:divsChild>
                            <w:div w:id="163013051">
                              <w:marLeft w:val="0"/>
                              <w:marRight w:val="0"/>
                              <w:marTop w:val="0"/>
                              <w:marBottom w:val="0"/>
                              <w:divBdr>
                                <w:top w:val="none" w:sz="0" w:space="0" w:color="auto"/>
                                <w:left w:val="none" w:sz="0" w:space="0" w:color="auto"/>
                                <w:bottom w:val="none" w:sz="0" w:space="0" w:color="auto"/>
                                <w:right w:val="none" w:sz="0" w:space="0" w:color="auto"/>
                              </w:divBdr>
                              <w:divsChild>
                                <w:div w:id="1920748499">
                                  <w:marLeft w:val="0"/>
                                  <w:marRight w:val="0"/>
                                  <w:marTop w:val="0"/>
                                  <w:marBottom w:val="0"/>
                                  <w:divBdr>
                                    <w:top w:val="none" w:sz="0" w:space="0" w:color="auto"/>
                                    <w:left w:val="none" w:sz="0" w:space="0" w:color="auto"/>
                                    <w:bottom w:val="none" w:sz="0" w:space="0" w:color="auto"/>
                                    <w:right w:val="none" w:sz="0" w:space="0" w:color="auto"/>
                                  </w:divBdr>
                                </w:div>
                              </w:divsChild>
                            </w:div>
                            <w:div w:id="536116898">
                              <w:marLeft w:val="0"/>
                              <w:marRight w:val="0"/>
                              <w:marTop w:val="0"/>
                              <w:marBottom w:val="0"/>
                              <w:divBdr>
                                <w:top w:val="none" w:sz="0" w:space="0" w:color="auto"/>
                                <w:left w:val="none" w:sz="0" w:space="0" w:color="auto"/>
                                <w:bottom w:val="none" w:sz="0" w:space="0" w:color="auto"/>
                                <w:right w:val="none" w:sz="0" w:space="0" w:color="auto"/>
                              </w:divBdr>
                            </w:div>
                            <w:div w:id="1059093201">
                              <w:marLeft w:val="0"/>
                              <w:marRight w:val="0"/>
                              <w:marTop w:val="0"/>
                              <w:marBottom w:val="0"/>
                              <w:divBdr>
                                <w:top w:val="none" w:sz="0" w:space="0" w:color="auto"/>
                                <w:left w:val="none" w:sz="0" w:space="0" w:color="auto"/>
                                <w:bottom w:val="none" w:sz="0" w:space="0" w:color="auto"/>
                                <w:right w:val="none" w:sz="0" w:space="0" w:color="auto"/>
                              </w:divBdr>
                            </w:div>
                            <w:div w:id="13689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043385">
      <w:bodyDiv w:val="1"/>
      <w:marLeft w:val="0"/>
      <w:marRight w:val="0"/>
      <w:marTop w:val="0"/>
      <w:marBottom w:val="0"/>
      <w:divBdr>
        <w:top w:val="none" w:sz="0" w:space="0" w:color="auto"/>
        <w:left w:val="none" w:sz="0" w:space="0" w:color="auto"/>
        <w:bottom w:val="none" w:sz="0" w:space="0" w:color="auto"/>
        <w:right w:val="none" w:sz="0" w:space="0" w:color="auto"/>
      </w:divBdr>
    </w:div>
    <w:div w:id="1170633181">
      <w:bodyDiv w:val="1"/>
      <w:marLeft w:val="0"/>
      <w:marRight w:val="0"/>
      <w:marTop w:val="0"/>
      <w:marBottom w:val="0"/>
      <w:divBdr>
        <w:top w:val="none" w:sz="0" w:space="0" w:color="auto"/>
        <w:left w:val="none" w:sz="0" w:space="0" w:color="auto"/>
        <w:bottom w:val="none" w:sz="0" w:space="0" w:color="auto"/>
        <w:right w:val="none" w:sz="0" w:space="0" w:color="auto"/>
      </w:divBdr>
    </w:div>
    <w:div w:id="1181814880">
      <w:bodyDiv w:val="1"/>
      <w:marLeft w:val="0"/>
      <w:marRight w:val="0"/>
      <w:marTop w:val="0"/>
      <w:marBottom w:val="0"/>
      <w:divBdr>
        <w:top w:val="none" w:sz="0" w:space="0" w:color="auto"/>
        <w:left w:val="none" w:sz="0" w:space="0" w:color="auto"/>
        <w:bottom w:val="none" w:sz="0" w:space="0" w:color="auto"/>
        <w:right w:val="none" w:sz="0" w:space="0" w:color="auto"/>
      </w:divBdr>
    </w:div>
    <w:div w:id="1182208509">
      <w:bodyDiv w:val="1"/>
      <w:marLeft w:val="0"/>
      <w:marRight w:val="0"/>
      <w:marTop w:val="0"/>
      <w:marBottom w:val="0"/>
      <w:divBdr>
        <w:top w:val="none" w:sz="0" w:space="0" w:color="auto"/>
        <w:left w:val="none" w:sz="0" w:space="0" w:color="auto"/>
        <w:bottom w:val="none" w:sz="0" w:space="0" w:color="auto"/>
        <w:right w:val="none" w:sz="0" w:space="0" w:color="auto"/>
      </w:divBdr>
    </w:div>
    <w:div w:id="1196650447">
      <w:bodyDiv w:val="1"/>
      <w:marLeft w:val="0"/>
      <w:marRight w:val="0"/>
      <w:marTop w:val="0"/>
      <w:marBottom w:val="0"/>
      <w:divBdr>
        <w:top w:val="none" w:sz="0" w:space="0" w:color="auto"/>
        <w:left w:val="none" w:sz="0" w:space="0" w:color="auto"/>
        <w:bottom w:val="none" w:sz="0" w:space="0" w:color="auto"/>
        <w:right w:val="none" w:sz="0" w:space="0" w:color="auto"/>
      </w:divBdr>
      <w:divsChild>
        <w:div w:id="868836968">
          <w:marLeft w:val="0"/>
          <w:marRight w:val="0"/>
          <w:marTop w:val="0"/>
          <w:marBottom w:val="0"/>
          <w:divBdr>
            <w:top w:val="none" w:sz="0" w:space="0" w:color="auto"/>
            <w:left w:val="none" w:sz="0" w:space="0" w:color="auto"/>
            <w:bottom w:val="none" w:sz="0" w:space="0" w:color="auto"/>
            <w:right w:val="none" w:sz="0" w:space="0" w:color="auto"/>
          </w:divBdr>
        </w:div>
      </w:divsChild>
    </w:div>
    <w:div w:id="1317491297">
      <w:bodyDiv w:val="1"/>
      <w:marLeft w:val="0"/>
      <w:marRight w:val="0"/>
      <w:marTop w:val="0"/>
      <w:marBottom w:val="0"/>
      <w:divBdr>
        <w:top w:val="none" w:sz="0" w:space="0" w:color="auto"/>
        <w:left w:val="none" w:sz="0" w:space="0" w:color="auto"/>
        <w:bottom w:val="none" w:sz="0" w:space="0" w:color="auto"/>
        <w:right w:val="none" w:sz="0" w:space="0" w:color="auto"/>
      </w:divBdr>
    </w:div>
    <w:div w:id="1391537474">
      <w:bodyDiv w:val="1"/>
      <w:marLeft w:val="0"/>
      <w:marRight w:val="0"/>
      <w:marTop w:val="0"/>
      <w:marBottom w:val="0"/>
      <w:divBdr>
        <w:top w:val="none" w:sz="0" w:space="0" w:color="auto"/>
        <w:left w:val="none" w:sz="0" w:space="0" w:color="auto"/>
        <w:bottom w:val="none" w:sz="0" w:space="0" w:color="auto"/>
        <w:right w:val="none" w:sz="0" w:space="0" w:color="auto"/>
      </w:divBdr>
    </w:div>
    <w:div w:id="1413892875">
      <w:bodyDiv w:val="1"/>
      <w:marLeft w:val="0"/>
      <w:marRight w:val="0"/>
      <w:marTop w:val="0"/>
      <w:marBottom w:val="0"/>
      <w:divBdr>
        <w:top w:val="none" w:sz="0" w:space="0" w:color="auto"/>
        <w:left w:val="none" w:sz="0" w:space="0" w:color="auto"/>
        <w:bottom w:val="none" w:sz="0" w:space="0" w:color="auto"/>
        <w:right w:val="none" w:sz="0" w:space="0" w:color="auto"/>
      </w:divBdr>
    </w:div>
    <w:div w:id="1439449133">
      <w:bodyDiv w:val="1"/>
      <w:marLeft w:val="0"/>
      <w:marRight w:val="0"/>
      <w:marTop w:val="0"/>
      <w:marBottom w:val="0"/>
      <w:divBdr>
        <w:top w:val="none" w:sz="0" w:space="0" w:color="auto"/>
        <w:left w:val="none" w:sz="0" w:space="0" w:color="auto"/>
        <w:bottom w:val="none" w:sz="0" w:space="0" w:color="auto"/>
        <w:right w:val="none" w:sz="0" w:space="0" w:color="auto"/>
      </w:divBdr>
    </w:div>
    <w:div w:id="1484392266">
      <w:bodyDiv w:val="1"/>
      <w:marLeft w:val="0"/>
      <w:marRight w:val="0"/>
      <w:marTop w:val="0"/>
      <w:marBottom w:val="0"/>
      <w:divBdr>
        <w:top w:val="none" w:sz="0" w:space="0" w:color="auto"/>
        <w:left w:val="none" w:sz="0" w:space="0" w:color="auto"/>
        <w:bottom w:val="none" w:sz="0" w:space="0" w:color="auto"/>
        <w:right w:val="none" w:sz="0" w:space="0" w:color="auto"/>
      </w:divBdr>
    </w:div>
    <w:div w:id="1602646255">
      <w:bodyDiv w:val="1"/>
      <w:marLeft w:val="0"/>
      <w:marRight w:val="0"/>
      <w:marTop w:val="0"/>
      <w:marBottom w:val="0"/>
      <w:divBdr>
        <w:top w:val="none" w:sz="0" w:space="0" w:color="auto"/>
        <w:left w:val="none" w:sz="0" w:space="0" w:color="auto"/>
        <w:bottom w:val="none" w:sz="0" w:space="0" w:color="auto"/>
        <w:right w:val="none" w:sz="0" w:space="0" w:color="auto"/>
      </w:divBdr>
    </w:div>
    <w:div w:id="1611088681">
      <w:bodyDiv w:val="1"/>
      <w:marLeft w:val="0"/>
      <w:marRight w:val="0"/>
      <w:marTop w:val="0"/>
      <w:marBottom w:val="0"/>
      <w:divBdr>
        <w:top w:val="none" w:sz="0" w:space="0" w:color="auto"/>
        <w:left w:val="none" w:sz="0" w:space="0" w:color="auto"/>
        <w:bottom w:val="none" w:sz="0" w:space="0" w:color="auto"/>
        <w:right w:val="none" w:sz="0" w:space="0" w:color="auto"/>
      </w:divBdr>
    </w:div>
    <w:div w:id="1637488799">
      <w:bodyDiv w:val="1"/>
      <w:marLeft w:val="0"/>
      <w:marRight w:val="0"/>
      <w:marTop w:val="0"/>
      <w:marBottom w:val="0"/>
      <w:divBdr>
        <w:top w:val="none" w:sz="0" w:space="0" w:color="auto"/>
        <w:left w:val="none" w:sz="0" w:space="0" w:color="auto"/>
        <w:bottom w:val="none" w:sz="0" w:space="0" w:color="auto"/>
        <w:right w:val="none" w:sz="0" w:space="0" w:color="auto"/>
      </w:divBdr>
    </w:div>
    <w:div w:id="1672248656">
      <w:bodyDiv w:val="1"/>
      <w:marLeft w:val="0"/>
      <w:marRight w:val="0"/>
      <w:marTop w:val="0"/>
      <w:marBottom w:val="0"/>
      <w:divBdr>
        <w:top w:val="none" w:sz="0" w:space="0" w:color="auto"/>
        <w:left w:val="none" w:sz="0" w:space="0" w:color="auto"/>
        <w:bottom w:val="none" w:sz="0" w:space="0" w:color="auto"/>
        <w:right w:val="none" w:sz="0" w:space="0" w:color="auto"/>
      </w:divBdr>
    </w:div>
    <w:div w:id="1698659053">
      <w:bodyDiv w:val="1"/>
      <w:marLeft w:val="0"/>
      <w:marRight w:val="0"/>
      <w:marTop w:val="0"/>
      <w:marBottom w:val="0"/>
      <w:divBdr>
        <w:top w:val="none" w:sz="0" w:space="0" w:color="auto"/>
        <w:left w:val="none" w:sz="0" w:space="0" w:color="auto"/>
        <w:bottom w:val="none" w:sz="0" w:space="0" w:color="auto"/>
        <w:right w:val="none" w:sz="0" w:space="0" w:color="auto"/>
      </w:divBdr>
      <w:divsChild>
        <w:div w:id="2018118246">
          <w:marLeft w:val="0"/>
          <w:marRight w:val="0"/>
          <w:marTop w:val="34"/>
          <w:marBottom w:val="34"/>
          <w:divBdr>
            <w:top w:val="none" w:sz="0" w:space="0" w:color="auto"/>
            <w:left w:val="none" w:sz="0" w:space="0" w:color="auto"/>
            <w:bottom w:val="none" w:sz="0" w:space="0" w:color="auto"/>
            <w:right w:val="none" w:sz="0" w:space="0" w:color="auto"/>
          </w:divBdr>
        </w:div>
      </w:divsChild>
    </w:div>
    <w:div w:id="1761828481">
      <w:bodyDiv w:val="1"/>
      <w:marLeft w:val="0"/>
      <w:marRight w:val="0"/>
      <w:marTop w:val="0"/>
      <w:marBottom w:val="0"/>
      <w:divBdr>
        <w:top w:val="none" w:sz="0" w:space="0" w:color="auto"/>
        <w:left w:val="none" w:sz="0" w:space="0" w:color="auto"/>
        <w:bottom w:val="none" w:sz="0" w:space="0" w:color="auto"/>
        <w:right w:val="none" w:sz="0" w:space="0" w:color="auto"/>
      </w:divBdr>
    </w:div>
    <w:div w:id="1777552618">
      <w:bodyDiv w:val="1"/>
      <w:marLeft w:val="0"/>
      <w:marRight w:val="0"/>
      <w:marTop w:val="0"/>
      <w:marBottom w:val="0"/>
      <w:divBdr>
        <w:top w:val="none" w:sz="0" w:space="0" w:color="auto"/>
        <w:left w:val="none" w:sz="0" w:space="0" w:color="auto"/>
        <w:bottom w:val="none" w:sz="0" w:space="0" w:color="auto"/>
        <w:right w:val="none" w:sz="0" w:space="0" w:color="auto"/>
      </w:divBdr>
    </w:div>
    <w:div w:id="1813207275">
      <w:bodyDiv w:val="1"/>
      <w:marLeft w:val="0"/>
      <w:marRight w:val="0"/>
      <w:marTop w:val="0"/>
      <w:marBottom w:val="0"/>
      <w:divBdr>
        <w:top w:val="none" w:sz="0" w:space="0" w:color="auto"/>
        <w:left w:val="none" w:sz="0" w:space="0" w:color="auto"/>
        <w:bottom w:val="none" w:sz="0" w:space="0" w:color="auto"/>
        <w:right w:val="none" w:sz="0" w:space="0" w:color="auto"/>
      </w:divBdr>
      <w:divsChild>
        <w:div w:id="1222134628">
          <w:marLeft w:val="0"/>
          <w:marRight w:val="0"/>
          <w:marTop w:val="120"/>
          <w:marBottom w:val="360"/>
          <w:divBdr>
            <w:top w:val="none" w:sz="0" w:space="0" w:color="auto"/>
            <w:left w:val="none" w:sz="0" w:space="0" w:color="auto"/>
            <w:bottom w:val="none" w:sz="0" w:space="0" w:color="auto"/>
            <w:right w:val="none" w:sz="0" w:space="0" w:color="auto"/>
          </w:divBdr>
          <w:divsChild>
            <w:div w:id="19521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2200">
      <w:bodyDiv w:val="1"/>
      <w:marLeft w:val="0"/>
      <w:marRight w:val="0"/>
      <w:marTop w:val="0"/>
      <w:marBottom w:val="0"/>
      <w:divBdr>
        <w:top w:val="none" w:sz="0" w:space="0" w:color="auto"/>
        <w:left w:val="none" w:sz="0" w:space="0" w:color="auto"/>
        <w:bottom w:val="none" w:sz="0" w:space="0" w:color="auto"/>
        <w:right w:val="none" w:sz="0" w:space="0" w:color="auto"/>
      </w:divBdr>
    </w:div>
    <w:div w:id="1867012773">
      <w:bodyDiv w:val="1"/>
      <w:marLeft w:val="0"/>
      <w:marRight w:val="0"/>
      <w:marTop w:val="0"/>
      <w:marBottom w:val="0"/>
      <w:divBdr>
        <w:top w:val="none" w:sz="0" w:space="0" w:color="auto"/>
        <w:left w:val="none" w:sz="0" w:space="0" w:color="auto"/>
        <w:bottom w:val="none" w:sz="0" w:space="0" w:color="auto"/>
        <w:right w:val="none" w:sz="0" w:space="0" w:color="auto"/>
      </w:divBdr>
    </w:div>
    <w:div w:id="1867913180">
      <w:bodyDiv w:val="1"/>
      <w:marLeft w:val="0"/>
      <w:marRight w:val="0"/>
      <w:marTop w:val="0"/>
      <w:marBottom w:val="0"/>
      <w:divBdr>
        <w:top w:val="none" w:sz="0" w:space="0" w:color="auto"/>
        <w:left w:val="none" w:sz="0" w:space="0" w:color="auto"/>
        <w:bottom w:val="none" w:sz="0" w:space="0" w:color="auto"/>
        <w:right w:val="none" w:sz="0" w:space="0" w:color="auto"/>
      </w:divBdr>
    </w:div>
    <w:div w:id="1913150696">
      <w:bodyDiv w:val="1"/>
      <w:marLeft w:val="0"/>
      <w:marRight w:val="0"/>
      <w:marTop w:val="0"/>
      <w:marBottom w:val="0"/>
      <w:divBdr>
        <w:top w:val="none" w:sz="0" w:space="0" w:color="auto"/>
        <w:left w:val="none" w:sz="0" w:space="0" w:color="auto"/>
        <w:bottom w:val="none" w:sz="0" w:space="0" w:color="auto"/>
        <w:right w:val="none" w:sz="0" w:space="0" w:color="auto"/>
      </w:divBdr>
    </w:div>
    <w:div w:id="1916671386">
      <w:bodyDiv w:val="1"/>
      <w:marLeft w:val="0"/>
      <w:marRight w:val="0"/>
      <w:marTop w:val="0"/>
      <w:marBottom w:val="0"/>
      <w:divBdr>
        <w:top w:val="none" w:sz="0" w:space="0" w:color="auto"/>
        <w:left w:val="none" w:sz="0" w:space="0" w:color="auto"/>
        <w:bottom w:val="none" w:sz="0" w:space="0" w:color="auto"/>
        <w:right w:val="none" w:sz="0" w:space="0" w:color="auto"/>
      </w:divBdr>
    </w:div>
    <w:div w:id="1954365415">
      <w:bodyDiv w:val="1"/>
      <w:marLeft w:val="0"/>
      <w:marRight w:val="0"/>
      <w:marTop w:val="0"/>
      <w:marBottom w:val="0"/>
      <w:divBdr>
        <w:top w:val="none" w:sz="0" w:space="0" w:color="auto"/>
        <w:left w:val="none" w:sz="0" w:space="0" w:color="auto"/>
        <w:bottom w:val="none" w:sz="0" w:space="0" w:color="auto"/>
        <w:right w:val="none" w:sz="0" w:space="0" w:color="auto"/>
      </w:divBdr>
    </w:div>
    <w:div w:id="2016569728">
      <w:bodyDiv w:val="1"/>
      <w:marLeft w:val="0"/>
      <w:marRight w:val="0"/>
      <w:marTop w:val="0"/>
      <w:marBottom w:val="0"/>
      <w:divBdr>
        <w:top w:val="none" w:sz="0" w:space="0" w:color="auto"/>
        <w:left w:val="none" w:sz="0" w:space="0" w:color="auto"/>
        <w:bottom w:val="none" w:sz="0" w:space="0" w:color="auto"/>
        <w:right w:val="none" w:sz="0" w:space="0" w:color="auto"/>
      </w:divBdr>
      <w:divsChild>
        <w:div w:id="1020200596">
          <w:marLeft w:val="0"/>
          <w:marRight w:val="0"/>
          <w:marTop w:val="34"/>
          <w:marBottom w:val="34"/>
          <w:divBdr>
            <w:top w:val="none" w:sz="0" w:space="0" w:color="auto"/>
            <w:left w:val="none" w:sz="0" w:space="0" w:color="auto"/>
            <w:bottom w:val="none" w:sz="0" w:space="0" w:color="auto"/>
            <w:right w:val="none" w:sz="0" w:space="0" w:color="auto"/>
          </w:divBdr>
        </w:div>
      </w:divsChild>
    </w:div>
    <w:div w:id="2103795905">
      <w:bodyDiv w:val="1"/>
      <w:marLeft w:val="0"/>
      <w:marRight w:val="0"/>
      <w:marTop w:val="0"/>
      <w:marBottom w:val="0"/>
      <w:divBdr>
        <w:top w:val="none" w:sz="0" w:space="0" w:color="auto"/>
        <w:left w:val="none" w:sz="0" w:space="0" w:color="auto"/>
        <w:bottom w:val="none" w:sz="0" w:space="0" w:color="auto"/>
        <w:right w:val="none" w:sz="0" w:space="0" w:color="auto"/>
      </w:divBdr>
    </w:div>
    <w:div w:id="2131778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83AD3-9D91-5740-BC5F-480B70B4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2735</Words>
  <Characters>15593</Characters>
  <Application>Microsoft Office Word</Application>
  <DocSecurity>0</DocSecurity>
  <Lines>129</Lines>
  <Paragraphs>36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J Urol</vt:lpstr>
      <vt:lpstr>J Urol</vt:lpstr>
    </vt:vector>
  </TitlesOfParts>
  <Company/>
  <LinksUpToDate>false</LinksUpToDate>
  <CharactersWithSpaces>18292</CharactersWithSpaces>
  <SharedDoc>false</SharedDoc>
  <HLinks>
    <vt:vector size="1068" baseType="variant">
      <vt:variant>
        <vt:i4>3080257</vt:i4>
      </vt:variant>
      <vt:variant>
        <vt:i4>531</vt:i4>
      </vt:variant>
      <vt:variant>
        <vt:i4>0</vt:i4>
      </vt:variant>
      <vt:variant>
        <vt:i4>5</vt:i4>
      </vt:variant>
      <vt:variant>
        <vt:lpwstr>mailto:fabrizio.dascenzo@gmail.com</vt:lpwstr>
      </vt:variant>
      <vt:variant>
        <vt:lpwstr/>
      </vt:variant>
      <vt:variant>
        <vt:i4>4849757</vt:i4>
      </vt:variant>
      <vt:variant>
        <vt:i4>528</vt:i4>
      </vt:variant>
      <vt:variant>
        <vt:i4>0</vt:i4>
      </vt:variant>
      <vt:variant>
        <vt:i4>5</vt:i4>
      </vt:variant>
      <vt:variant>
        <vt:lpwstr>https://www-ncbi-nlm-nih-gov.offcampus.dam.unito.it/pubmed/?term=winnick+s%2c+lucas+do%2c+hartman+al%2c+toll+d.+how+do+you+improve+compliance%3f+pediatrics+2005</vt:lpwstr>
      </vt:variant>
      <vt:variant>
        <vt:lpwstr/>
      </vt:variant>
      <vt:variant>
        <vt:i4>983117</vt:i4>
      </vt:variant>
      <vt:variant>
        <vt:i4>525</vt:i4>
      </vt:variant>
      <vt:variant>
        <vt:i4>0</vt:i4>
      </vt:variant>
      <vt:variant>
        <vt:i4>5</vt:i4>
      </vt:variant>
      <vt:variant>
        <vt:lpwstr>https://www-ncbi-nlm-nih-gov.offcampus.dam.unito.it/pubmed/?term=toll d%5bauthor%5d&amp;cauthor=true&amp;cauthor_uid=15930200</vt:lpwstr>
      </vt:variant>
      <vt:variant>
        <vt:lpwstr/>
      </vt:variant>
      <vt:variant>
        <vt:i4>5177362</vt:i4>
      </vt:variant>
      <vt:variant>
        <vt:i4>522</vt:i4>
      </vt:variant>
      <vt:variant>
        <vt:i4>0</vt:i4>
      </vt:variant>
      <vt:variant>
        <vt:i4>5</vt:i4>
      </vt:variant>
      <vt:variant>
        <vt:lpwstr>https://www-ncbi-nlm-nih-gov.offcampus.dam.unito.it/pubmed/?term=hartman al%5bauthor%5d&amp;cauthor=true&amp;cauthor_uid=15930200</vt:lpwstr>
      </vt:variant>
      <vt:variant>
        <vt:lpwstr/>
      </vt:variant>
      <vt:variant>
        <vt:i4>3080305</vt:i4>
      </vt:variant>
      <vt:variant>
        <vt:i4>519</vt:i4>
      </vt:variant>
      <vt:variant>
        <vt:i4>0</vt:i4>
      </vt:variant>
      <vt:variant>
        <vt:i4>5</vt:i4>
      </vt:variant>
      <vt:variant>
        <vt:lpwstr>https://www-ncbi-nlm-nih-gov.offcampus.dam.unito.it/pubmed/?term=lucas do%5bauthor%5d&amp;cauthor=true&amp;cauthor_uid=15930200</vt:lpwstr>
      </vt:variant>
      <vt:variant>
        <vt:lpwstr/>
      </vt:variant>
      <vt:variant>
        <vt:i4>7405632</vt:i4>
      </vt:variant>
      <vt:variant>
        <vt:i4>516</vt:i4>
      </vt:variant>
      <vt:variant>
        <vt:i4>0</vt:i4>
      </vt:variant>
      <vt:variant>
        <vt:i4>5</vt:i4>
      </vt:variant>
      <vt:variant>
        <vt:lpwstr>https://www-ncbi-nlm-nih-gov.offcampus.dam.unito.it/pubmed/?term=winnick s%5bauthor%5d&amp;cauthor=true&amp;cauthor_uid=15930200</vt:lpwstr>
      </vt:variant>
      <vt:variant>
        <vt:lpwstr/>
      </vt:variant>
      <vt:variant>
        <vt:i4>8257587</vt:i4>
      </vt:variant>
      <vt:variant>
        <vt:i4>513</vt:i4>
      </vt:variant>
      <vt:variant>
        <vt:i4>0</vt:i4>
      </vt:variant>
      <vt:variant>
        <vt:i4>5</vt:i4>
      </vt:variant>
      <vt:variant>
        <vt:lpwstr>https://www.ncbi.nlm.nih.gov/pubmed/?term=welch+wp%2c+yang+w%2c+taylor-zapata+p%2c+flynn+jt.+antihypertensive+drug+use+by+children+are+the+drugs+labelled+and+indicated%3f</vt:lpwstr>
      </vt:variant>
      <vt:variant>
        <vt:lpwstr/>
      </vt:variant>
      <vt:variant>
        <vt:i4>3211278</vt:i4>
      </vt:variant>
      <vt:variant>
        <vt:i4>510</vt:i4>
      </vt:variant>
      <vt:variant>
        <vt:i4>0</vt:i4>
      </vt:variant>
      <vt:variant>
        <vt:i4>5</vt:i4>
      </vt:variant>
      <vt:variant>
        <vt:lpwstr>https://www.ncbi.nlm.nih.gov/pubmed/?term=flynn jt%5bauthor%5d&amp;cauthor=true&amp;cauthor_uid=22672093</vt:lpwstr>
      </vt:variant>
      <vt:variant>
        <vt:lpwstr/>
      </vt:variant>
      <vt:variant>
        <vt:i4>7143520</vt:i4>
      </vt:variant>
      <vt:variant>
        <vt:i4>507</vt:i4>
      </vt:variant>
      <vt:variant>
        <vt:i4>0</vt:i4>
      </vt:variant>
      <vt:variant>
        <vt:i4>5</vt:i4>
      </vt:variant>
      <vt:variant>
        <vt:lpwstr>https://www.ncbi.nlm.nih.gov/pubmed/?term=taylor-zapata p%5bauthor%5d&amp;cauthor=true&amp;cauthor_uid=22672093</vt:lpwstr>
      </vt:variant>
      <vt:variant>
        <vt:lpwstr/>
      </vt:variant>
      <vt:variant>
        <vt:i4>1441826</vt:i4>
      </vt:variant>
      <vt:variant>
        <vt:i4>504</vt:i4>
      </vt:variant>
      <vt:variant>
        <vt:i4>0</vt:i4>
      </vt:variant>
      <vt:variant>
        <vt:i4>5</vt:i4>
      </vt:variant>
      <vt:variant>
        <vt:lpwstr>https://www.ncbi.nlm.nih.gov/pubmed/?term=yang w%5bauthor%5d&amp;cauthor=true&amp;cauthor_uid=22672093</vt:lpwstr>
      </vt:variant>
      <vt:variant>
        <vt:lpwstr/>
      </vt:variant>
      <vt:variant>
        <vt:i4>3211281</vt:i4>
      </vt:variant>
      <vt:variant>
        <vt:i4>501</vt:i4>
      </vt:variant>
      <vt:variant>
        <vt:i4>0</vt:i4>
      </vt:variant>
      <vt:variant>
        <vt:i4>5</vt:i4>
      </vt:variant>
      <vt:variant>
        <vt:lpwstr>https://www.ncbi.nlm.nih.gov/pubmed/?term=welch wp%5bauthor%5d&amp;cauthor=true&amp;cauthor_uid=22672093</vt:lpwstr>
      </vt:variant>
      <vt:variant>
        <vt:lpwstr/>
      </vt:variant>
      <vt:variant>
        <vt:i4>327684</vt:i4>
      </vt:variant>
      <vt:variant>
        <vt:i4>498</vt:i4>
      </vt:variant>
      <vt:variant>
        <vt:i4>0</vt:i4>
      </vt:variant>
      <vt:variant>
        <vt:i4>5</vt:i4>
      </vt:variant>
      <vt:variant>
        <vt:lpwstr>https://www.ncbi.nlm.nih.gov/pubmed/?term=vik+kl%2c+romundstad+p%2c+nilsen+ti.+tracking+of+cardiovascular+risk+factors+across+generations%3a+family+linkage+within+the+population-+based+hunt+study%2c+norway.+j+epidemiol+community+health+2013</vt:lpwstr>
      </vt:variant>
      <vt:variant>
        <vt:lpwstr/>
      </vt:variant>
      <vt:variant>
        <vt:i4>4653085</vt:i4>
      </vt:variant>
      <vt:variant>
        <vt:i4>495</vt:i4>
      </vt:variant>
      <vt:variant>
        <vt:i4>0</vt:i4>
      </vt:variant>
      <vt:variant>
        <vt:i4>5</vt:i4>
      </vt:variant>
      <vt:variant>
        <vt:lpwstr>https://www.ncbi.nlm.nih.gov/pubmed/?term=nilsen ti%5bauthor%5d&amp;cauthor=true&amp;cauthor_uid=23661719</vt:lpwstr>
      </vt:variant>
      <vt:variant>
        <vt:lpwstr/>
      </vt:variant>
      <vt:variant>
        <vt:i4>7602269</vt:i4>
      </vt:variant>
      <vt:variant>
        <vt:i4>492</vt:i4>
      </vt:variant>
      <vt:variant>
        <vt:i4>0</vt:i4>
      </vt:variant>
      <vt:variant>
        <vt:i4>5</vt:i4>
      </vt:variant>
      <vt:variant>
        <vt:lpwstr>https://www.ncbi.nlm.nih.gov/pubmed/?term=romundstad p%5bauthor%5d&amp;cauthor=true&amp;cauthor_uid=23661719</vt:lpwstr>
      </vt:variant>
      <vt:variant>
        <vt:lpwstr/>
      </vt:variant>
      <vt:variant>
        <vt:i4>5177448</vt:i4>
      </vt:variant>
      <vt:variant>
        <vt:i4>489</vt:i4>
      </vt:variant>
      <vt:variant>
        <vt:i4>0</vt:i4>
      </vt:variant>
      <vt:variant>
        <vt:i4>5</vt:i4>
      </vt:variant>
      <vt:variant>
        <vt:lpwstr>https://www.ncbi.nlm.nih.gov/pubmed/?term=vik kl%5bauthor%5d&amp;cauthor=true&amp;cauthor_uid=23661719</vt:lpwstr>
      </vt:variant>
      <vt:variant>
        <vt:lpwstr/>
      </vt:variant>
      <vt:variant>
        <vt:i4>2555966</vt:i4>
      </vt:variant>
      <vt:variant>
        <vt:i4>486</vt:i4>
      </vt:variant>
      <vt:variant>
        <vt:i4>0</vt:i4>
      </vt:variant>
      <vt:variant>
        <vt:i4>5</vt:i4>
      </vt:variant>
      <vt:variant>
        <vt:lpwstr>https://www.ncbi.nlm.nih.gov/pubmed/?term=toschke+am%2c+kohl+l%2c+mansmann+u%2c+von+kries+r.+meta-analysis+of+blood+pressure+tracking+from+childhood+to+adulthood+and+implica-+tions+for+the+design+of+intervention+trials.+acta+paediatr+2010</vt:lpwstr>
      </vt:variant>
      <vt:variant>
        <vt:lpwstr/>
      </vt:variant>
      <vt:variant>
        <vt:i4>4063268</vt:i4>
      </vt:variant>
      <vt:variant>
        <vt:i4>483</vt:i4>
      </vt:variant>
      <vt:variant>
        <vt:i4>0</vt:i4>
      </vt:variant>
      <vt:variant>
        <vt:i4>5</vt:i4>
      </vt:variant>
      <vt:variant>
        <vt:lpwstr>https://www.ncbi.nlm.nih.gov/pubmed/?term=von kries r%5bauthor%5d&amp;cauthor=true&amp;cauthor_uid=19839954</vt:lpwstr>
      </vt:variant>
      <vt:variant>
        <vt:lpwstr/>
      </vt:variant>
      <vt:variant>
        <vt:i4>917567</vt:i4>
      </vt:variant>
      <vt:variant>
        <vt:i4>480</vt:i4>
      </vt:variant>
      <vt:variant>
        <vt:i4>0</vt:i4>
      </vt:variant>
      <vt:variant>
        <vt:i4>5</vt:i4>
      </vt:variant>
      <vt:variant>
        <vt:lpwstr>https://www.ncbi.nlm.nih.gov/pubmed/?term=mansmann u%5bauthor%5d&amp;cauthor=true&amp;cauthor_uid=19839954</vt:lpwstr>
      </vt:variant>
      <vt:variant>
        <vt:lpwstr/>
      </vt:variant>
      <vt:variant>
        <vt:i4>589884</vt:i4>
      </vt:variant>
      <vt:variant>
        <vt:i4>477</vt:i4>
      </vt:variant>
      <vt:variant>
        <vt:i4>0</vt:i4>
      </vt:variant>
      <vt:variant>
        <vt:i4>5</vt:i4>
      </vt:variant>
      <vt:variant>
        <vt:lpwstr>https://www.ncbi.nlm.nih.gov/pubmed/?term=kohl l%5bauthor%5d&amp;cauthor=true&amp;cauthor_uid=19839954</vt:lpwstr>
      </vt:variant>
      <vt:variant>
        <vt:lpwstr/>
      </vt:variant>
      <vt:variant>
        <vt:i4>4980852</vt:i4>
      </vt:variant>
      <vt:variant>
        <vt:i4>474</vt:i4>
      </vt:variant>
      <vt:variant>
        <vt:i4>0</vt:i4>
      </vt:variant>
      <vt:variant>
        <vt:i4>5</vt:i4>
      </vt:variant>
      <vt:variant>
        <vt:lpwstr>https://www.ncbi.nlm.nih.gov/pubmed/?term=toschke am%5bauthor%5d&amp;cauthor=true&amp;cauthor_uid=19839954</vt:lpwstr>
      </vt:variant>
      <vt:variant>
        <vt:lpwstr/>
      </vt:variant>
      <vt:variant>
        <vt:i4>5046293</vt:i4>
      </vt:variant>
      <vt:variant>
        <vt:i4>471</vt:i4>
      </vt:variant>
      <vt:variant>
        <vt:i4>0</vt:i4>
      </vt:variant>
      <vt:variant>
        <vt:i4>5</vt:i4>
      </vt:variant>
      <vt:variant>
        <vt:lpwstr>https://www.ncbi.nlm.nih.gov/pubmed/?term=tomczak+j%2c+wasilewska+a%2c+milewski+r.+urine+ngal+and+kim-1+in+children+and+adolescents+with+hyperuricemia.+pediatr+nephrol+2013</vt:lpwstr>
      </vt:variant>
      <vt:variant>
        <vt:lpwstr/>
      </vt:variant>
      <vt:variant>
        <vt:i4>655399</vt:i4>
      </vt:variant>
      <vt:variant>
        <vt:i4>468</vt:i4>
      </vt:variant>
      <vt:variant>
        <vt:i4>0</vt:i4>
      </vt:variant>
      <vt:variant>
        <vt:i4>5</vt:i4>
      </vt:variant>
      <vt:variant>
        <vt:lpwstr>https://www.ncbi.nlm.nih.gov/pubmed/?term=milewski r%5bauthor%5d&amp;cauthor=true&amp;cauthor_uid=23673972</vt:lpwstr>
      </vt:variant>
      <vt:variant>
        <vt:lpwstr/>
      </vt:variant>
      <vt:variant>
        <vt:i4>7340110</vt:i4>
      </vt:variant>
      <vt:variant>
        <vt:i4>465</vt:i4>
      </vt:variant>
      <vt:variant>
        <vt:i4>0</vt:i4>
      </vt:variant>
      <vt:variant>
        <vt:i4>5</vt:i4>
      </vt:variant>
      <vt:variant>
        <vt:lpwstr>https://www.ncbi.nlm.nih.gov/pubmed/?term=wasilewska a%5bauthor%5d&amp;cauthor=true&amp;cauthor_uid=23673972</vt:lpwstr>
      </vt:variant>
      <vt:variant>
        <vt:lpwstr/>
      </vt:variant>
      <vt:variant>
        <vt:i4>917589</vt:i4>
      </vt:variant>
      <vt:variant>
        <vt:i4>462</vt:i4>
      </vt:variant>
      <vt:variant>
        <vt:i4>0</vt:i4>
      </vt:variant>
      <vt:variant>
        <vt:i4>5</vt:i4>
      </vt:variant>
      <vt:variant>
        <vt:lpwstr>https://www.ncbi.nlm.nih.gov/pubmed/?term=tomczak j%5bauthor%5d&amp;cauthor=true&amp;cauthor_uid=23673972</vt:lpwstr>
      </vt:variant>
      <vt:variant>
        <vt:lpwstr/>
      </vt:variant>
      <vt:variant>
        <vt:i4>458816</vt:i4>
      </vt:variant>
      <vt:variant>
        <vt:i4>459</vt:i4>
      </vt:variant>
      <vt:variant>
        <vt:i4>0</vt:i4>
      </vt:variant>
      <vt:variant>
        <vt:i4>5</vt:i4>
      </vt:variant>
      <vt:variant>
        <vt:lpwstr>https://www.ncbi.nlm.nih.gov/pubmed/?term=tirosh+a%2c+afek+a%2c+rudich+a%2c+percik+r%2c+gordon+b%2c+ayalon+n%2c+et+al.+progression+of+normotensive+adolescents+to+hypertensive+adults%3a+a+study+of+26%2c980+teenagers.+hypertension+2010%3b</vt:lpwstr>
      </vt:variant>
      <vt:variant>
        <vt:lpwstr/>
      </vt:variant>
      <vt:variant>
        <vt:i4>458799</vt:i4>
      </vt:variant>
      <vt:variant>
        <vt:i4>456</vt:i4>
      </vt:variant>
      <vt:variant>
        <vt:i4>0</vt:i4>
      </vt:variant>
      <vt:variant>
        <vt:i4>5</vt:i4>
      </vt:variant>
      <vt:variant>
        <vt:lpwstr>https://www.ncbi.nlm.nih.gov/pubmed/?term=shai i%5bauthor%5d&amp;cauthor=true&amp;cauthor_uid=20547973</vt:lpwstr>
      </vt:variant>
      <vt:variant>
        <vt:lpwstr/>
      </vt:variant>
      <vt:variant>
        <vt:i4>1179743</vt:i4>
      </vt:variant>
      <vt:variant>
        <vt:i4>453</vt:i4>
      </vt:variant>
      <vt:variant>
        <vt:i4>0</vt:i4>
      </vt:variant>
      <vt:variant>
        <vt:i4>5</vt:i4>
      </vt:variant>
      <vt:variant>
        <vt:lpwstr>https://www.ncbi.nlm.nih.gov/pubmed/?term=shamiss a%5bauthor%5d&amp;cauthor=true&amp;cauthor_uid=20547973</vt:lpwstr>
      </vt:variant>
      <vt:variant>
        <vt:lpwstr/>
      </vt:variant>
      <vt:variant>
        <vt:i4>852054</vt:i4>
      </vt:variant>
      <vt:variant>
        <vt:i4>450</vt:i4>
      </vt:variant>
      <vt:variant>
        <vt:i4>0</vt:i4>
      </vt:variant>
      <vt:variant>
        <vt:i4>5</vt:i4>
      </vt:variant>
      <vt:variant>
        <vt:lpwstr>https://www.ncbi.nlm.nih.gov/pubmed/?term=karasik a%5bauthor%5d&amp;cauthor=true&amp;cauthor_uid=20547973</vt:lpwstr>
      </vt:variant>
      <vt:variant>
        <vt:lpwstr/>
      </vt:variant>
      <vt:variant>
        <vt:i4>524327</vt:i4>
      </vt:variant>
      <vt:variant>
        <vt:i4>447</vt:i4>
      </vt:variant>
      <vt:variant>
        <vt:i4>0</vt:i4>
      </vt:variant>
      <vt:variant>
        <vt:i4>5</vt:i4>
      </vt:variant>
      <vt:variant>
        <vt:lpwstr>https://www.ncbi.nlm.nih.gov/pubmed/?term=grossman e%5bauthor%5d&amp;cauthor=true&amp;cauthor_uid=20547973</vt:lpwstr>
      </vt:variant>
      <vt:variant>
        <vt:lpwstr/>
      </vt:variant>
      <vt:variant>
        <vt:i4>8192068</vt:i4>
      </vt:variant>
      <vt:variant>
        <vt:i4>444</vt:i4>
      </vt:variant>
      <vt:variant>
        <vt:i4>0</vt:i4>
      </vt:variant>
      <vt:variant>
        <vt:i4>5</vt:i4>
      </vt:variant>
      <vt:variant>
        <vt:lpwstr>https://www.ncbi.nlm.nih.gov/pubmed/?term=gershnabel d%5bauthor%5d&amp;cauthor=true&amp;cauthor_uid=20547973</vt:lpwstr>
      </vt:variant>
      <vt:variant>
        <vt:lpwstr/>
      </vt:variant>
      <vt:variant>
        <vt:i4>196668</vt:i4>
      </vt:variant>
      <vt:variant>
        <vt:i4>441</vt:i4>
      </vt:variant>
      <vt:variant>
        <vt:i4>0</vt:i4>
      </vt:variant>
      <vt:variant>
        <vt:i4>5</vt:i4>
      </vt:variant>
      <vt:variant>
        <vt:lpwstr>https://www.ncbi.nlm.nih.gov/pubmed/?term=tzur d%5bauthor%5d&amp;cauthor=true&amp;cauthor_uid=20547973</vt:lpwstr>
      </vt:variant>
      <vt:variant>
        <vt:lpwstr/>
      </vt:variant>
      <vt:variant>
        <vt:i4>917594</vt:i4>
      </vt:variant>
      <vt:variant>
        <vt:i4>438</vt:i4>
      </vt:variant>
      <vt:variant>
        <vt:i4>0</vt:i4>
      </vt:variant>
      <vt:variant>
        <vt:i4>5</vt:i4>
      </vt:variant>
      <vt:variant>
        <vt:lpwstr>https://www.ncbi.nlm.nih.gov/pubmed/?term=derazne e%5bauthor%5d&amp;cauthor=true&amp;cauthor_uid=20547973</vt:lpwstr>
      </vt:variant>
      <vt:variant>
        <vt:lpwstr/>
      </vt:variant>
      <vt:variant>
        <vt:i4>7995474</vt:i4>
      </vt:variant>
      <vt:variant>
        <vt:i4>435</vt:i4>
      </vt:variant>
      <vt:variant>
        <vt:i4>0</vt:i4>
      </vt:variant>
      <vt:variant>
        <vt:i4>5</vt:i4>
      </vt:variant>
      <vt:variant>
        <vt:lpwstr>https://www.ncbi.nlm.nih.gov/pubmed/?term=ayalon n%5bauthor%5d&amp;cauthor=true&amp;cauthor_uid=20547973</vt:lpwstr>
      </vt:variant>
      <vt:variant>
        <vt:lpwstr/>
      </vt:variant>
      <vt:variant>
        <vt:i4>6815815</vt:i4>
      </vt:variant>
      <vt:variant>
        <vt:i4>432</vt:i4>
      </vt:variant>
      <vt:variant>
        <vt:i4>0</vt:i4>
      </vt:variant>
      <vt:variant>
        <vt:i4>5</vt:i4>
      </vt:variant>
      <vt:variant>
        <vt:lpwstr>https://www.ncbi.nlm.nih.gov/pubmed/?term=gordon b%5bauthor%5d&amp;cauthor=true&amp;cauthor_uid=20547973</vt:lpwstr>
      </vt:variant>
      <vt:variant>
        <vt:lpwstr/>
      </vt:variant>
      <vt:variant>
        <vt:i4>7340118</vt:i4>
      </vt:variant>
      <vt:variant>
        <vt:i4>429</vt:i4>
      </vt:variant>
      <vt:variant>
        <vt:i4>0</vt:i4>
      </vt:variant>
      <vt:variant>
        <vt:i4>5</vt:i4>
      </vt:variant>
      <vt:variant>
        <vt:lpwstr>https://www.ncbi.nlm.nih.gov/pubmed/?term=percik r%5bauthor%5d&amp;cauthor=true&amp;cauthor_uid=20547973</vt:lpwstr>
      </vt:variant>
      <vt:variant>
        <vt:lpwstr/>
      </vt:variant>
      <vt:variant>
        <vt:i4>7995464</vt:i4>
      </vt:variant>
      <vt:variant>
        <vt:i4>426</vt:i4>
      </vt:variant>
      <vt:variant>
        <vt:i4>0</vt:i4>
      </vt:variant>
      <vt:variant>
        <vt:i4>5</vt:i4>
      </vt:variant>
      <vt:variant>
        <vt:lpwstr>https://www.ncbi.nlm.nih.gov/pubmed/?term=rudich a%5bauthor%5d&amp;cauthor=true&amp;cauthor_uid=20547973</vt:lpwstr>
      </vt:variant>
      <vt:variant>
        <vt:lpwstr/>
      </vt:variant>
      <vt:variant>
        <vt:i4>196665</vt:i4>
      </vt:variant>
      <vt:variant>
        <vt:i4>423</vt:i4>
      </vt:variant>
      <vt:variant>
        <vt:i4>0</vt:i4>
      </vt:variant>
      <vt:variant>
        <vt:i4>5</vt:i4>
      </vt:variant>
      <vt:variant>
        <vt:lpwstr>https://www.ncbi.nlm.nih.gov/pubmed/?term=afek a%5bauthor%5d&amp;cauthor=true&amp;cauthor_uid=20547973</vt:lpwstr>
      </vt:variant>
      <vt:variant>
        <vt:lpwstr/>
      </vt:variant>
      <vt:variant>
        <vt:i4>6291528</vt:i4>
      </vt:variant>
      <vt:variant>
        <vt:i4>420</vt:i4>
      </vt:variant>
      <vt:variant>
        <vt:i4>0</vt:i4>
      </vt:variant>
      <vt:variant>
        <vt:i4>5</vt:i4>
      </vt:variant>
      <vt:variant>
        <vt:lpwstr>https://www.ncbi.nlm.nih.gov/pubmed/?term=tirosh a%5bauthor%5d&amp;cauthor=true&amp;cauthor_uid=20547973</vt:lpwstr>
      </vt:variant>
      <vt:variant>
        <vt:lpwstr/>
      </vt:variant>
      <vt:variant>
        <vt:i4>7667838</vt:i4>
      </vt:variant>
      <vt:variant>
        <vt:i4>417</vt:i4>
      </vt:variant>
      <vt:variant>
        <vt:i4>0</vt:i4>
      </vt:variant>
      <vt:variant>
        <vt:i4>5</vt:i4>
      </vt:variant>
      <vt:variant>
        <vt:lpwstr>https://www.ncbi.nlm.nih.gov/pubmed/?term=sundin+po%2c+udumyan+r%2c+sjo+%cc%88+stro+%cc%88+m+p%2c+montgomery+s.+predictors+in+adolescence+of+esrd+in+middle-aged+men.+am+j+kidney+dis+2014</vt:lpwstr>
      </vt:variant>
      <vt:variant>
        <vt:lpwstr/>
      </vt:variant>
      <vt:variant>
        <vt:i4>7405634</vt:i4>
      </vt:variant>
      <vt:variant>
        <vt:i4>414</vt:i4>
      </vt:variant>
      <vt:variant>
        <vt:i4>0</vt:i4>
      </vt:variant>
      <vt:variant>
        <vt:i4>5</vt:i4>
      </vt:variant>
      <vt:variant>
        <vt:lpwstr>https://www.ncbi.nlm.nih.gov/pubmed/?term=montgomery s%5bauthor%5d&amp;cauthor=true&amp;cauthor_uid=25124945</vt:lpwstr>
      </vt:variant>
      <vt:variant>
        <vt:lpwstr/>
      </vt:variant>
      <vt:variant>
        <vt:i4>7143503</vt:i4>
      </vt:variant>
      <vt:variant>
        <vt:i4>411</vt:i4>
      </vt:variant>
      <vt:variant>
        <vt:i4>0</vt:i4>
      </vt:variant>
      <vt:variant>
        <vt:i4>5</vt:i4>
      </vt:variant>
      <vt:variant>
        <vt:lpwstr>https://www.ncbi.nlm.nih.gov/pubmed/?term=sj%c3%b6str%c3%b6m p%5bauthor%5d&amp;cauthor=true&amp;cauthor_uid=25124945</vt:lpwstr>
      </vt:variant>
      <vt:variant>
        <vt:lpwstr/>
      </vt:variant>
      <vt:variant>
        <vt:i4>524374</vt:i4>
      </vt:variant>
      <vt:variant>
        <vt:i4>408</vt:i4>
      </vt:variant>
      <vt:variant>
        <vt:i4>0</vt:i4>
      </vt:variant>
      <vt:variant>
        <vt:i4>5</vt:i4>
      </vt:variant>
      <vt:variant>
        <vt:lpwstr>https://www.ncbi.nlm.nih.gov/pubmed/?term=udumyan r%5bauthor%5d&amp;cauthor=true&amp;cauthor_uid=25124945</vt:lpwstr>
      </vt:variant>
      <vt:variant>
        <vt:lpwstr/>
      </vt:variant>
      <vt:variant>
        <vt:i4>5177352</vt:i4>
      </vt:variant>
      <vt:variant>
        <vt:i4>405</vt:i4>
      </vt:variant>
      <vt:variant>
        <vt:i4>0</vt:i4>
      </vt:variant>
      <vt:variant>
        <vt:i4>5</vt:i4>
      </vt:variant>
      <vt:variant>
        <vt:lpwstr>https://www.ncbi.nlm.nih.gov/pubmed/?term=sundin po%5bauthor%5d&amp;cauthor=true&amp;cauthor_uid=25124945</vt:lpwstr>
      </vt:variant>
      <vt:variant>
        <vt:lpwstr/>
      </vt:variant>
      <vt:variant>
        <vt:i4>7667811</vt:i4>
      </vt:variant>
      <vt:variant>
        <vt:i4>402</vt:i4>
      </vt:variant>
      <vt:variant>
        <vt:i4>0</vt:i4>
      </vt:variant>
      <vt:variant>
        <vt:i4>5</vt:i4>
      </vt:variant>
      <vt:variant>
        <vt:lpwstr>https://www.ncbi.nlm.nih.gov/pubmed/?term=stephens+mm%2c+fox+ba%2c+maxwell+l.+therapeutic+options+for+the+treatment+of+hypertension+in+children+and+adolescents.+clin+med+insights+circ+respir+pulm+med.+2012%3b6%3a13%e2%80%9325.</vt:lpwstr>
      </vt:variant>
      <vt:variant>
        <vt:lpwstr/>
      </vt:variant>
      <vt:variant>
        <vt:i4>1048650</vt:i4>
      </vt:variant>
      <vt:variant>
        <vt:i4>399</vt:i4>
      </vt:variant>
      <vt:variant>
        <vt:i4>0</vt:i4>
      </vt:variant>
      <vt:variant>
        <vt:i4>5</vt:i4>
      </vt:variant>
      <vt:variant>
        <vt:lpwstr>https://www.ncbi.nlm.nih.gov/pubmed/?term=maxwell l%5bauthor%5d&amp;cauthor=true&amp;cauthor_uid=22408373</vt:lpwstr>
      </vt:variant>
      <vt:variant>
        <vt:lpwstr/>
      </vt:variant>
      <vt:variant>
        <vt:i4>5046383</vt:i4>
      </vt:variant>
      <vt:variant>
        <vt:i4>396</vt:i4>
      </vt:variant>
      <vt:variant>
        <vt:i4>0</vt:i4>
      </vt:variant>
      <vt:variant>
        <vt:i4>5</vt:i4>
      </vt:variant>
      <vt:variant>
        <vt:lpwstr>https://www.ncbi.nlm.nih.gov/pubmed/?term=fox ba%5bauthor%5d&amp;cauthor=true&amp;cauthor_uid=22408373</vt:lpwstr>
      </vt:variant>
      <vt:variant>
        <vt:lpwstr/>
      </vt:variant>
      <vt:variant>
        <vt:i4>3473511</vt:i4>
      </vt:variant>
      <vt:variant>
        <vt:i4>393</vt:i4>
      </vt:variant>
      <vt:variant>
        <vt:i4>0</vt:i4>
      </vt:variant>
      <vt:variant>
        <vt:i4>5</vt:i4>
      </vt:variant>
      <vt:variant>
        <vt:lpwstr>https://www.ncbi.nlm.nih.gov/pubmed/?term=stephens mm%5bauthor%5d&amp;cauthor=true&amp;cauthor_uid=22408373</vt:lpwstr>
      </vt:variant>
      <vt:variant>
        <vt:lpwstr/>
      </vt:variant>
      <vt:variant>
        <vt:i4>1114227</vt:i4>
      </vt:variant>
      <vt:variant>
        <vt:i4>390</vt:i4>
      </vt:variant>
      <vt:variant>
        <vt:i4>0</vt:i4>
      </vt:variant>
      <vt:variant>
        <vt:i4>5</vt:i4>
      </vt:variant>
      <vt:variant>
        <vt:lpwstr>https://www.ncbi.nlm.nih.gov/pubmed/?term=sorof+jm%2c+cardwell+g%2c+franco+k%2c+portman+rj.+ambulatory+blood+pressure+and+left+ventricular+mass+in+hypertensive+children.</vt:lpwstr>
      </vt:variant>
      <vt:variant>
        <vt:lpwstr/>
      </vt:variant>
      <vt:variant>
        <vt:i4>5439586</vt:i4>
      </vt:variant>
      <vt:variant>
        <vt:i4>387</vt:i4>
      </vt:variant>
      <vt:variant>
        <vt:i4>0</vt:i4>
      </vt:variant>
      <vt:variant>
        <vt:i4>5</vt:i4>
      </vt:variant>
      <vt:variant>
        <vt:lpwstr>https://www.ncbi.nlm.nih.gov/pubmed/?term=portman rj%5bauthor%5d&amp;cauthor=true&amp;cauthor_uid=11967247</vt:lpwstr>
      </vt:variant>
      <vt:variant>
        <vt:lpwstr/>
      </vt:variant>
      <vt:variant>
        <vt:i4>8061013</vt:i4>
      </vt:variant>
      <vt:variant>
        <vt:i4>384</vt:i4>
      </vt:variant>
      <vt:variant>
        <vt:i4>0</vt:i4>
      </vt:variant>
      <vt:variant>
        <vt:i4>5</vt:i4>
      </vt:variant>
      <vt:variant>
        <vt:lpwstr>https://www.ncbi.nlm.nih.gov/pubmed/?term=franco k%5bauthor%5d&amp;cauthor=true&amp;cauthor_uid=11967247</vt:lpwstr>
      </vt:variant>
      <vt:variant>
        <vt:lpwstr/>
      </vt:variant>
      <vt:variant>
        <vt:i4>524347</vt:i4>
      </vt:variant>
      <vt:variant>
        <vt:i4>381</vt:i4>
      </vt:variant>
      <vt:variant>
        <vt:i4>0</vt:i4>
      </vt:variant>
      <vt:variant>
        <vt:i4>5</vt:i4>
      </vt:variant>
      <vt:variant>
        <vt:lpwstr>https://www.ncbi.nlm.nih.gov/pubmed/?term=cardwell g%5bauthor%5d&amp;cauthor=true&amp;cauthor_uid=11967247</vt:lpwstr>
      </vt:variant>
      <vt:variant>
        <vt:lpwstr/>
      </vt:variant>
      <vt:variant>
        <vt:i4>3014684</vt:i4>
      </vt:variant>
      <vt:variant>
        <vt:i4>378</vt:i4>
      </vt:variant>
      <vt:variant>
        <vt:i4>0</vt:i4>
      </vt:variant>
      <vt:variant>
        <vt:i4>5</vt:i4>
      </vt:variant>
      <vt:variant>
        <vt:lpwstr>https://www.ncbi.nlm.nih.gov/pubmed/?term=sorof jm%5bauthor%5d&amp;cauthor=true&amp;cauthor_uid=11967247</vt:lpwstr>
      </vt:variant>
      <vt:variant>
        <vt:lpwstr/>
      </vt:variant>
      <vt:variant>
        <vt:i4>6029333</vt:i4>
      </vt:variant>
      <vt:variant>
        <vt:i4>375</vt:i4>
      </vt:variant>
      <vt:variant>
        <vt:i4>0</vt:i4>
      </vt:variant>
      <vt:variant>
        <vt:i4>5</vt:i4>
      </vt:variant>
      <vt:variant>
        <vt:lpwstr>https://www-ncbi-nlm-nih-gov.offcampus.dam.unito.it/pubmed/?term=simonetti+gd%2c+rizzi+m%2c+donadini+r%2c+et+al.+effects+of+antihyperten-+sive+drugs+on+blood+pressure+and+proteinuria+in+childhood.+j+hyper-+tens.+2007</vt:lpwstr>
      </vt:variant>
      <vt:variant>
        <vt:lpwstr/>
      </vt:variant>
      <vt:variant>
        <vt:i4>2555930</vt:i4>
      </vt:variant>
      <vt:variant>
        <vt:i4>372</vt:i4>
      </vt:variant>
      <vt:variant>
        <vt:i4>0</vt:i4>
      </vt:variant>
      <vt:variant>
        <vt:i4>5</vt:i4>
      </vt:variant>
      <vt:variant>
        <vt:lpwstr>https://www-ncbi-nlm-nih-gov.offcampus.dam.unito.it/pubmed/?term=Bianchetti MG%5BAuthor%5D&amp;cauthor=true&amp;cauthor_uid=17984655</vt:lpwstr>
      </vt:variant>
      <vt:variant>
        <vt:lpwstr/>
      </vt:variant>
      <vt:variant>
        <vt:i4>1441886</vt:i4>
      </vt:variant>
      <vt:variant>
        <vt:i4>369</vt:i4>
      </vt:variant>
      <vt:variant>
        <vt:i4>0</vt:i4>
      </vt:variant>
      <vt:variant>
        <vt:i4>5</vt:i4>
      </vt:variant>
      <vt:variant>
        <vt:lpwstr>https://www-ncbi-nlm-nih-gov.offcampus.dam.unito.it/pubmed/?term=Donadini R%5BAuthor%5D&amp;cauthor=true&amp;cauthor_uid=17984655</vt:lpwstr>
      </vt:variant>
      <vt:variant>
        <vt:lpwstr/>
      </vt:variant>
      <vt:variant>
        <vt:i4>1900598</vt:i4>
      </vt:variant>
      <vt:variant>
        <vt:i4>366</vt:i4>
      </vt:variant>
      <vt:variant>
        <vt:i4>0</vt:i4>
      </vt:variant>
      <vt:variant>
        <vt:i4>5</vt:i4>
      </vt:variant>
      <vt:variant>
        <vt:lpwstr>https://www-ncbi-nlm-nih-gov.offcampus.dam.unito.it/pubmed/?term=Rizzi M%5BAuthor%5D&amp;cauthor=true&amp;cauthor_uid=17984655</vt:lpwstr>
      </vt:variant>
      <vt:variant>
        <vt:lpwstr/>
      </vt:variant>
      <vt:variant>
        <vt:i4>3932273</vt:i4>
      </vt:variant>
      <vt:variant>
        <vt:i4>363</vt:i4>
      </vt:variant>
      <vt:variant>
        <vt:i4>0</vt:i4>
      </vt:variant>
      <vt:variant>
        <vt:i4>5</vt:i4>
      </vt:variant>
      <vt:variant>
        <vt:lpwstr>https://www-ncbi-nlm-nih-gov.offcampus.dam.unito.it/pubmed/?term=Simonetti GD%5BAuthor%5D&amp;cauthor=true&amp;cauthor_uid=17984655</vt:lpwstr>
      </vt:variant>
      <vt:variant>
        <vt:lpwstr/>
      </vt:variant>
      <vt:variant>
        <vt:i4>655399</vt:i4>
      </vt:variant>
      <vt:variant>
        <vt:i4>360</vt:i4>
      </vt:variant>
      <vt:variant>
        <vt:i4>0</vt:i4>
      </vt:variant>
      <vt:variant>
        <vt:i4>5</vt:i4>
      </vt:variant>
      <vt:variant>
        <vt:lpwstr>https://www.ncbi.nlm.nih.gov/pubmed/?term=schaefer+f%2c+van+de+walle+j%2c+zurowska+a%2c+gimpel+c%2c+van+hoeck+k%2c+drozdz+d%2c+et+al.+candesartan+in+children</vt:lpwstr>
      </vt:variant>
      <vt:variant>
        <vt:lpwstr/>
      </vt:variant>
      <vt:variant>
        <vt:i4>3997696</vt:i4>
      </vt:variant>
      <vt:variant>
        <vt:i4>357</vt:i4>
      </vt:variant>
      <vt:variant>
        <vt:i4>0</vt:i4>
      </vt:variant>
      <vt:variant>
        <vt:i4>5</vt:i4>
      </vt:variant>
      <vt:variant>
        <vt:lpwstr>https://www.ncbi.nlm.nih.gov/pubmed/?term=Candesartan in Children with Hypertension Investigators%5BCorporate Author%5D</vt:lpwstr>
      </vt:variant>
      <vt:variant>
        <vt:lpwstr/>
      </vt:variant>
      <vt:variant>
        <vt:i4>5373967</vt:i4>
      </vt:variant>
      <vt:variant>
        <vt:i4>354</vt:i4>
      </vt:variant>
      <vt:variant>
        <vt:i4>0</vt:i4>
      </vt:variant>
      <vt:variant>
        <vt:i4>5</vt:i4>
      </vt:variant>
      <vt:variant>
        <vt:lpwstr>https://www.ncbi.nlm.nih.gov/pubmed/?term=Hainer JW%5BAuthor%5D&amp;cauthor=true&amp;cauthor_uid=20160654</vt:lpwstr>
      </vt:variant>
      <vt:variant>
        <vt:lpwstr/>
      </vt:variant>
      <vt:variant>
        <vt:i4>1376294</vt:i4>
      </vt:variant>
      <vt:variant>
        <vt:i4>351</vt:i4>
      </vt:variant>
      <vt:variant>
        <vt:i4>0</vt:i4>
      </vt:variant>
      <vt:variant>
        <vt:i4>5</vt:i4>
      </vt:variant>
      <vt:variant>
        <vt:lpwstr>https://www.ncbi.nlm.nih.gov/pubmed/?term=Teng R%5BAuthor%5D&amp;cauthor=true&amp;cauthor_uid=20160654</vt:lpwstr>
      </vt:variant>
      <vt:variant>
        <vt:lpwstr/>
      </vt:variant>
      <vt:variant>
        <vt:i4>1900584</vt:i4>
      </vt:variant>
      <vt:variant>
        <vt:i4>348</vt:i4>
      </vt:variant>
      <vt:variant>
        <vt:i4>0</vt:i4>
      </vt:variant>
      <vt:variant>
        <vt:i4>5</vt:i4>
      </vt:variant>
      <vt:variant>
        <vt:lpwstr>https://www.ncbi.nlm.nih.gov/pubmed/?term=Sugg J%5BAuthor%5D&amp;cauthor=true&amp;cauthor_uid=20160654</vt:lpwstr>
      </vt:variant>
      <vt:variant>
        <vt:lpwstr/>
      </vt:variant>
      <vt:variant>
        <vt:i4>6619185</vt:i4>
      </vt:variant>
      <vt:variant>
        <vt:i4>345</vt:i4>
      </vt:variant>
      <vt:variant>
        <vt:i4>0</vt:i4>
      </vt:variant>
      <vt:variant>
        <vt:i4>5</vt:i4>
      </vt:variant>
      <vt:variant>
        <vt:lpwstr>https://www.ncbi.nlm.nih.gov/pubmed/?term=Sorof J%5BAuthor%5D&amp;cauthor=true&amp;cauthor_uid=20160654</vt:lpwstr>
      </vt:variant>
      <vt:variant>
        <vt:lpwstr/>
      </vt:variant>
      <vt:variant>
        <vt:i4>4259952</vt:i4>
      </vt:variant>
      <vt:variant>
        <vt:i4>342</vt:i4>
      </vt:variant>
      <vt:variant>
        <vt:i4>0</vt:i4>
      </vt:variant>
      <vt:variant>
        <vt:i4>5</vt:i4>
      </vt:variant>
      <vt:variant>
        <vt:lpwstr>https://www.ncbi.nlm.nih.gov/pubmed/?term=Bagdasorova IV%5BAuthor%5D&amp;cauthor=true&amp;cauthor_uid=20160654</vt:lpwstr>
      </vt:variant>
      <vt:variant>
        <vt:lpwstr/>
      </vt:variant>
      <vt:variant>
        <vt:i4>1048664</vt:i4>
      </vt:variant>
      <vt:variant>
        <vt:i4>339</vt:i4>
      </vt:variant>
      <vt:variant>
        <vt:i4>0</vt:i4>
      </vt:variant>
      <vt:variant>
        <vt:i4>5</vt:i4>
      </vt:variant>
      <vt:variant>
        <vt:lpwstr>https://www.ncbi.nlm.nih.gov/pubmed/?term=Montini G%5BAuthor%5D&amp;cauthor=true&amp;cauthor_uid=20160654</vt:lpwstr>
      </vt:variant>
      <vt:variant>
        <vt:lpwstr/>
      </vt:variant>
      <vt:variant>
        <vt:i4>7536723</vt:i4>
      </vt:variant>
      <vt:variant>
        <vt:i4>336</vt:i4>
      </vt:variant>
      <vt:variant>
        <vt:i4>0</vt:i4>
      </vt:variant>
      <vt:variant>
        <vt:i4>5</vt:i4>
      </vt:variant>
      <vt:variant>
        <vt:lpwstr>https://www.ncbi.nlm.nih.gov/pubmed/?term=Drozdz D%5BAuthor%5D&amp;cauthor=true&amp;cauthor_uid=20160654</vt:lpwstr>
      </vt:variant>
      <vt:variant>
        <vt:lpwstr/>
      </vt:variant>
      <vt:variant>
        <vt:i4>2621481</vt:i4>
      </vt:variant>
      <vt:variant>
        <vt:i4>333</vt:i4>
      </vt:variant>
      <vt:variant>
        <vt:i4>0</vt:i4>
      </vt:variant>
      <vt:variant>
        <vt:i4>5</vt:i4>
      </vt:variant>
      <vt:variant>
        <vt:lpwstr>https://www.ncbi.nlm.nih.gov/pubmed/?term=van Hoeck K%5BAuthor%5D&amp;cauthor=true&amp;cauthor_uid=20160654</vt:lpwstr>
      </vt:variant>
      <vt:variant>
        <vt:lpwstr/>
      </vt:variant>
      <vt:variant>
        <vt:i4>7536723</vt:i4>
      </vt:variant>
      <vt:variant>
        <vt:i4>330</vt:i4>
      </vt:variant>
      <vt:variant>
        <vt:i4>0</vt:i4>
      </vt:variant>
      <vt:variant>
        <vt:i4>5</vt:i4>
      </vt:variant>
      <vt:variant>
        <vt:lpwstr>https://www.ncbi.nlm.nih.gov/pubmed/?term=Gimpel C%5BAuthor%5D&amp;cauthor=true&amp;cauthor_uid=20160654</vt:lpwstr>
      </vt:variant>
      <vt:variant>
        <vt:lpwstr/>
      </vt:variant>
      <vt:variant>
        <vt:i4>786472</vt:i4>
      </vt:variant>
      <vt:variant>
        <vt:i4>327</vt:i4>
      </vt:variant>
      <vt:variant>
        <vt:i4>0</vt:i4>
      </vt:variant>
      <vt:variant>
        <vt:i4>5</vt:i4>
      </vt:variant>
      <vt:variant>
        <vt:lpwstr>https://www.ncbi.nlm.nih.gov/pubmed/?term=Zurowska A%5BAuthor%5D&amp;cauthor=true&amp;cauthor_uid=20160654</vt:lpwstr>
      </vt:variant>
      <vt:variant>
        <vt:lpwstr/>
      </vt:variant>
      <vt:variant>
        <vt:i4>5570669</vt:i4>
      </vt:variant>
      <vt:variant>
        <vt:i4>324</vt:i4>
      </vt:variant>
      <vt:variant>
        <vt:i4>0</vt:i4>
      </vt:variant>
      <vt:variant>
        <vt:i4>5</vt:i4>
      </vt:variant>
      <vt:variant>
        <vt:lpwstr>https://www.ncbi.nlm.nih.gov/pubmed/?term=van de Walle J%5BAuthor%5D&amp;cauthor=true&amp;cauthor_uid=20160654</vt:lpwstr>
      </vt:variant>
      <vt:variant>
        <vt:lpwstr/>
      </vt:variant>
      <vt:variant>
        <vt:i4>1376295</vt:i4>
      </vt:variant>
      <vt:variant>
        <vt:i4>321</vt:i4>
      </vt:variant>
      <vt:variant>
        <vt:i4>0</vt:i4>
      </vt:variant>
      <vt:variant>
        <vt:i4>5</vt:i4>
      </vt:variant>
      <vt:variant>
        <vt:lpwstr>https://www.ncbi.nlm.nih.gov/pubmed/?term=Schaefer F%5BAuthor%5D&amp;cauthor=true&amp;cauthor_uid=20160654</vt:lpwstr>
      </vt:variant>
      <vt:variant>
        <vt:lpwstr/>
      </vt:variant>
      <vt:variant>
        <vt:i4>8257601</vt:i4>
      </vt:variant>
      <vt:variant>
        <vt:i4>318</vt:i4>
      </vt:variant>
      <vt:variant>
        <vt:i4>0</vt:i4>
      </vt:variant>
      <vt:variant>
        <vt:i4>5</vt:i4>
      </vt:variant>
      <vt:variant>
        <vt:lpwstr>https://www.ncbi.nlm.nih.gov/pubmed/?term=schaefer+f%2c+litwin+m%2c+zachwieja+j%2c+zurowska+a%2c+turi+s%2c+grosso+a%2c+et+al.+efficacy+and+safety+of+valsartan+when+compared+to+enalapril+in+hypertensive+children%3a+a+12+week%2c+randomised%2c+double-blind%2c+parallel-+group+study.</vt:lpwstr>
      </vt:variant>
      <vt:variant>
        <vt:lpwstr/>
      </vt:variant>
      <vt:variant>
        <vt:i4>7405626</vt:i4>
      </vt:variant>
      <vt:variant>
        <vt:i4>315</vt:i4>
      </vt:variant>
      <vt:variant>
        <vt:i4>0</vt:i4>
      </vt:variant>
      <vt:variant>
        <vt:i4>5</vt:i4>
      </vt:variant>
      <vt:variant>
        <vt:lpwstr>https://www.ncbi.nlm.nih.gov/pubmed/?term=kadwa m%5bauthor%5d&amp;cauthor=true&amp;cauthor_uid=22025233</vt:lpwstr>
      </vt:variant>
      <vt:variant>
        <vt:lpwstr/>
      </vt:variant>
      <vt:variant>
        <vt:i4>7798849</vt:i4>
      </vt:variant>
      <vt:variant>
        <vt:i4>312</vt:i4>
      </vt:variant>
      <vt:variant>
        <vt:i4>0</vt:i4>
      </vt:variant>
      <vt:variant>
        <vt:i4>5</vt:i4>
      </vt:variant>
      <vt:variant>
        <vt:lpwstr>https://www.ncbi.nlm.nih.gov/pubmed/?term=pezous n%5bauthor%5d&amp;cauthor=true&amp;cauthor_uid=22025233</vt:lpwstr>
      </vt:variant>
      <vt:variant>
        <vt:lpwstr/>
      </vt:variant>
      <vt:variant>
        <vt:i4>7274565</vt:i4>
      </vt:variant>
      <vt:variant>
        <vt:i4>309</vt:i4>
      </vt:variant>
      <vt:variant>
        <vt:i4>0</vt:i4>
      </vt:variant>
      <vt:variant>
        <vt:i4>5</vt:i4>
      </vt:variant>
      <vt:variant>
        <vt:lpwstr>https://www.ncbi.nlm.nih.gov/pubmed/?term=grosso a%5bauthor%5d&amp;cauthor=true&amp;cauthor_uid=22025233</vt:lpwstr>
      </vt:variant>
      <vt:variant>
        <vt:lpwstr/>
      </vt:variant>
      <vt:variant>
        <vt:i4>983096</vt:i4>
      </vt:variant>
      <vt:variant>
        <vt:i4>306</vt:i4>
      </vt:variant>
      <vt:variant>
        <vt:i4>0</vt:i4>
      </vt:variant>
      <vt:variant>
        <vt:i4>5</vt:i4>
      </vt:variant>
      <vt:variant>
        <vt:lpwstr>https://www.ncbi.nlm.nih.gov/pubmed/?term=turi s%5bauthor%5d&amp;cauthor=true&amp;cauthor_uid=22025233</vt:lpwstr>
      </vt:variant>
      <vt:variant>
        <vt:lpwstr/>
      </vt:variant>
      <vt:variant>
        <vt:i4>589866</vt:i4>
      </vt:variant>
      <vt:variant>
        <vt:i4>303</vt:i4>
      </vt:variant>
      <vt:variant>
        <vt:i4>0</vt:i4>
      </vt:variant>
      <vt:variant>
        <vt:i4>5</vt:i4>
      </vt:variant>
      <vt:variant>
        <vt:lpwstr>https://www.ncbi.nlm.nih.gov/pubmed/?term=zurowska a%5bauthor%5d&amp;cauthor=true&amp;cauthor_uid=22025233</vt:lpwstr>
      </vt:variant>
      <vt:variant>
        <vt:lpwstr/>
      </vt:variant>
      <vt:variant>
        <vt:i4>7143481</vt:i4>
      </vt:variant>
      <vt:variant>
        <vt:i4>300</vt:i4>
      </vt:variant>
      <vt:variant>
        <vt:i4>0</vt:i4>
      </vt:variant>
      <vt:variant>
        <vt:i4>5</vt:i4>
      </vt:variant>
      <vt:variant>
        <vt:lpwstr>https://www.ncbi.nlm.nih.gov/pubmed/?term=zachwieja j%5bauthor%5d&amp;cauthor=true&amp;cauthor_uid=22025233</vt:lpwstr>
      </vt:variant>
      <vt:variant>
        <vt:lpwstr/>
      </vt:variant>
      <vt:variant>
        <vt:i4>8192079</vt:i4>
      </vt:variant>
      <vt:variant>
        <vt:i4>297</vt:i4>
      </vt:variant>
      <vt:variant>
        <vt:i4>0</vt:i4>
      </vt:variant>
      <vt:variant>
        <vt:i4>5</vt:i4>
      </vt:variant>
      <vt:variant>
        <vt:lpwstr>https://www.ncbi.nlm.nih.gov/pubmed/?term=litwin m%5bauthor%5d&amp;cauthor=true&amp;cauthor_uid=22025233</vt:lpwstr>
      </vt:variant>
      <vt:variant>
        <vt:lpwstr/>
      </vt:variant>
      <vt:variant>
        <vt:i4>1048613</vt:i4>
      </vt:variant>
      <vt:variant>
        <vt:i4>294</vt:i4>
      </vt:variant>
      <vt:variant>
        <vt:i4>0</vt:i4>
      </vt:variant>
      <vt:variant>
        <vt:i4>5</vt:i4>
      </vt:variant>
      <vt:variant>
        <vt:lpwstr>https://www.ncbi.nlm.nih.gov/pubmed/?term=schaefer f%5bauthor%5d&amp;cauthor=true&amp;cauthor_uid=22025233</vt:lpwstr>
      </vt:variant>
      <vt:variant>
        <vt:lpwstr/>
      </vt:variant>
      <vt:variant>
        <vt:i4>3801161</vt:i4>
      </vt:variant>
      <vt:variant>
        <vt:i4>291</vt:i4>
      </vt:variant>
      <vt:variant>
        <vt:i4>0</vt:i4>
      </vt:variant>
      <vt:variant>
        <vt:i4>5</vt:i4>
      </vt:variant>
      <vt:variant>
        <vt:lpwstr>https://www.ncbi.nlm.nih.gov/pubmed/?term=national+high+blood+pressure+education+program+working+group+on+high+blood+pressure+in+children+and+adolescents.+the+fourth+report+on+the+diagnosis%2c+evaluation%2c+and+treatment+of+high+blood+pressure+in+children+and+adolescents.+pediatrics.+2004</vt:lpwstr>
      </vt:variant>
      <vt:variant>
        <vt:lpwstr/>
      </vt:variant>
      <vt:variant>
        <vt:i4>7405639</vt:i4>
      </vt:variant>
      <vt:variant>
        <vt:i4>288</vt:i4>
      </vt:variant>
      <vt:variant>
        <vt:i4>0</vt:i4>
      </vt:variant>
      <vt:variant>
        <vt:i4>5</vt:i4>
      </vt:variant>
      <vt:variant>
        <vt:lpwstr>https://www.ncbi.nlm.nih.gov/pubmed/?term=national high blood pressure education program working group on high blood pressure in children and adolescents%5bcorporate author%5d</vt:lpwstr>
      </vt:variant>
      <vt:variant>
        <vt:lpwstr/>
      </vt:variant>
      <vt:variant>
        <vt:i4>4980767</vt:i4>
      </vt:variant>
      <vt:variant>
        <vt:i4>285</vt:i4>
      </vt:variant>
      <vt:variant>
        <vt:i4>0</vt:i4>
      </vt:variant>
      <vt:variant>
        <vt:i4>5</vt:i4>
      </vt:variant>
      <vt:variant>
        <vt:lpwstr>https://www.ncbi.nlm.nih.gov/pubmed/?term=litwin+m%2c+niemirska+a+left+ventricular+hypertrophy+and+arterial+wall+thickening+in+children+with+essential+hypertension.</vt:lpwstr>
      </vt:variant>
      <vt:variant>
        <vt:lpwstr/>
      </vt:variant>
      <vt:variant>
        <vt:i4>6684762</vt:i4>
      </vt:variant>
      <vt:variant>
        <vt:i4>282</vt:i4>
      </vt:variant>
      <vt:variant>
        <vt:i4>0</vt:i4>
      </vt:variant>
      <vt:variant>
        <vt:i4>5</vt:i4>
      </vt:variant>
      <vt:variant>
        <vt:lpwstr>https://www.ncbi.nlm.nih.gov/pubmed/?term=grenda r%5bauthor%5d&amp;cauthor=true&amp;cauthor_uid=16565870</vt:lpwstr>
      </vt:variant>
      <vt:variant>
        <vt:lpwstr/>
      </vt:variant>
      <vt:variant>
        <vt:i4>3735572</vt:i4>
      </vt:variant>
      <vt:variant>
        <vt:i4>279</vt:i4>
      </vt:variant>
      <vt:variant>
        <vt:i4>0</vt:i4>
      </vt:variant>
      <vt:variant>
        <vt:i4>5</vt:i4>
      </vt:variant>
      <vt:variant>
        <vt:lpwstr>https://www.ncbi.nlm.nih.gov/pubmed/?term=wawer zt%5bauthor%5d&amp;cauthor=true&amp;cauthor_uid=16565870</vt:lpwstr>
      </vt:variant>
      <vt:variant>
        <vt:lpwstr/>
      </vt:variant>
      <vt:variant>
        <vt:i4>7536726</vt:i4>
      </vt:variant>
      <vt:variant>
        <vt:i4>276</vt:i4>
      </vt:variant>
      <vt:variant>
        <vt:i4>0</vt:i4>
      </vt:variant>
      <vt:variant>
        <vt:i4>5</vt:i4>
      </vt:variant>
      <vt:variant>
        <vt:lpwstr>https://www.ncbi.nlm.nih.gov/pubmed/?term=wierzbicka a%5bauthor%5d&amp;cauthor=true&amp;cauthor_uid=16565870</vt:lpwstr>
      </vt:variant>
      <vt:variant>
        <vt:lpwstr/>
      </vt:variant>
      <vt:variant>
        <vt:i4>6619228</vt:i4>
      </vt:variant>
      <vt:variant>
        <vt:i4>273</vt:i4>
      </vt:variant>
      <vt:variant>
        <vt:i4>0</vt:i4>
      </vt:variant>
      <vt:variant>
        <vt:i4>5</vt:i4>
      </vt:variant>
      <vt:variant>
        <vt:lpwstr>https://www.ncbi.nlm.nih.gov/pubmed/?term=daszkowska j%5bauthor%5d&amp;cauthor=true&amp;cauthor_uid=16565870</vt:lpwstr>
      </vt:variant>
      <vt:variant>
        <vt:lpwstr/>
      </vt:variant>
      <vt:variant>
        <vt:i4>1638487</vt:i4>
      </vt:variant>
      <vt:variant>
        <vt:i4>270</vt:i4>
      </vt:variant>
      <vt:variant>
        <vt:i4>0</vt:i4>
      </vt:variant>
      <vt:variant>
        <vt:i4>5</vt:i4>
      </vt:variant>
      <vt:variant>
        <vt:lpwstr>https://www.ncbi.nlm.nih.gov/pubmed/?term=antoniewicz j%5bauthor%5d&amp;cauthor=true&amp;cauthor_uid=16565870</vt:lpwstr>
      </vt:variant>
      <vt:variant>
        <vt:lpwstr/>
      </vt:variant>
      <vt:variant>
        <vt:i4>7405621</vt:i4>
      </vt:variant>
      <vt:variant>
        <vt:i4>267</vt:i4>
      </vt:variant>
      <vt:variant>
        <vt:i4>0</vt:i4>
      </vt:variant>
      <vt:variant>
        <vt:i4>5</vt:i4>
      </vt:variant>
      <vt:variant>
        <vt:lpwstr>https://www.ncbi.nlm.nih.gov/pubmed/?term=sladowska j%5bauthor%5d&amp;cauthor=true&amp;cauthor_uid=16565870</vt:lpwstr>
      </vt:variant>
      <vt:variant>
        <vt:lpwstr/>
      </vt:variant>
      <vt:variant>
        <vt:i4>7864353</vt:i4>
      </vt:variant>
      <vt:variant>
        <vt:i4>264</vt:i4>
      </vt:variant>
      <vt:variant>
        <vt:i4>0</vt:i4>
      </vt:variant>
      <vt:variant>
        <vt:i4>5</vt:i4>
      </vt:variant>
      <vt:variant>
        <vt:lpwstr>https://www.ncbi.nlm.nih.gov/pubmed/?term=niemirska a%5bauthor%5d&amp;cauthor=true&amp;cauthor_uid=16565870</vt:lpwstr>
      </vt:variant>
      <vt:variant>
        <vt:lpwstr/>
      </vt:variant>
      <vt:variant>
        <vt:i4>7602253</vt:i4>
      </vt:variant>
      <vt:variant>
        <vt:i4>261</vt:i4>
      </vt:variant>
      <vt:variant>
        <vt:i4>0</vt:i4>
      </vt:variant>
      <vt:variant>
        <vt:i4>5</vt:i4>
      </vt:variant>
      <vt:variant>
        <vt:lpwstr>https://www.ncbi.nlm.nih.gov/pubmed/?term=litwin m%5bauthor%5d&amp;cauthor=true&amp;cauthor_uid=16565870</vt:lpwstr>
      </vt:variant>
      <vt:variant>
        <vt:lpwstr/>
      </vt:variant>
      <vt:variant>
        <vt:i4>3866632</vt:i4>
      </vt:variant>
      <vt:variant>
        <vt:i4>258</vt:i4>
      </vt:variant>
      <vt:variant>
        <vt:i4>0</vt:i4>
      </vt:variant>
      <vt:variant>
        <vt:i4>5</vt:i4>
      </vt:variant>
      <vt:variant>
        <vt:lpwstr>https://www.ncbi.nlm.nih.gov/pubmed/?term=laitinen+tt%2c+pahkala+k%2c+magnussen+cg%2c+viikari+js%2c+oikonen+m%2c+taittonen+l%2c+et+al.+ideal+cardiovascular+health+in+childhood+and+cardiometabolic+outcomes+in+adulthood%3a+the+cardiovascular+risk+in+young+finns+study.+circulation.+2012</vt:lpwstr>
      </vt:variant>
      <vt:variant>
        <vt:lpwstr/>
      </vt:variant>
      <vt:variant>
        <vt:i4>1245277</vt:i4>
      </vt:variant>
      <vt:variant>
        <vt:i4>255</vt:i4>
      </vt:variant>
      <vt:variant>
        <vt:i4>0</vt:i4>
      </vt:variant>
      <vt:variant>
        <vt:i4>5</vt:i4>
      </vt:variant>
      <vt:variant>
        <vt:lpwstr>https://www.ncbi.nlm.nih.gov/pubmed/?term=Juonala M%5BAuthor%5D&amp;cauthor=true&amp;cauthor_uid=22452832</vt:lpwstr>
      </vt:variant>
      <vt:variant>
        <vt:lpwstr/>
      </vt:variant>
      <vt:variant>
        <vt:i4>3407872</vt:i4>
      </vt:variant>
      <vt:variant>
        <vt:i4>252</vt:i4>
      </vt:variant>
      <vt:variant>
        <vt:i4>0</vt:i4>
      </vt:variant>
      <vt:variant>
        <vt:i4>5</vt:i4>
      </vt:variant>
      <vt:variant>
        <vt:lpwstr>https://www.ncbi.nlm.nih.gov/pubmed/?term=Raitakari OT%5BAuthor%5D&amp;cauthor=true&amp;cauthor_uid=22452832</vt:lpwstr>
      </vt:variant>
      <vt:variant>
        <vt:lpwstr/>
      </vt:variant>
      <vt:variant>
        <vt:i4>8323148</vt:i4>
      </vt:variant>
      <vt:variant>
        <vt:i4>249</vt:i4>
      </vt:variant>
      <vt:variant>
        <vt:i4>0</vt:i4>
      </vt:variant>
      <vt:variant>
        <vt:i4>5</vt:i4>
      </vt:variant>
      <vt:variant>
        <vt:lpwstr>https://www.ncbi.nlm.nih.gov/pubmed/?term=Lehtim%C3%A4ki T%5BAuthor%5D&amp;cauthor=true&amp;cauthor_uid=22452832</vt:lpwstr>
      </vt:variant>
      <vt:variant>
        <vt:lpwstr/>
      </vt:variant>
      <vt:variant>
        <vt:i4>7209013</vt:i4>
      </vt:variant>
      <vt:variant>
        <vt:i4>246</vt:i4>
      </vt:variant>
      <vt:variant>
        <vt:i4>0</vt:i4>
      </vt:variant>
      <vt:variant>
        <vt:i4>5</vt:i4>
      </vt:variant>
      <vt:variant>
        <vt:lpwstr>https://www.ncbi.nlm.nih.gov/pubmed/?term=K%C3%A4h%C3%B6nen M%5BAuthor%5D&amp;cauthor=true&amp;cauthor_uid=22452832</vt:lpwstr>
      </vt:variant>
      <vt:variant>
        <vt:lpwstr/>
      </vt:variant>
      <vt:variant>
        <vt:i4>852020</vt:i4>
      </vt:variant>
      <vt:variant>
        <vt:i4>243</vt:i4>
      </vt:variant>
      <vt:variant>
        <vt:i4>0</vt:i4>
      </vt:variant>
      <vt:variant>
        <vt:i4>5</vt:i4>
      </vt:variant>
      <vt:variant>
        <vt:lpwstr>https://www.ncbi.nlm.nih.gov/pubmed/?term=Laitinen T%5BAuthor%5D&amp;cauthor=true&amp;cauthor_uid=22452832</vt:lpwstr>
      </vt:variant>
      <vt:variant>
        <vt:lpwstr/>
      </vt:variant>
      <vt:variant>
        <vt:i4>4456515</vt:i4>
      </vt:variant>
      <vt:variant>
        <vt:i4>240</vt:i4>
      </vt:variant>
      <vt:variant>
        <vt:i4>0</vt:i4>
      </vt:variant>
      <vt:variant>
        <vt:i4>5</vt:i4>
      </vt:variant>
      <vt:variant>
        <vt:lpwstr>https://www.ncbi.nlm.nih.gov/pubmed/?term=Hutri-K%C3%A4h%C3%B6nen N%5BAuthor%5D&amp;cauthor=true&amp;cauthor_uid=22452832</vt:lpwstr>
      </vt:variant>
      <vt:variant>
        <vt:lpwstr/>
      </vt:variant>
      <vt:variant>
        <vt:i4>458833</vt:i4>
      </vt:variant>
      <vt:variant>
        <vt:i4>237</vt:i4>
      </vt:variant>
      <vt:variant>
        <vt:i4>0</vt:i4>
      </vt:variant>
      <vt:variant>
        <vt:i4>5</vt:i4>
      </vt:variant>
      <vt:variant>
        <vt:lpwstr>https://www.ncbi.nlm.nih.gov/pubmed/?term=Jokinen E%5BAuthor%5D&amp;cauthor=true&amp;cauthor_uid=22452832</vt:lpwstr>
      </vt:variant>
      <vt:variant>
        <vt:lpwstr/>
      </vt:variant>
      <vt:variant>
        <vt:i4>393253</vt:i4>
      </vt:variant>
      <vt:variant>
        <vt:i4>234</vt:i4>
      </vt:variant>
      <vt:variant>
        <vt:i4>0</vt:i4>
      </vt:variant>
      <vt:variant>
        <vt:i4>5</vt:i4>
      </vt:variant>
      <vt:variant>
        <vt:lpwstr>https://www.ncbi.nlm.nih.gov/pubmed/?term=Mikkil%C3%A4 V%5BAuthor%5D&amp;cauthor=true&amp;cauthor_uid=22452832</vt:lpwstr>
      </vt:variant>
      <vt:variant>
        <vt:lpwstr/>
      </vt:variant>
      <vt:variant>
        <vt:i4>8060976</vt:i4>
      </vt:variant>
      <vt:variant>
        <vt:i4>231</vt:i4>
      </vt:variant>
      <vt:variant>
        <vt:i4>0</vt:i4>
      </vt:variant>
      <vt:variant>
        <vt:i4>5</vt:i4>
      </vt:variant>
      <vt:variant>
        <vt:lpwstr>https://www.ncbi.nlm.nih.gov/pubmed/?term=Taittonen L%5BAuthor%5D&amp;cauthor=true&amp;cauthor_uid=22452832</vt:lpwstr>
      </vt:variant>
      <vt:variant>
        <vt:lpwstr/>
      </vt:variant>
      <vt:variant>
        <vt:i4>458844</vt:i4>
      </vt:variant>
      <vt:variant>
        <vt:i4>228</vt:i4>
      </vt:variant>
      <vt:variant>
        <vt:i4>0</vt:i4>
      </vt:variant>
      <vt:variant>
        <vt:i4>5</vt:i4>
      </vt:variant>
      <vt:variant>
        <vt:lpwstr>https://www.ncbi.nlm.nih.gov/pubmed/?term=Oikonen M%5BAuthor%5D&amp;cauthor=true&amp;cauthor_uid=22452832</vt:lpwstr>
      </vt:variant>
      <vt:variant>
        <vt:lpwstr/>
      </vt:variant>
      <vt:variant>
        <vt:i4>5177440</vt:i4>
      </vt:variant>
      <vt:variant>
        <vt:i4>225</vt:i4>
      </vt:variant>
      <vt:variant>
        <vt:i4>0</vt:i4>
      </vt:variant>
      <vt:variant>
        <vt:i4>5</vt:i4>
      </vt:variant>
      <vt:variant>
        <vt:lpwstr>https://www.ncbi.nlm.nih.gov/pubmed/?term=Viikari JS%5BAuthor%5D&amp;cauthor=true&amp;cauthor_uid=22452832</vt:lpwstr>
      </vt:variant>
      <vt:variant>
        <vt:lpwstr/>
      </vt:variant>
      <vt:variant>
        <vt:i4>3276828</vt:i4>
      </vt:variant>
      <vt:variant>
        <vt:i4>222</vt:i4>
      </vt:variant>
      <vt:variant>
        <vt:i4>0</vt:i4>
      </vt:variant>
      <vt:variant>
        <vt:i4>5</vt:i4>
      </vt:variant>
      <vt:variant>
        <vt:lpwstr>https://www.ncbi.nlm.nih.gov/pubmed/?term=Magnussen CG%5BAuthor%5D&amp;cauthor=true&amp;cauthor_uid=22452832</vt:lpwstr>
      </vt:variant>
      <vt:variant>
        <vt:lpwstr/>
      </vt:variant>
      <vt:variant>
        <vt:i4>131142</vt:i4>
      </vt:variant>
      <vt:variant>
        <vt:i4>219</vt:i4>
      </vt:variant>
      <vt:variant>
        <vt:i4>0</vt:i4>
      </vt:variant>
      <vt:variant>
        <vt:i4>5</vt:i4>
      </vt:variant>
      <vt:variant>
        <vt:lpwstr>https://www.ncbi.nlm.nih.gov/pubmed/?term=Pahkala K%5BAuthor%5D&amp;cauthor=true&amp;cauthor_uid=22452832</vt:lpwstr>
      </vt:variant>
      <vt:variant>
        <vt:lpwstr/>
      </vt:variant>
      <vt:variant>
        <vt:i4>2424936</vt:i4>
      </vt:variant>
      <vt:variant>
        <vt:i4>216</vt:i4>
      </vt:variant>
      <vt:variant>
        <vt:i4>0</vt:i4>
      </vt:variant>
      <vt:variant>
        <vt:i4>5</vt:i4>
      </vt:variant>
      <vt:variant>
        <vt:lpwstr>https://www.ncbi.nlm.nih.gov/pubmed/?term=Laitinen TT%5BAuthor%5D&amp;cauthor=true&amp;cauthor_uid=22452832</vt:lpwstr>
      </vt:variant>
      <vt:variant>
        <vt:lpwstr/>
      </vt:variant>
      <vt:variant>
        <vt:i4>6684758</vt:i4>
      </vt:variant>
      <vt:variant>
        <vt:i4>213</vt:i4>
      </vt:variant>
      <vt:variant>
        <vt:i4>0</vt:i4>
      </vt:variant>
      <vt:variant>
        <vt:i4>5</vt:i4>
      </vt:variant>
      <vt:variant>
        <vt:lpwstr>https://www.ncbi.nlm.nih.gov/pubmed/?term=juhola+j%2c+oikonen+m%2c+magnussen+cg%2c+mikkila%cc%88+v%2c+siitonen+n%2c+jokinen+e%2c+et+al.+childhood+physical%2c+environmental%2c+and+genetic+predictors+of+adult+hypertension%3a+the+cardiovascular+risk+in+young+finns+study.+circulation.+2012</vt:lpwstr>
      </vt:variant>
      <vt:variant>
        <vt:lpwstr/>
      </vt:variant>
      <vt:variant>
        <vt:i4>3276810</vt:i4>
      </vt:variant>
      <vt:variant>
        <vt:i4>210</vt:i4>
      </vt:variant>
      <vt:variant>
        <vt:i4>0</vt:i4>
      </vt:variant>
      <vt:variant>
        <vt:i4>5</vt:i4>
      </vt:variant>
      <vt:variant>
        <vt:lpwstr>https://www.ncbi.nlm.nih.gov/pubmed/?term=Raitakari OT%5BAuthor%5D&amp;cauthor=true&amp;cauthor_uid=22718800</vt:lpwstr>
      </vt:variant>
      <vt:variant>
        <vt:lpwstr/>
      </vt:variant>
      <vt:variant>
        <vt:i4>1638491</vt:i4>
      </vt:variant>
      <vt:variant>
        <vt:i4>207</vt:i4>
      </vt:variant>
      <vt:variant>
        <vt:i4>0</vt:i4>
      </vt:variant>
      <vt:variant>
        <vt:i4>5</vt:i4>
      </vt:variant>
      <vt:variant>
        <vt:lpwstr>https://www.ncbi.nlm.nih.gov/pubmed/?term=Juonala M%5BAuthor%5D&amp;cauthor=true&amp;cauthor_uid=22718800</vt:lpwstr>
      </vt:variant>
      <vt:variant>
        <vt:lpwstr/>
      </vt:variant>
      <vt:variant>
        <vt:i4>4784234</vt:i4>
      </vt:variant>
      <vt:variant>
        <vt:i4>204</vt:i4>
      </vt:variant>
      <vt:variant>
        <vt:i4>0</vt:i4>
      </vt:variant>
      <vt:variant>
        <vt:i4>5</vt:i4>
      </vt:variant>
      <vt:variant>
        <vt:lpwstr>https://www.ncbi.nlm.nih.gov/pubmed/?term=Viikari JS%5BAuthor%5D&amp;cauthor=true&amp;cauthor_uid=22718800</vt:lpwstr>
      </vt:variant>
      <vt:variant>
        <vt:lpwstr/>
      </vt:variant>
      <vt:variant>
        <vt:i4>7929926</vt:i4>
      </vt:variant>
      <vt:variant>
        <vt:i4>201</vt:i4>
      </vt:variant>
      <vt:variant>
        <vt:i4>0</vt:i4>
      </vt:variant>
      <vt:variant>
        <vt:i4>5</vt:i4>
      </vt:variant>
      <vt:variant>
        <vt:lpwstr>https://www.ncbi.nlm.nih.gov/pubmed/?term=Lehtim%C3%A4ki T%5BAuthor%5D&amp;cauthor=true&amp;cauthor_uid=22718800</vt:lpwstr>
      </vt:variant>
      <vt:variant>
        <vt:lpwstr/>
      </vt:variant>
      <vt:variant>
        <vt:i4>5111877</vt:i4>
      </vt:variant>
      <vt:variant>
        <vt:i4>198</vt:i4>
      </vt:variant>
      <vt:variant>
        <vt:i4>0</vt:i4>
      </vt:variant>
      <vt:variant>
        <vt:i4>5</vt:i4>
      </vt:variant>
      <vt:variant>
        <vt:lpwstr>https://www.ncbi.nlm.nih.gov/pubmed/?term=Hutri-K%C3%A4h%C3%B6nen N%5BAuthor%5D&amp;cauthor=true&amp;cauthor_uid=22718800</vt:lpwstr>
      </vt:variant>
      <vt:variant>
        <vt:lpwstr/>
      </vt:variant>
      <vt:variant>
        <vt:i4>6553651</vt:i4>
      </vt:variant>
      <vt:variant>
        <vt:i4>195</vt:i4>
      </vt:variant>
      <vt:variant>
        <vt:i4>0</vt:i4>
      </vt:variant>
      <vt:variant>
        <vt:i4>5</vt:i4>
      </vt:variant>
      <vt:variant>
        <vt:lpwstr>https://www.ncbi.nlm.nih.gov/pubmed/?term=K%C3%A4h%C3%B6nen M%5BAuthor%5D&amp;cauthor=true&amp;cauthor_uid=22718800</vt:lpwstr>
      </vt:variant>
      <vt:variant>
        <vt:lpwstr/>
      </vt:variant>
      <vt:variant>
        <vt:i4>2031665</vt:i4>
      </vt:variant>
      <vt:variant>
        <vt:i4>192</vt:i4>
      </vt:variant>
      <vt:variant>
        <vt:i4>0</vt:i4>
      </vt:variant>
      <vt:variant>
        <vt:i4>5</vt:i4>
      </vt:variant>
      <vt:variant>
        <vt:lpwstr>https://www.ncbi.nlm.nih.gov/pubmed/?term=Jula A%5BAuthor%5D&amp;cauthor=true&amp;cauthor_uid=22718800</vt:lpwstr>
      </vt:variant>
      <vt:variant>
        <vt:lpwstr/>
      </vt:variant>
      <vt:variant>
        <vt:i4>8257584</vt:i4>
      </vt:variant>
      <vt:variant>
        <vt:i4>189</vt:i4>
      </vt:variant>
      <vt:variant>
        <vt:i4>0</vt:i4>
      </vt:variant>
      <vt:variant>
        <vt:i4>5</vt:i4>
      </vt:variant>
      <vt:variant>
        <vt:lpwstr>https://www.ncbi.nlm.nih.gov/pubmed/?term=Sepp%C3%A4l%C3%A4 I%5BAuthor%5D&amp;cauthor=true&amp;cauthor_uid=22718800</vt:lpwstr>
      </vt:variant>
      <vt:variant>
        <vt:lpwstr/>
      </vt:variant>
      <vt:variant>
        <vt:i4>7405622</vt:i4>
      </vt:variant>
      <vt:variant>
        <vt:i4>186</vt:i4>
      </vt:variant>
      <vt:variant>
        <vt:i4>0</vt:i4>
      </vt:variant>
      <vt:variant>
        <vt:i4>5</vt:i4>
      </vt:variant>
      <vt:variant>
        <vt:lpwstr>https://www.ncbi.nlm.nih.gov/pubmed/?term=Taittonen L%5BAuthor%5D&amp;cauthor=true&amp;cauthor_uid=22718800</vt:lpwstr>
      </vt:variant>
      <vt:variant>
        <vt:lpwstr/>
      </vt:variant>
      <vt:variant>
        <vt:i4>5898345</vt:i4>
      </vt:variant>
      <vt:variant>
        <vt:i4>183</vt:i4>
      </vt:variant>
      <vt:variant>
        <vt:i4>0</vt:i4>
      </vt:variant>
      <vt:variant>
        <vt:i4>5</vt:i4>
      </vt:variant>
      <vt:variant>
        <vt:lpwstr>https://www.ncbi.nlm.nih.gov/pubmed/?term=Gidding SS%5BAuthor%5D&amp;cauthor=true&amp;cauthor_uid=22718800</vt:lpwstr>
      </vt:variant>
      <vt:variant>
        <vt:lpwstr/>
      </vt:variant>
      <vt:variant>
        <vt:i4>6684689</vt:i4>
      </vt:variant>
      <vt:variant>
        <vt:i4>180</vt:i4>
      </vt:variant>
      <vt:variant>
        <vt:i4>0</vt:i4>
      </vt:variant>
      <vt:variant>
        <vt:i4>5</vt:i4>
      </vt:variant>
      <vt:variant>
        <vt:lpwstr>https://www.ncbi.nlm.nih.gov/pubmed/?term=W%C3%BCrtz P%5BAuthor%5D&amp;cauthor=true&amp;cauthor_uid=22718800</vt:lpwstr>
      </vt:variant>
      <vt:variant>
        <vt:lpwstr/>
      </vt:variant>
      <vt:variant>
        <vt:i4>720958</vt:i4>
      </vt:variant>
      <vt:variant>
        <vt:i4>177</vt:i4>
      </vt:variant>
      <vt:variant>
        <vt:i4>0</vt:i4>
      </vt:variant>
      <vt:variant>
        <vt:i4>5</vt:i4>
      </vt:variant>
      <vt:variant>
        <vt:lpwstr>https://www.ncbi.nlm.nih.gov/pubmed/?term=Laitinen T%5BAuthor%5D&amp;cauthor=true&amp;cauthor_uid=22718800</vt:lpwstr>
      </vt:variant>
      <vt:variant>
        <vt:lpwstr/>
      </vt:variant>
      <vt:variant>
        <vt:i4>852055</vt:i4>
      </vt:variant>
      <vt:variant>
        <vt:i4>174</vt:i4>
      </vt:variant>
      <vt:variant>
        <vt:i4>0</vt:i4>
      </vt:variant>
      <vt:variant>
        <vt:i4>5</vt:i4>
      </vt:variant>
      <vt:variant>
        <vt:lpwstr>https://www.ncbi.nlm.nih.gov/pubmed/?term=Jokinen E%5BAuthor%5D&amp;cauthor=true&amp;cauthor_uid=22718800</vt:lpwstr>
      </vt:variant>
      <vt:variant>
        <vt:lpwstr/>
      </vt:variant>
      <vt:variant>
        <vt:i4>1638439</vt:i4>
      </vt:variant>
      <vt:variant>
        <vt:i4>171</vt:i4>
      </vt:variant>
      <vt:variant>
        <vt:i4>0</vt:i4>
      </vt:variant>
      <vt:variant>
        <vt:i4>5</vt:i4>
      </vt:variant>
      <vt:variant>
        <vt:lpwstr>https://www.ncbi.nlm.nih.gov/pubmed/?term=Siitonen N%5BAuthor%5D&amp;cauthor=true&amp;cauthor_uid=22718800</vt:lpwstr>
      </vt:variant>
      <vt:variant>
        <vt:lpwstr/>
      </vt:variant>
      <vt:variant>
        <vt:i4>47</vt:i4>
      </vt:variant>
      <vt:variant>
        <vt:i4>168</vt:i4>
      </vt:variant>
      <vt:variant>
        <vt:i4>0</vt:i4>
      </vt:variant>
      <vt:variant>
        <vt:i4>5</vt:i4>
      </vt:variant>
      <vt:variant>
        <vt:lpwstr>https://www.ncbi.nlm.nih.gov/pubmed/?term=Mikkil%C3%A4 V%5BAuthor%5D&amp;cauthor=true&amp;cauthor_uid=22718800</vt:lpwstr>
      </vt:variant>
      <vt:variant>
        <vt:lpwstr/>
      </vt:variant>
      <vt:variant>
        <vt:i4>3407894</vt:i4>
      </vt:variant>
      <vt:variant>
        <vt:i4>165</vt:i4>
      </vt:variant>
      <vt:variant>
        <vt:i4>0</vt:i4>
      </vt:variant>
      <vt:variant>
        <vt:i4>5</vt:i4>
      </vt:variant>
      <vt:variant>
        <vt:lpwstr>https://www.ncbi.nlm.nih.gov/pubmed/?term=Magnussen CG%5BAuthor%5D&amp;cauthor=true&amp;cauthor_uid=22718800</vt:lpwstr>
      </vt:variant>
      <vt:variant>
        <vt:lpwstr/>
      </vt:variant>
      <vt:variant>
        <vt:i4>852058</vt:i4>
      </vt:variant>
      <vt:variant>
        <vt:i4>162</vt:i4>
      </vt:variant>
      <vt:variant>
        <vt:i4>0</vt:i4>
      </vt:variant>
      <vt:variant>
        <vt:i4>5</vt:i4>
      </vt:variant>
      <vt:variant>
        <vt:lpwstr>https://www.ncbi.nlm.nih.gov/pubmed/?term=Oikonen M%5BAuthor%5D&amp;cauthor=true&amp;cauthor_uid=22718800</vt:lpwstr>
      </vt:variant>
      <vt:variant>
        <vt:lpwstr/>
      </vt:variant>
      <vt:variant>
        <vt:i4>8061017</vt:i4>
      </vt:variant>
      <vt:variant>
        <vt:i4>159</vt:i4>
      </vt:variant>
      <vt:variant>
        <vt:i4>0</vt:i4>
      </vt:variant>
      <vt:variant>
        <vt:i4>5</vt:i4>
      </vt:variant>
      <vt:variant>
        <vt:lpwstr>https://www.ncbi.nlm.nih.gov/pubmed/?term=Juhola J%5BAuthor%5D&amp;cauthor=true&amp;cauthor_uid=22718800</vt:lpwstr>
      </vt:variant>
      <vt:variant>
        <vt:lpwstr/>
      </vt:variant>
      <vt:variant>
        <vt:i4>6291530</vt:i4>
      </vt:variant>
      <vt:variant>
        <vt:i4>156</vt:i4>
      </vt:variant>
      <vt:variant>
        <vt:i4>0</vt:i4>
      </vt:variant>
      <vt:variant>
        <vt:i4>5</vt:i4>
      </vt:variant>
      <vt:variant>
        <vt:lpwstr>https://www.ncbi.nlm.nih.gov/pubmed/?term=juhola+j%2c+magnussen+cg%2c+berenson+gs%2c+et+al.+combined+effects+of+child+and+adult+elevated+blood+pressure+on+subclinical+atherosclero-+sis%3a+the+international+childhood+cardiovascular+cohort+consortium.+circulation.+2013</vt:lpwstr>
      </vt:variant>
      <vt:variant>
        <vt:lpwstr/>
      </vt:variant>
      <vt:variant>
        <vt:i4>1441879</vt:i4>
      </vt:variant>
      <vt:variant>
        <vt:i4>153</vt:i4>
      </vt:variant>
      <vt:variant>
        <vt:i4>0</vt:i4>
      </vt:variant>
      <vt:variant>
        <vt:i4>5</vt:i4>
      </vt:variant>
      <vt:variant>
        <vt:lpwstr>https://www.ncbi.nlm.nih.gov/pubmed/?term=juonala m%5bauthor%5d&amp;cauthor=true&amp;cauthor_uid=23780579</vt:lpwstr>
      </vt:variant>
      <vt:variant>
        <vt:lpwstr/>
      </vt:variant>
      <vt:variant>
        <vt:i4>4063237</vt:i4>
      </vt:variant>
      <vt:variant>
        <vt:i4>150</vt:i4>
      </vt:variant>
      <vt:variant>
        <vt:i4>0</vt:i4>
      </vt:variant>
      <vt:variant>
        <vt:i4>5</vt:i4>
      </vt:variant>
      <vt:variant>
        <vt:lpwstr>https://www.ncbi.nlm.nih.gov/pubmed/?term=raitakari ot%5bauthor%5d&amp;cauthor=true&amp;cauthor_uid=23780579</vt:lpwstr>
      </vt:variant>
      <vt:variant>
        <vt:lpwstr/>
      </vt:variant>
      <vt:variant>
        <vt:i4>7536676</vt:i4>
      </vt:variant>
      <vt:variant>
        <vt:i4>147</vt:i4>
      </vt:variant>
      <vt:variant>
        <vt:i4>0</vt:i4>
      </vt:variant>
      <vt:variant>
        <vt:i4>5</vt:i4>
      </vt:variant>
      <vt:variant>
        <vt:lpwstr>https://www.ncbi.nlm.nih.gov/pubmed/?term=dwyer t%5bauthor%5d&amp;cauthor=true&amp;cauthor_uid=23780579</vt:lpwstr>
      </vt:variant>
      <vt:variant>
        <vt:lpwstr/>
      </vt:variant>
      <vt:variant>
        <vt:i4>6422563</vt:i4>
      </vt:variant>
      <vt:variant>
        <vt:i4>144</vt:i4>
      </vt:variant>
      <vt:variant>
        <vt:i4>0</vt:i4>
      </vt:variant>
      <vt:variant>
        <vt:i4>5</vt:i4>
      </vt:variant>
      <vt:variant>
        <vt:lpwstr>https://www.ncbi.nlm.nih.gov/pubmed/?term=viikari jsa%5bauthor%5d&amp;cauthor=true&amp;cauthor_uid=23780579</vt:lpwstr>
      </vt:variant>
      <vt:variant>
        <vt:lpwstr/>
      </vt:variant>
      <vt:variant>
        <vt:i4>7929921</vt:i4>
      </vt:variant>
      <vt:variant>
        <vt:i4>141</vt:i4>
      </vt:variant>
      <vt:variant>
        <vt:i4>0</vt:i4>
      </vt:variant>
      <vt:variant>
        <vt:i4>5</vt:i4>
      </vt:variant>
      <vt:variant>
        <vt:lpwstr>https://www.ncbi.nlm.nih.gov/pubmed/?term=urbina e%5bauthor%5d&amp;cauthor=true&amp;cauthor_uid=23780579</vt:lpwstr>
      </vt:variant>
      <vt:variant>
        <vt:lpwstr/>
      </vt:variant>
      <vt:variant>
        <vt:i4>8257594</vt:i4>
      </vt:variant>
      <vt:variant>
        <vt:i4>138</vt:i4>
      </vt:variant>
      <vt:variant>
        <vt:i4>0</vt:i4>
      </vt:variant>
      <vt:variant>
        <vt:i4>5</vt:i4>
      </vt:variant>
      <vt:variant>
        <vt:lpwstr>https://www.ncbi.nlm.nih.gov/pubmed/?term=taittonen l%5bauthor%5d&amp;cauthor=true&amp;cauthor_uid=23780579</vt:lpwstr>
      </vt:variant>
      <vt:variant>
        <vt:lpwstr/>
      </vt:variant>
      <vt:variant>
        <vt:i4>7012415</vt:i4>
      </vt:variant>
      <vt:variant>
        <vt:i4>135</vt:i4>
      </vt:variant>
      <vt:variant>
        <vt:i4>0</vt:i4>
      </vt:variant>
      <vt:variant>
        <vt:i4>5</vt:i4>
      </vt:variant>
      <vt:variant>
        <vt:lpwstr>https://www.ncbi.nlm.nih.gov/pubmed/?term=k%c3%a4h%c3%b6nen m%5bauthor%5d&amp;cauthor=true&amp;cauthor_uid=23780579</vt:lpwstr>
      </vt:variant>
      <vt:variant>
        <vt:lpwstr/>
      </vt:variant>
      <vt:variant>
        <vt:i4>1507390</vt:i4>
      </vt:variant>
      <vt:variant>
        <vt:i4>132</vt:i4>
      </vt:variant>
      <vt:variant>
        <vt:i4>0</vt:i4>
      </vt:variant>
      <vt:variant>
        <vt:i4>5</vt:i4>
      </vt:variant>
      <vt:variant>
        <vt:lpwstr>https://www.ncbi.nlm.nih.gov/pubmed/?term=chen w%5bauthor%5d&amp;cauthor=true&amp;cauthor_uid=23780579</vt:lpwstr>
      </vt:variant>
      <vt:variant>
        <vt:lpwstr/>
      </vt:variant>
      <vt:variant>
        <vt:i4>2490377</vt:i4>
      </vt:variant>
      <vt:variant>
        <vt:i4>129</vt:i4>
      </vt:variant>
      <vt:variant>
        <vt:i4>0</vt:i4>
      </vt:variant>
      <vt:variant>
        <vt:i4>5</vt:i4>
      </vt:variant>
      <vt:variant>
        <vt:lpwstr>https://www.ncbi.nlm.nih.gov/pubmed/?term=davis ph%5bauthor%5d&amp;cauthor=true&amp;cauthor_uid=23780579</vt:lpwstr>
      </vt:variant>
      <vt:variant>
        <vt:lpwstr/>
      </vt:variant>
      <vt:variant>
        <vt:i4>5242999</vt:i4>
      </vt:variant>
      <vt:variant>
        <vt:i4>126</vt:i4>
      </vt:variant>
      <vt:variant>
        <vt:i4>0</vt:i4>
      </vt:variant>
      <vt:variant>
        <vt:i4>5</vt:i4>
      </vt:variant>
      <vt:variant>
        <vt:lpwstr>https://www.ncbi.nlm.nih.gov/pubmed/?term=daniels sr%5bauthor%5d&amp;cauthor=true&amp;cauthor_uid=23780579</vt:lpwstr>
      </vt:variant>
      <vt:variant>
        <vt:lpwstr/>
      </vt:variant>
      <vt:variant>
        <vt:i4>4522014</vt:i4>
      </vt:variant>
      <vt:variant>
        <vt:i4>123</vt:i4>
      </vt:variant>
      <vt:variant>
        <vt:i4>0</vt:i4>
      </vt:variant>
      <vt:variant>
        <vt:i4>5</vt:i4>
      </vt:variant>
      <vt:variant>
        <vt:lpwstr>https://www.ncbi.nlm.nih.gov/pubmed/?term=srinivasan sr%5bauthor%5d&amp;cauthor=true&amp;cauthor_uid=23780579</vt:lpwstr>
      </vt:variant>
      <vt:variant>
        <vt:lpwstr/>
      </vt:variant>
      <vt:variant>
        <vt:i4>3080202</vt:i4>
      </vt:variant>
      <vt:variant>
        <vt:i4>120</vt:i4>
      </vt:variant>
      <vt:variant>
        <vt:i4>0</vt:i4>
      </vt:variant>
      <vt:variant>
        <vt:i4>5</vt:i4>
      </vt:variant>
      <vt:variant>
        <vt:lpwstr>https://www.ncbi.nlm.nih.gov/pubmed/?term=sabin ma%5bauthor%5d&amp;cauthor=true&amp;cauthor_uid=23780579</vt:lpwstr>
      </vt:variant>
      <vt:variant>
        <vt:lpwstr/>
      </vt:variant>
      <vt:variant>
        <vt:i4>3211279</vt:i4>
      </vt:variant>
      <vt:variant>
        <vt:i4>117</vt:i4>
      </vt:variant>
      <vt:variant>
        <vt:i4>0</vt:i4>
      </vt:variant>
      <vt:variant>
        <vt:i4>5</vt:i4>
      </vt:variant>
      <vt:variant>
        <vt:lpwstr>https://www.ncbi.nlm.nih.gov/pubmed/?term=burns tl%5bauthor%5d&amp;cauthor=true&amp;cauthor_uid=23780579</vt:lpwstr>
      </vt:variant>
      <vt:variant>
        <vt:lpwstr/>
      </vt:variant>
      <vt:variant>
        <vt:i4>786464</vt:i4>
      </vt:variant>
      <vt:variant>
        <vt:i4>114</vt:i4>
      </vt:variant>
      <vt:variant>
        <vt:i4>0</vt:i4>
      </vt:variant>
      <vt:variant>
        <vt:i4>5</vt:i4>
      </vt:variant>
      <vt:variant>
        <vt:lpwstr>https://www.ncbi.nlm.nih.gov/pubmed/?term=venn a%5bauthor%5d&amp;cauthor=true&amp;cauthor_uid=23780579</vt:lpwstr>
      </vt:variant>
      <vt:variant>
        <vt:lpwstr/>
      </vt:variant>
      <vt:variant>
        <vt:i4>3866749</vt:i4>
      </vt:variant>
      <vt:variant>
        <vt:i4>111</vt:i4>
      </vt:variant>
      <vt:variant>
        <vt:i4>0</vt:i4>
      </vt:variant>
      <vt:variant>
        <vt:i4>5</vt:i4>
      </vt:variant>
      <vt:variant>
        <vt:lpwstr>https://www.ncbi.nlm.nih.gov/pubmed/?term=berenson gs%5bauthor%5d&amp;cauthor=true&amp;cauthor_uid=23780579</vt:lpwstr>
      </vt:variant>
      <vt:variant>
        <vt:lpwstr/>
      </vt:variant>
      <vt:variant>
        <vt:i4>3670041</vt:i4>
      </vt:variant>
      <vt:variant>
        <vt:i4>108</vt:i4>
      </vt:variant>
      <vt:variant>
        <vt:i4>0</vt:i4>
      </vt:variant>
      <vt:variant>
        <vt:i4>5</vt:i4>
      </vt:variant>
      <vt:variant>
        <vt:lpwstr>https://www.ncbi.nlm.nih.gov/pubmed/?term=magnussen cg%5bauthor%5d&amp;cauthor=true&amp;cauthor_uid=23780579</vt:lpwstr>
      </vt:variant>
      <vt:variant>
        <vt:lpwstr/>
      </vt:variant>
      <vt:variant>
        <vt:i4>7798870</vt:i4>
      </vt:variant>
      <vt:variant>
        <vt:i4>105</vt:i4>
      </vt:variant>
      <vt:variant>
        <vt:i4>0</vt:i4>
      </vt:variant>
      <vt:variant>
        <vt:i4>5</vt:i4>
      </vt:variant>
      <vt:variant>
        <vt:lpwstr>https://www.ncbi.nlm.nih.gov/pubmed/?term=juhola j%5bauthor%5d&amp;cauthor=true&amp;cauthor_uid=23780579</vt:lpwstr>
      </vt:variant>
      <vt:variant>
        <vt:lpwstr/>
      </vt:variant>
      <vt:variant>
        <vt:i4>4915239</vt:i4>
      </vt:variant>
      <vt:variant>
        <vt:i4>102</vt:i4>
      </vt:variant>
      <vt:variant>
        <vt:i4>0</vt:i4>
      </vt:variant>
      <vt:variant>
        <vt:i4>5</vt:i4>
      </vt:variant>
      <vt:variant>
        <vt:lpwstr>https://www.ncbi.nlm.nih.gov/pubmed/?term=erlingsdottir+a%2c+indridason+os%2c+thorvaldsson+o%2c+edvardsson+vo.+blood+pressure+in+children+and+target-organ+damage+later+in+life.+pediatr+nephrol+2010</vt:lpwstr>
      </vt:variant>
      <vt:variant>
        <vt:lpwstr/>
      </vt:variant>
      <vt:variant>
        <vt:i4>4587520</vt:i4>
      </vt:variant>
      <vt:variant>
        <vt:i4>99</vt:i4>
      </vt:variant>
      <vt:variant>
        <vt:i4>0</vt:i4>
      </vt:variant>
      <vt:variant>
        <vt:i4>5</vt:i4>
      </vt:variant>
      <vt:variant>
        <vt:lpwstr>https://www.ncbi.nlm.nih.gov/pubmed/?term=edvardsson vo%5bauthor%5d&amp;cauthor=true&amp;cauthor_uid=19946710</vt:lpwstr>
      </vt:variant>
      <vt:variant>
        <vt:lpwstr/>
      </vt:variant>
      <vt:variant>
        <vt:i4>393256</vt:i4>
      </vt:variant>
      <vt:variant>
        <vt:i4>96</vt:i4>
      </vt:variant>
      <vt:variant>
        <vt:i4>0</vt:i4>
      </vt:variant>
      <vt:variant>
        <vt:i4>5</vt:i4>
      </vt:variant>
      <vt:variant>
        <vt:lpwstr>https://www.ncbi.nlm.nih.gov/pubmed/?term=thorvaldsson o%5bauthor%5d&amp;cauthor=true&amp;cauthor_uid=19946710</vt:lpwstr>
      </vt:variant>
      <vt:variant>
        <vt:lpwstr/>
      </vt:variant>
      <vt:variant>
        <vt:i4>4587531</vt:i4>
      </vt:variant>
      <vt:variant>
        <vt:i4>93</vt:i4>
      </vt:variant>
      <vt:variant>
        <vt:i4>0</vt:i4>
      </vt:variant>
      <vt:variant>
        <vt:i4>5</vt:i4>
      </vt:variant>
      <vt:variant>
        <vt:lpwstr>https://www.ncbi.nlm.nih.gov/pubmed/?term=indridason os%5bauthor%5d&amp;cauthor=true&amp;cauthor_uid=19946710</vt:lpwstr>
      </vt:variant>
      <vt:variant>
        <vt:lpwstr/>
      </vt:variant>
      <vt:variant>
        <vt:i4>6881326</vt:i4>
      </vt:variant>
      <vt:variant>
        <vt:i4>90</vt:i4>
      </vt:variant>
      <vt:variant>
        <vt:i4>0</vt:i4>
      </vt:variant>
      <vt:variant>
        <vt:i4>5</vt:i4>
      </vt:variant>
      <vt:variant>
        <vt:lpwstr>https://www.ncbi.nlm.nih.gov/pubmed/?term=erlingsdottir a%5bauthor%5d&amp;cauthor=true&amp;cauthor_uid=19946710</vt:lpwstr>
      </vt:variant>
      <vt:variant>
        <vt:lpwstr/>
      </vt:variant>
      <vt:variant>
        <vt:i4>81</vt:i4>
      </vt:variant>
      <vt:variant>
        <vt:i4>87</vt:i4>
      </vt:variant>
      <vt:variant>
        <vt:i4>0</vt:i4>
      </vt:variant>
      <vt:variant>
        <vt:i4>5</vt:i4>
      </vt:variant>
      <vt:variant>
        <vt:lpwstr>https://www.ncbi.nlm.nih.gov/pubmed/?term=daniels+sr%2c+loggie+jm%2c+khoury+p%2c+kimball+tr.+left+ventricular+geometry+and+severe+left+ventricular+hypertrophy+in+children+and+adolescents+with+essential+hypertension.+circulation+1998</vt:lpwstr>
      </vt:variant>
      <vt:variant>
        <vt:lpwstr/>
      </vt:variant>
      <vt:variant>
        <vt:i4>6488175</vt:i4>
      </vt:variant>
      <vt:variant>
        <vt:i4>84</vt:i4>
      </vt:variant>
      <vt:variant>
        <vt:i4>0</vt:i4>
      </vt:variant>
      <vt:variant>
        <vt:i4>5</vt:i4>
      </vt:variant>
      <vt:variant>
        <vt:lpwstr>https://www.ncbi.nlm.nih.gov/pubmed/?term=kimball tr%5bauthor%5d&amp;cauthor=true&amp;cauthor_uid=9609083</vt:lpwstr>
      </vt:variant>
      <vt:variant>
        <vt:lpwstr/>
      </vt:variant>
      <vt:variant>
        <vt:i4>4325446</vt:i4>
      </vt:variant>
      <vt:variant>
        <vt:i4>81</vt:i4>
      </vt:variant>
      <vt:variant>
        <vt:i4>0</vt:i4>
      </vt:variant>
      <vt:variant>
        <vt:i4>5</vt:i4>
      </vt:variant>
      <vt:variant>
        <vt:lpwstr>https://www.ncbi.nlm.nih.gov/pubmed/?term=khoury p%5bauthor%5d&amp;cauthor=true&amp;cauthor_uid=9609083</vt:lpwstr>
      </vt:variant>
      <vt:variant>
        <vt:lpwstr/>
      </vt:variant>
      <vt:variant>
        <vt:i4>5111840</vt:i4>
      </vt:variant>
      <vt:variant>
        <vt:i4>78</vt:i4>
      </vt:variant>
      <vt:variant>
        <vt:i4>0</vt:i4>
      </vt:variant>
      <vt:variant>
        <vt:i4>5</vt:i4>
      </vt:variant>
      <vt:variant>
        <vt:lpwstr>https://www.ncbi.nlm.nih.gov/pubmed/?term=loggie jm%5bauthor%5d&amp;cauthor=true&amp;cauthor_uid=9609083</vt:lpwstr>
      </vt:variant>
      <vt:variant>
        <vt:lpwstr/>
      </vt:variant>
      <vt:variant>
        <vt:i4>6291583</vt:i4>
      </vt:variant>
      <vt:variant>
        <vt:i4>75</vt:i4>
      </vt:variant>
      <vt:variant>
        <vt:i4>0</vt:i4>
      </vt:variant>
      <vt:variant>
        <vt:i4>5</vt:i4>
      </vt:variant>
      <vt:variant>
        <vt:lpwstr>https://www.ncbi.nlm.nih.gov/pubmed/?term=daniels sr%5bauthor%5d&amp;cauthor=true&amp;cauthor_uid=9609083</vt:lpwstr>
      </vt:variant>
      <vt:variant>
        <vt:lpwstr/>
      </vt:variant>
      <vt:variant>
        <vt:i4>393302</vt:i4>
      </vt:variant>
      <vt:variant>
        <vt:i4>72</vt:i4>
      </vt:variant>
      <vt:variant>
        <vt:i4>0</vt:i4>
      </vt:variant>
      <vt:variant>
        <vt:i4>5</vt:i4>
      </vt:variant>
      <vt:variant>
        <vt:lpwstr>https://www.ncbi.nlm.nih.gov/pubmed/18559702</vt:lpwstr>
      </vt:variant>
      <vt:variant>
        <vt:lpwstr/>
      </vt:variant>
      <vt:variant>
        <vt:i4>6619175</vt:i4>
      </vt:variant>
      <vt:variant>
        <vt:i4>69</vt:i4>
      </vt:variant>
      <vt:variant>
        <vt:i4>0</vt:i4>
      </vt:variant>
      <vt:variant>
        <vt:i4>5</vt:i4>
      </vt:variant>
      <vt:variant>
        <vt:lpwstr>https://www-ncbi-nlm-nih-gov.offcampus.dam.unito.it/pubmed/?term=description+of+antihypertensive+medication+use+in+a+pediatric+practice%3a+single+and+multiple+antihypertensive+medication+therapy</vt:lpwstr>
      </vt:variant>
      <vt:variant>
        <vt:lpwstr/>
      </vt:variant>
      <vt:variant>
        <vt:i4>5505119</vt:i4>
      </vt:variant>
      <vt:variant>
        <vt:i4>66</vt:i4>
      </vt:variant>
      <vt:variant>
        <vt:i4>0</vt:i4>
      </vt:variant>
      <vt:variant>
        <vt:i4>5</vt:i4>
      </vt:variant>
      <vt:variant>
        <vt:lpwstr>https://www-ncbi-nlm-nih-gov.offcampus.dam.unito.it/pubmed/?term=baker-smith cm%5bauthor%5d&amp;cauthor=true&amp;cauthor_uid=27481566</vt:lpwstr>
      </vt:variant>
      <vt:variant>
        <vt:lpwstr/>
      </vt:variant>
      <vt:variant>
        <vt:i4>8257587</vt:i4>
      </vt:variant>
      <vt:variant>
        <vt:i4>63</vt:i4>
      </vt:variant>
      <vt:variant>
        <vt:i4>0</vt:i4>
      </vt:variant>
      <vt:variant>
        <vt:i4>5</vt:i4>
      </vt:variant>
      <vt:variant>
        <vt:lpwstr>https://www-ncbi-nlm-nih-gov.offcampus.dam.unito.it/pubmed/?term=jinadu l%5bauthor%5d&amp;cauthor=true&amp;cauthor_uid=27481566</vt:lpwstr>
      </vt:variant>
      <vt:variant>
        <vt:lpwstr/>
      </vt:variant>
      <vt:variant>
        <vt:i4>262177</vt:i4>
      </vt:variant>
      <vt:variant>
        <vt:i4>60</vt:i4>
      </vt:variant>
      <vt:variant>
        <vt:i4>0</vt:i4>
      </vt:variant>
      <vt:variant>
        <vt:i4>5</vt:i4>
      </vt:variant>
      <vt:variant>
        <vt:lpwstr>https://www-ncbi-nlm-nih-gov.offcampus.dam.unito.it/pubmed/?term=himes c%5bauthor%5d&amp;cauthor=true&amp;cauthor_uid=27481566</vt:lpwstr>
      </vt:variant>
      <vt:variant>
        <vt:lpwstr/>
      </vt:variant>
      <vt:variant>
        <vt:i4>6488118</vt:i4>
      </vt:variant>
      <vt:variant>
        <vt:i4>57</vt:i4>
      </vt:variant>
      <vt:variant>
        <vt:i4>0</vt:i4>
      </vt:variant>
      <vt:variant>
        <vt:i4>5</vt:i4>
      </vt:variant>
      <vt:variant>
        <vt:lpwstr>https://www-ncbi-nlm-nih-gov.offcampus.dam.unito.it/pubmed/?term=gaskin p%5bauthor%5d&amp;cauthor=true&amp;cauthor_uid=27481566</vt:lpwstr>
      </vt:variant>
      <vt:variant>
        <vt:lpwstr/>
      </vt:variant>
      <vt:variant>
        <vt:i4>7602249</vt:i4>
      </vt:variant>
      <vt:variant>
        <vt:i4>54</vt:i4>
      </vt:variant>
      <vt:variant>
        <vt:i4>0</vt:i4>
      </vt:variant>
      <vt:variant>
        <vt:i4>5</vt:i4>
      </vt:variant>
      <vt:variant>
        <vt:lpwstr>https://www-ncbi-nlm-nih-gov.offcampus.dam.unito.it/pubmed/?term=mendley s%5bauthor%5d&amp;cauthor=true&amp;cauthor_uid=27481566</vt:lpwstr>
      </vt:variant>
      <vt:variant>
        <vt:lpwstr/>
      </vt:variant>
      <vt:variant>
        <vt:i4>1638447</vt:i4>
      </vt:variant>
      <vt:variant>
        <vt:i4>51</vt:i4>
      </vt:variant>
      <vt:variant>
        <vt:i4>0</vt:i4>
      </vt:variant>
      <vt:variant>
        <vt:i4>5</vt:i4>
      </vt:variant>
      <vt:variant>
        <vt:lpwstr>https://www-ncbi-nlm-nih-gov.offcampus.dam.unito.it/pubmed/?term=binka e%5bauthor%5d&amp;cauthor=true&amp;cauthor_uid=27481566</vt:lpwstr>
      </vt:variant>
      <vt:variant>
        <vt:lpwstr/>
      </vt:variant>
      <vt:variant>
        <vt:i4>393264</vt:i4>
      </vt:variant>
      <vt:variant>
        <vt:i4>48</vt:i4>
      </vt:variant>
      <vt:variant>
        <vt:i4>0</vt:i4>
      </vt:variant>
      <vt:variant>
        <vt:i4>5</vt:i4>
      </vt:variant>
      <vt:variant>
        <vt:lpwstr>https://www.ncbi.nlm.nih.gov/pubmed/?term=assadi+f.+relation+of+left+ventricular+hypertrophy+to+microalbuminuria+and+c-reactive+protein+in+children+and+adolescents+with+essential+hypertension.+pediatr+cardiol+2008</vt:lpwstr>
      </vt:variant>
      <vt:variant>
        <vt:lpwstr/>
      </vt:variant>
      <vt:variant>
        <vt:i4>7536706</vt:i4>
      </vt:variant>
      <vt:variant>
        <vt:i4>45</vt:i4>
      </vt:variant>
      <vt:variant>
        <vt:i4>0</vt:i4>
      </vt:variant>
      <vt:variant>
        <vt:i4>5</vt:i4>
      </vt:variant>
      <vt:variant>
        <vt:lpwstr>https://www.ncbi.nlm.nih.gov/pubmed/?term=assadi f%5bauthor%5d&amp;cauthor=true&amp;cauthor_uid=18046596</vt:lpwstr>
      </vt:variant>
      <vt:variant>
        <vt:lpwstr/>
      </vt:variant>
      <vt:variant>
        <vt:i4>8323139</vt:i4>
      </vt:variant>
      <vt:variant>
        <vt:i4>42</vt:i4>
      </vt:variant>
      <vt:variant>
        <vt:i4>0</vt:i4>
      </vt:variant>
      <vt:variant>
        <vt:i4>5</vt:i4>
      </vt:variant>
      <vt:variant>
        <vt:lpwstr>https://www-ncbi-nlm-nih-gov.offcampus.dam.unito.it/pubmed/24384846</vt:lpwstr>
      </vt:variant>
      <vt:variant>
        <vt:lpwstr/>
      </vt:variant>
      <vt:variant>
        <vt:i4>4063358</vt:i4>
      </vt:variant>
      <vt:variant>
        <vt:i4>39</vt:i4>
      </vt:variant>
      <vt:variant>
        <vt:i4>0</vt:i4>
      </vt:variant>
      <vt:variant>
        <vt:i4>5</vt:i4>
      </vt:variant>
      <vt:variant>
        <vt:lpwstr>https://www-ncbi-nlm-nih-gov.offcampus.dam.unito.it/pubmed/?term=damanhori ah%5bauthor%5d&amp;cauthor=true&amp;cauthor_uid=24384846</vt:lpwstr>
      </vt:variant>
      <vt:variant>
        <vt:lpwstr/>
      </vt:variant>
      <vt:variant>
        <vt:i4>5570569</vt:i4>
      </vt:variant>
      <vt:variant>
        <vt:i4>36</vt:i4>
      </vt:variant>
      <vt:variant>
        <vt:i4>0</vt:i4>
      </vt:variant>
      <vt:variant>
        <vt:i4>5</vt:i4>
      </vt:variant>
      <vt:variant>
        <vt:lpwstr>https://www-ncbi-nlm-nih-gov.offcampus.dam.unito.it/pubmed/?term=alkhaja ak%5bauthor%5d&amp;cauthor=true&amp;cauthor_uid=24384846</vt:lpwstr>
      </vt:variant>
      <vt:variant>
        <vt:lpwstr/>
      </vt:variant>
      <vt:variant>
        <vt:i4>5898343</vt:i4>
      </vt:variant>
      <vt:variant>
        <vt:i4>33</vt:i4>
      </vt:variant>
      <vt:variant>
        <vt:i4>0</vt:i4>
      </vt:variant>
      <vt:variant>
        <vt:i4>5</vt:i4>
      </vt:variant>
      <vt:variant>
        <vt:lpwstr>https://www-ncbi-nlm-nih-gov.offcampus.dam.unito.it/pubmed/?term=sequeira rp%5bauthor%5d&amp;cauthor=true&amp;cauthor_uid=24384846</vt:lpwstr>
      </vt:variant>
      <vt:variant>
        <vt:lpwstr/>
      </vt:variant>
      <vt:variant>
        <vt:i4>1900641</vt:i4>
      </vt:variant>
      <vt:variant>
        <vt:i4>30</vt:i4>
      </vt:variant>
      <vt:variant>
        <vt:i4>0</vt:i4>
      </vt:variant>
      <vt:variant>
        <vt:i4>5</vt:i4>
      </vt:variant>
      <vt:variant>
        <vt:lpwstr>https://www-ncbi-nlm-nih-gov.offcampus.dam.unito.it/pubmed/?term=al khaja ka%5bauthor%5d&amp;cauthor=true&amp;cauthor_uid=24384846</vt:lpwstr>
      </vt:variant>
      <vt:variant>
        <vt:lpwstr/>
      </vt:variant>
      <vt:variant>
        <vt:i4>1900641</vt:i4>
      </vt:variant>
      <vt:variant>
        <vt:i4>27</vt:i4>
      </vt:variant>
      <vt:variant>
        <vt:i4>0</vt:i4>
      </vt:variant>
      <vt:variant>
        <vt:i4>5</vt:i4>
      </vt:variant>
      <vt:variant>
        <vt:lpwstr>https://www-ncbi-nlm-nih-gov.offcampus.dam.unito.it/pubmed/?term=al khaja ka%5bauthor%5d&amp;cauthor=true&amp;cauthor_uid=24384846</vt:lpwstr>
      </vt:variant>
      <vt:variant>
        <vt:lpwstr/>
      </vt:variant>
      <vt:variant>
        <vt:i4>1376295</vt:i4>
      </vt:variant>
      <vt:variant>
        <vt:i4>24</vt:i4>
      </vt:variant>
      <vt:variant>
        <vt:i4>0</vt:i4>
      </vt:variant>
      <vt:variant>
        <vt:i4>5</vt:i4>
      </vt:variant>
      <vt:variant>
        <vt:lpwstr>https://www.ncbi.nlm.nih.gov/pubmed/?term=schaefer f%5bauthor%5d&amp;cauthor=true&amp;cauthor_uid=20160654</vt:lpwstr>
      </vt:variant>
      <vt:variant>
        <vt:lpwstr/>
      </vt:variant>
      <vt:variant>
        <vt:i4>7405639</vt:i4>
      </vt:variant>
      <vt:variant>
        <vt:i4>21</vt:i4>
      </vt:variant>
      <vt:variant>
        <vt:i4>0</vt:i4>
      </vt:variant>
      <vt:variant>
        <vt:i4>5</vt:i4>
      </vt:variant>
      <vt:variant>
        <vt:lpwstr>https://www.ncbi.nlm.nih.gov/pubmed/?term=national high blood pressure education program working group on high blood pressure in children and adolescents%5bcorporate author%5d</vt:lpwstr>
      </vt:variant>
      <vt:variant>
        <vt:lpwstr/>
      </vt:variant>
      <vt:variant>
        <vt:i4>7667811</vt:i4>
      </vt:variant>
      <vt:variant>
        <vt:i4>18</vt:i4>
      </vt:variant>
      <vt:variant>
        <vt:i4>0</vt:i4>
      </vt:variant>
      <vt:variant>
        <vt:i4>5</vt:i4>
      </vt:variant>
      <vt:variant>
        <vt:lpwstr>https://www.ncbi.nlm.nih.gov/pubmed/?term=stephens+mm%2c+fox+ba%2c+maxwell+l.+therapeutic+options+for+the+treatment+of+hypertension+in+children+and+adolescents.+clin+med+insights+circ+respir+pulm+med.+2012%3b6%3a13%e2%80%9325.</vt:lpwstr>
      </vt:variant>
      <vt:variant>
        <vt:lpwstr/>
      </vt:variant>
      <vt:variant>
        <vt:i4>7798870</vt:i4>
      </vt:variant>
      <vt:variant>
        <vt:i4>15</vt:i4>
      </vt:variant>
      <vt:variant>
        <vt:i4>0</vt:i4>
      </vt:variant>
      <vt:variant>
        <vt:i4>5</vt:i4>
      </vt:variant>
      <vt:variant>
        <vt:lpwstr>https://www.ncbi.nlm.nih.gov/pubmed/?term=juhola j%5bauthor%5d&amp;cauthor=true&amp;cauthor_uid=23780579</vt:lpwstr>
      </vt:variant>
      <vt:variant>
        <vt:lpwstr/>
      </vt:variant>
      <vt:variant>
        <vt:i4>8061017</vt:i4>
      </vt:variant>
      <vt:variant>
        <vt:i4>12</vt:i4>
      </vt:variant>
      <vt:variant>
        <vt:i4>0</vt:i4>
      </vt:variant>
      <vt:variant>
        <vt:i4>5</vt:i4>
      </vt:variant>
      <vt:variant>
        <vt:lpwstr>https://www.ncbi.nlm.nih.gov/pubmed/?term=juhola j%5bauthor%5d&amp;cauthor=true&amp;cauthor_uid=22718800</vt:lpwstr>
      </vt:variant>
      <vt:variant>
        <vt:lpwstr/>
      </vt:variant>
      <vt:variant>
        <vt:i4>5177448</vt:i4>
      </vt:variant>
      <vt:variant>
        <vt:i4>9</vt:i4>
      </vt:variant>
      <vt:variant>
        <vt:i4>0</vt:i4>
      </vt:variant>
      <vt:variant>
        <vt:i4>5</vt:i4>
      </vt:variant>
      <vt:variant>
        <vt:lpwstr>https://www.ncbi.nlm.nih.gov/pubmed/?term=vik kl%5bauthor%5d&amp;cauthor=true&amp;cauthor_uid=23661719</vt:lpwstr>
      </vt:variant>
      <vt:variant>
        <vt:lpwstr/>
      </vt:variant>
      <vt:variant>
        <vt:i4>6291528</vt:i4>
      </vt:variant>
      <vt:variant>
        <vt:i4>6</vt:i4>
      </vt:variant>
      <vt:variant>
        <vt:i4>0</vt:i4>
      </vt:variant>
      <vt:variant>
        <vt:i4>5</vt:i4>
      </vt:variant>
      <vt:variant>
        <vt:lpwstr>https://www.ncbi.nlm.nih.gov/pubmed/?term=tirosh a%5bauthor%5d&amp;cauthor=true&amp;cauthor_uid=20547973</vt:lpwstr>
      </vt:variant>
      <vt:variant>
        <vt:lpwstr/>
      </vt:variant>
      <vt:variant>
        <vt:i4>4980852</vt:i4>
      </vt:variant>
      <vt:variant>
        <vt:i4>3</vt:i4>
      </vt:variant>
      <vt:variant>
        <vt:i4>0</vt:i4>
      </vt:variant>
      <vt:variant>
        <vt:i4>5</vt:i4>
      </vt:variant>
      <vt:variant>
        <vt:lpwstr>https://www.ncbi.nlm.nih.gov/pubmed/?term=toschke am%5bauthor%5d&amp;cauthor=true&amp;cauthor_uid=19839954</vt:lpwstr>
      </vt:variant>
      <vt:variant>
        <vt:lpwstr/>
      </vt:variant>
      <vt:variant>
        <vt:i4>3080257</vt:i4>
      </vt:variant>
      <vt:variant>
        <vt:i4>0</vt:i4>
      </vt:variant>
      <vt:variant>
        <vt:i4>0</vt:i4>
      </vt:variant>
      <vt:variant>
        <vt:i4>5</vt:i4>
      </vt:variant>
      <vt:variant>
        <vt:lpwstr>mailto:fabrizio.dascenzo@gmail.com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Urol</dc:title>
  <dc:subject/>
  <dc:creator>sergio</dc:creator>
  <cp:keywords/>
  <dc:description/>
  <cp:lastModifiedBy>Jacopo Burrello</cp:lastModifiedBy>
  <cp:revision>89</cp:revision>
  <cp:lastPrinted>2019-03-26T16:02:00Z</cp:lastPrinted>
  <dcterms:created xsi:type="dcterms:W3CDTF">2020-01-05T17:45:00Z</dcterms:created>
  <dcterms:modified xsi:type="dcterms:W3CDTF">2020-03-07T15:51:00Z</dcterms:modified>
</cp:coreProperties>
</file>