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8"/>
          <w:szCs w:val="48"/>
          <w:b w:val="1"/>
          <w:bCs w:val="1"/>
        </w:rPr>
        <w:t xml:space="preserve">成都工业学院</w:t>
      </w:r>
    </w:p>
    <w:p>
      <w:pPr>
        <w:jc w:val="center"/>
      </w:pPr>
      <w:r>
        <w:rPr>
          <w:rFonts w:ascii="黑体" w:hAnsi="黑体" w:eastAsia="黑体" w:cs="黑体"/>
          <w:sz w:val="32"/>
          <w:szCs w:val="32"/>
          <w:b w:val="1"/>
          <w:bCs w:val="1"/>
        </w:rPr>
        <w:t xml:space="preserve">本科毕业设计(论文)中期检查表</w:t>
      </w:r>
    </w:p>
    <w:p>
      <w:pPr>
        <w:jc w:val="both"/>
      </w:pPr>
      <w:r>
        <w:rPr>
          <w:rFonts w:ascii="宋体" w:hAnsi="宋体" w:eastAsia="宋体" w:cs="宋体"/>
          <w:sz w:val="21"/>
          <w:szCs w:val="21"/>
        </w:rPr>
        <w:t xml:space="preserve">院（系）：</w:t>
      </w:r>
      <w:r>
        <w:rPr>
          <w:rFonts w:ascii="宋体" w:hAnsi="宋体" w:eastAsia="宋体" w:cs="宋体"/>
          <w:sz w:val="24"/>
          <w:szCs w:val="24"/>
        </w:rPr>
        <w:t xml:space="preserve">计算机工程学院	</w:t>
      </w:r>
      <w:r>
        <w:rPr>
          <w:rFonts w:ascii="宋体" w:hAnsi="宋体" w:eastAsia="宋体" w:cs="宋体"/>
          <w:sz w:val="21"/>
          <w:szCs w:val="21"/>
        </w:rPr>
        <w:t xml:space="preserve">			专业：</w:t>
      </w:r>
      <w:r>
        <w:rPr>
          <w:rFonts w:ascii="宋体" w:hAnsi="宋体" w:eastAsia="宋体" w:cs="宋体"/>
          <w:sz w:val="24"/>
          <w:szCs w:val="24"/>
        </w:rPr>
        <w:t xml:space="preserve">软件工程	</w:t>
      </w:r>
    </w:p>
    <w:tbl>
      <w:tblGrid>
        <w:gridCol w:w="1000" w:type="dxa"/>
        <w:gridCol w:w="1000" w:type="dxa"/>
        <w:gridCol w:w="1500" w:type="dxa"/>
        <w:gridCol w:w="1000" w:type="dxa"/>
        <w:gridCol/>
        <w:gridCol/>
        <w:gridCol w:w="1000" w:type="dxa"/>
        <w:gridCol w:w="1500" w:type="dxa"/>
        <w:gridCol w:w="1000" w:type="dxa"/>
        <w:gridCol w:w="1500" w:type="dxa"/>
      </w:tblGrid>
      <w:tblPr>
        <w:tblStyle w:val="mytableStyle"/>
      </w:tblPr>
      <w:tr>
        <w:trPr>
          <w:trHeight w:val="200" w:hRule="atLeast"/>
        </w:trPr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学生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李政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班级</w:t>
            </w:r>
          </w:p>
        </w:tc>
        <w:tc>
          <w:tcPr>
            <w:tcW w:w="15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16软件工程1班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学号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1606031127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指导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教师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刘明纲</w:t>
            </w:r>
          </w:p>
        </w:tc>
      </w:tr>
      <w:tr>
        <w:trPr>
          <w:trHeight w:val="100" w:hRule="atLeast"/>
        </w:trPr>
        <w:tc>
          <w:tcPr>
            <w:tcW w:w="25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设计（论文）题目</w:t>
            </w:r>
          </w:p>
        </w:tc>
        <w:tc>
          <w:tcPr>
            <w:tcW w:w="7500" w:type="dxa"/>
            <w:vAlign w:val="center"/>
            <w:gridSpan w:val="7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web 云存储硬盘系统的设计与实现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目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前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已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完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成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任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务</w:t>
            </w:r>
          </w:p>
        </w:tc>
        <w:tc>
          <w:tcPr>
            <w:tcW w:w="9000" w:type="dxa"/>
            <w:vAlign w:val="center"/>
            <w:gridSpan w:val="9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系统可行性分析、需求分析、概要设计、详细设计、数据库设计、系统部分编码</w:t>
            </w:r>
          </w:p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系统架构采用前后端分离的设计，后端技术采用SpringBoot+Mybatis+Mysql，前端技术使用Nuxtjs+Vue.js+Axios+Iview UI</w:t>
            </w:r>
          </w:p>
          <w:p/>
          <w:p/>
        </w:tc>
      </w:tr>
      <w:tr>
        <w:trPr>
          <w:trHeight w:val="100" w:hRule="atLeast"/>
        </w:trPr>
        <w:tc>
          <w:tcPr>
            <w:tcW w:w="9000" w:type="dxa"/>
            <w:vAlign w:val="center"/>
            <w:vMerge w:val="continue"/>
          </w:tcPr>
          <w:p/>
        </w:tc>
        <w:tc>
          <w:tcPr>
            <w:tcW w:w="45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是否符合任务书要求进度</w:t>
            </w:r>
          </w:p>
        </w:tc>
        <w:tc>
          <w:tcPr>
            <w:tcW w:w="4500" w:type="dxa"/>
            <w:vAlign w:val="center"/>
            <w:gridSpan w:val="4"/>
          </w:tcPr>
          <w:p>
            <w:pPr>
              <w:jc w:val="both"/>
              <w:spacing w:line="240" w:lineRule="atLeast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是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尚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须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完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成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的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任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务</w:t>
            </w:r>
          </w:p>
        </w:tc>
        <w:tc>
          <w:tcPr>
            <w:tcW w:w="9000" w:type="dxa"/>
            <w:vAlign w:val="center"/>
            <w:gridSpan w:val="9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系统剩余部分的编码以及测试</w:t>
            </w:r>
          </w:p>
          <w:p/>
          <w:p/>
          <w:p/>
          <w:p/>
          <w:p/>
        </w:tc>
      </w:tr>
      <w:tr>
        <w:trPr>
          <w:trHeight w:val="100" w:hRule="atLeast"/>
        </w:trPr>
        <w:tc>
          <w:tcPr>
            <w:tcW w:w="9000" w:type="dxa"/>
            <w:vAlign w:val="center"/>
            <w:vMerge w:val="continue"/>
          </w:tcPr>
          <w:p/>
        </w:tc>
        <w:tc>
          <w:tcPr>
            <w:tcW w:w="4500" w:type="dxa"/>
            <w:vAlign w:val="center"/>
            <w:gridSpan w:val="5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能否按期完成任务</w:t>
            </w:r>
          </w:p>
        </w:tc>
        <w:tc>
          <w:tcPr>
            <w:tcW w:w="4500" w:type="dxa"/>
            <w:vAlign w:val="center"/>
            <w:gridSpan w:val="4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是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存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在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的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问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题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和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解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决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办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法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存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在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的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问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题</w:t>
            </w:r>
          </w:p>
        </w:tc>
        <w:tc>
          <w:tcPr>
            <w:tcW w:w="8000" w:type="dxa"/>
            <w:vAlign w:val="top"/>
            <w:gridSpan w:val="8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系统整体性能不太高</w:t>
            </w:r>
          </w:p>
        </w:tc>
      </w:tr>
      <w:tr>
        <w:trPr>
          <w:trHeight w:val="200" w:hRule="atLeast"/>
        </w:trPr>
        <w:tc>
          <w:tcPr>
            <w:tcW w:w="9000" w:type="dxa"/>
            <w:vAlign w:val="center"/>
            <w:vMerge w:val="continue"/>
          </w:tcPr>
          <w:p/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拟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采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取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的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办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法</w:t>
            </w:r>
          </w:p>
        </w:tc>
        <w:tc>
          <w:tcPr>
            <w:tcW w:w="8000" w:type="dxa"/>
            <w:vAlign w:val="top"/>
            <w:gridSpan w:val="8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针对性能消耗比较大的模块进行优化处理</w:t>
            </w:r>
          </w:p>
        </w:tc>
      </w:tr>
      <w:tr>
        <w:trPr>
          <w:trHeight w:val="4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指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导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教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师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意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见</w:t>
            </w:r>
          </w:p>
        </w:tc>
        <w:tc>
          <w:tcPr>
            <w:tcW w:w="9000" w:type="dxa"/>
            <w:vAlign w:val="center"/>
            <w:gridSpan w:val="9"/>
          </w:tcPr>
          <w:p>
            <w:pPr>
              <w:jc w:val="both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【指导教师第一次评阅意见】</w:t>
            </w:r>
          </w:p>
          <w:p>
            <w:pPr>
              <w:jc w:val="both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     修改，采用的技术路线，如何实现。这些要加快进度</w:t>
            </w:r>
          </w:p>
          <w:p>
            <w:pPr>
              <w:jc w:val="both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【指导教师第二次评阅通过】</w:t>
            </w:r>
          </w:p>
          <w:p>
            <w:pPr>
              <w:jc w:val="both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      同意.内容比较简略，同意 以后修改</w:t>
            </w:r>
          </w:p>
          <w:p/>
          <w:p/>
          <w:p/>
          <w:p>
            <w:pPr>
              <w:jc w:val="right"/>
            </w:pPr>
            <w:r>
              <w:rPr>
                <w:rFonts w:ascii="宋体" w:hAnsi="宋体" w:eastAsia="宋体" w:cs="宋体"/>
                <w:sz w:val="21"/>
                <w:szCs w:val="21"/>
              </w:rPr>
              <w:t xml:space="preserve">					签名：</w:t>
            </w:r>
            <w:r>
              <w:rPr/>
              <w:pict>
                <v:shape type="#_x0000_t75" style="width:100pt; height:62.3931623931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	2020年04月15日</w:t>
            </w:r>
          </w:p>
        </w:tc>
      </w:tr>
    </w:tbl>
    <w:p>
      <w:pPr>
        <w:tabs>
          <w:tab w:val="left" w:leader="none" w:pos="100"/>
        </w:tabs>
      </w:pPr>
      <w:r>
        <w:rPr>
          <w:rFonts w:ascii="宋体" w:hAnsi="宋体" w:eastAsia="宋体" w:cs="宋体"/>
          <w:sz w:val="21"/>
          <w:szCs w:val="21"/>
        </w:rPr>
        <w:t xml:space="preserve">注： 1、本表内容须由学生和教师共同如实填写，所有签名一栏必须手工填写；2、本表应妥善保管，以便按以下顺序与其它材料装订：任务书、开题报告、中期检查表、指导记录本；3、各教研室对检查情况汇总后，将检查情况及处理意见向教学单位的院长汇报备案。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2020-06-11T14:06:39+08:00</dcterms:created>
  <dcterms:modified xsi:type="dcterms:W3CDTF">2020-06-11T14:06:39+08:00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