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Segmentación de Casos Migratorios al Ingreso con K-Means sobre un Servidor MCP</w:t>
      </w:r>
    </w:p>
    <w:p>
      <w:pPr>
        <w:spacing w:after="0" w:before="0" w:line="48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Araceli Castillo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Maestría en Inteligencia Artificial, Atlantis University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MAI 540: Machine Learning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Prof. Kevin A. García Gallardo</w:t>
      </w:r>
    </w:p>
    <w:p>
      <w:pPr>
        <w:spacing w:after="0" w:before="0" w:line="480" w:lineRule="auto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 de octubre de 2026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Segmentación de Casos Migratorios al Ingreso con K-Means sobre un Servidor MCP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Esta tarea extiende el servidor del Protocolo de Contexto de Modelos (MCP) de la Tarea 5.1 con una tool de segmentación, segmentar_kmeans, construida con el mismo patrón: la lógica en kmeans_utils.py y el decorador en mcp_server.py. Se aplicó a un problema de mi sector: agrupar al ingreso los casos de detención migratoria para que el equipo de case management planifique su trabajo. La herramienta no decide nada sobre la persona.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Datos y Herramienta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 usaron 2,854 casos sintéticos de la Tarea 4.2, los que no tienen faltantes, con ocho variables que se conocen al ingresar el caso: edad, meses en EE. UU., número de dependientes y cinco de sí/no (detenido, representación legal, intérprete, antecedentes penales y solicitud de fianza). Las variables que solo se conocen al cerrar el caso, como los días hasta la resolución, quedaron fuera de la carpeta que el servidor puede leer: no forman los grupos y solo se usan después para describirlos. La tool estandariza las variables, corre K-Means con 50 reinicios y semilla 42, y devuelve las etiquetas, el tamaño de cada grupo, la inercia y el coeficiente de silueta (Pedregosa et al., 2011). Se verificó en el MCP Inspector, que además rechaza un k fuera del rango de 2 a 10 y los nombres de archivo que intentan salir de la carpeta permitida.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Elección del Número de Grupos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 criterio se fijó en el script de análisis antes de describir los grupos: el codo, entendido como el último k en el que agregar un grupo todavía reduce la inercia en al menos 10 %, confirmado por un máximo local de la silueta (Rousseeuw, 1987). Ese k es 5 (Tabla 1 y Figura 1). El quinto grupo reduce la inercia en 10.7 % y el sexto solo en 8.0 %. La silueta de k = 5 (0.233) es mayor que la de k = 4 (0.221) y la de k = 6 (0.229). La silueta vuelve a subir en k = 9 (0.261), pero ahí cada grupo nuevo aporta menos de 6 %, el grupo más pequeño tiene 145 casos y la partición es menos reproducible, así que es demasiado fina para planificar el trabajo de un equipo.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Dos resultados limitan la lectura. Primero, la silueta es baja en todos los k: los grupos se traslapan y son cortes útiles, no tipos de casos separados por naturaleza. Segundo, con 10 reinicios K-Means a veces se quedaba en un óptimo local peor y otra semilla producía otra partición (índice de Rand ajustado de 0.77 en k = 5; Hubert y Arabie, 1985). Con 50 reinicios todas las semillas coinciden (0.998), y ese valor quedó fijo en la herramienta.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Visualización con Análisis de Componentes Principales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casos se proyectaron en dos componentes con la tool ejecutar_pca de la Tarea 5.1: las coordenadas son los datos escalados multiplicados por las cargas que devuelve (Figura 2). El plano conserva 36.3 % de la varianza (20.1 % y 16.2 %). Es poco porque cinco de las ocho variables son de sí/no y están poco correlacionadas (Géron, 2022): grupos que en el plano se ven mezclados, como los detenidos con y sin fianza, están separados en las ocho dimensiones.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Interpretación de los Grupos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La Tabla 2 describe cada grupo por lo que lo distingue y propone una acción para el equipo. Los no detenidos tienen los casos más largos y necesitan seguimiento a distancia; los detenidos que pidieron fianza tienen la menor tasa de representación legal; los detenidos sin fianza siguen procesos rápidos que no dejan margen para corregir; las personas con antecedentes penales requieren preparación legal temprana, y las familias con dependientes conviene llevarlas como una sola unidad. La necesidad de intérprete (28 % a 36 %) aparece en todos los grupos por igual, así que no los distingue: hay que planificarla para todos.</w:t>
      </w:r>
    </w:p>
    <w:p>
      <w:pPr>
        <w:keepNext/>
        <w:spacing w:line="480" w:lineRule="auto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Limitaciones</w:t>
      </w:r>
    </w:p>
    <w:p>
      <w:pPr>
        <w:spacing w:after="0" w:before="0" w:line="480" w:lineRule="auto"/>
        <w:ind w:firstLine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Los datos son sintéticos: el método se puede trasladar, pero los porcentajes no describen casos reales. Los grupos se traslapan y el plano de dos componentes solo muestra un tercio de la varianza. K-Means trata igual las variables de sí/no y las continuas una vez escaladas; un método para datos mixtos podría separar mejor. Y las acciones son para organizar el trabajo, nunca para decidir la detención, la fianza ni el fondo de un caso.</w:t>
      </w:r>
    </w:p>
    <w:p>
      <w:r>
        <w:br w:type="page"/>
      </w:r>
    </w:p>
    <w:p>
      <w:pPr>
        <w:spacing w:line="48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Referencias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Géron, A. (2022).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Hands-on machine learning with Scikit-Learn, Keras, and TensorFlow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(3.ª ed.). O’Reilly Media.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Hubert, L., &amp; Arabie, P. (1985). Comparing partitions.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Classification, 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(1), 193–218.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Pedregosa, F., Varoquaux, G., Gramfort, A., Michel, V., Thirion, B., Grisel, O., Blondel, M., Prettenhofer, P., Weiss, R., Dubourg, V., Vanderplas, J., Passos, A., Cournapeau, D., Brucher, M., Perrot, M., &amp; Duchesnay, É. (2011). Scikit-learn: Machine learning in Python.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Machine Learning Research, 12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2825–2830.</w:t>
      </w:r>
    </w:p>
    <w:p>
      <w:pPr>
        <w:spacing w:line="480" w:lineRule="auto"/>
        <w:ind w:left="720" w:hanging="7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Rousseeuw, P. J. (1987). Silhouettes: A graphical aid to the interpretation and validation of cluster analysis.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Journal of Computational and Applied Mathematics, 20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53–65.</w:t>
      </w:r>
    </w:p>
    <w:p>
      <w:r>
        <w:br w:type="page"/>
      </w:r>
    </w:p>
    <w:p>
      <w:pPr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1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Inercia, Silueta y Reproducibilidad para k de 2 a 10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500"/>
        <w:gridCol w:w="2300"/>
        <w:gridCol w:w="1800"/>
      </w:tblGrid>
      <w:tr>
        <w:trPr>
          <w:cantSplit/>
        </w:trPr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Reducción de inercia</w:t>
            </w:r>
          </w:p>
        </w:tc>
        <w:tc>
          <w:tcPr>
            <w:tcW w:type="dxa" w:w="1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Silueta</w:t>
            </w:r>
          </w:p>
        </w:tc>
        <w:tc>
          <w:tcPr>
            <w:tcW w:type="dxa" w:w="23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ARI entre semillas</w:t>
            </w:r>
          </w:p>
        </w:tc>
        <w:tc>
          <w:tcPr>
            <w:tcW w:type="dxa" w:w="18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Grupo más pequeño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15.9 %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0.181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895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14.1 %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0.216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12.8 %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1.000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329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10.7 %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0.233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265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8.0 %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0.229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0.997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249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7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6.4 %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0.231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0.974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165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6.1 %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0.241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0.946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158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9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5.6 %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0.261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0.918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145</w:t>
            </w:r>
          </w:p>
        </w:tc>
      </w:tr>
      <w:tr>
        <w:trPr>
          <w:cantSplit/>
        </w:trPr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10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5.5 %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0.256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0.833</w:t>
            </w:r>
          </w:p>
        </w:tc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133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k elegido es 5. La reducción de inercia es la que aporta el grupo k frente a k − 1. ARI: índice de Rand ajustado promedio entre 10 semillas, con 50 reinicios cada una.</w:t>
      </w:r>
    </w:p>
    <w:p>
      <w:pPr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1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Codo, Silueta y Reproducibilidad Según el Número de Grupos</w:t>
      </w:r>
    </w:p>
    <w:p>
      <w:pPr>
        <w:jc w:val="center"/>
      </w:pPr>
      <w:r>
        <w:drawing>
          <wp:inline distT="0" distB="0" distL="0" distR="0">
            <wp:extent cx="5905500" cy="1771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punto naranja marca k = 5.</w:t>
      </w:r>
    </w:p>
    <w:p>
      <w:r>
        <w:br w:type="page"/>
      </w:r>
    </w:p>
    <w:p>
      <w:pPr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Figura 2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Casos Proyectados en los Dos Primeros Componentes Principales, por Grupo</w:t>
      </w:r>
    </w:p>
    <w:p>
      <w:pPr>
        <w:jc w:val="center"/>
      </w:pPr>
      <w:r>
        <w:drawing>
          <wp:inline distT="0" distB="0" distL="0" distR="0">
            <wp:extent cx="4476750" cy="3276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El plano conserva 36.3 % de la varianza. Las franjas verticales vienen de las variables de sí/no.</w:t>
      </w:r>
    </w:p>
    <w:p>
      <w:pPr>
        <w:keepNext/>
        <w:spacing w:after="0" w:before="0" w:line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Tabla 2</w:t>
      </w:r>
    </w:p>
    <w:p>
      <w:pPr>
        <w:keepNext/>
        <w:spacing w:after="0" w:line="48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Qué Caracteriza a Cada Grupo y Acción Propuesta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00"/>
        <w:gridCol w:w="3500"/>
        <w:gridCol w:w="3460"/>
      </w:tblGrid>
      <w:tr>
        <w:trPr>
          <w:cantSplit/>
        </w:trPr>
        <w:tc>
          <w:tcPr>
            <w:tcW w:type="dxa" w:w="1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Grupo</w:t>
            </w:r>
          </w:p>
        </w:tc>
        <w:tc>
          <w:tcPr>
            <w:tcW w:type="dxa" w:w="7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Casos</w:t>
            </w:r>
          </w:p>
        </w:tc>
        <w:tc>
          <w:tcPr>
            <w:tcW w:type="dxa" w:w="350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Qué lo caracteriza</w:t>
            </w:r>
          </w:p>
        </w:tc>
        <w:tc>
          <w:tcPr>
            <w:tcW w:type="dxa" w:w="3460"/>
            <w:tcBorders>
              <w:top w:val="single" w:color="000000" w:sz="4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Acción propuesta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No detenidos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753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En libertad; los casos más largos (mediana de 326 días, 5.3 aplazamientos); 55 % asilo; 59 % con abogado.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Seguimiento a distancia con calendario fijo: recordatorio de cada audiencia y verificación mensual de domicilio.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Detenidos que pidieron fianza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587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Todos detenidos y con solicitud de fianza; solo 27 % con abogado, la tasa más baja.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Referir a servicios legales gratuitos en la primera semana y preparar los documentos para la audiencia de fianza.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Detenidos sin fianza (vía rápida)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944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El grupo más grande y más rápido: mediana de 57 días; 54 % miedo creíble o reinstalación.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Revisión el primer día: orientación legal, intérprete confirmado y documentos completos.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Con antecedentes penales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305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Todos con antecedentes; mayores (31 años en promedio); 89 % detenidos; mediana de 106 días.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Asignar case managers con experiencia y pedir al ingreso los registros judiciales.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Familias con dependientes</w:t>
            </w:r>
          </w:p>
        </w:tc>
        <w:tc>
          <w:tcPr>
            <w:tcW w:type="dxa" w:w="7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265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2.7 dependientes en promedio; 41 % no detenidos; casos largos (mediana de 219 días).</w:t>
            </w:r>
          </w:p>
        </w:tc>
        <w:tc>
          <w:tcPr>
            <w:tcW w:type="dxa" w:w="3460"/>
            <w:tcBorders>
              <w:top w:val="none" w:color="FFFFFF" w:sz="0"/>
              <w:left w:val="none" w:color="FFFFFF" w:sz="0"/>
              <w:bottom w:val="single" w:color="000000" w:sz="4"/>
              <w:right w:val="none" w:color="FFFFFF" w:sz="0"/>
            </w:tcBorders>
            <w:tcMar>
              <w:top w:type="dxa" w:w="30"/>
              <w:left w:type="dxa" w:w="70"/>
              <w:bottom w:type="dxa" w:w="30"/>
              <w:right w:type="dxa" w:w="70"/>
            </w:tcMar>
          </w:tcPr>
          <w:p>
            <w:pPr>
              <w:keepNext w:val="false"/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19"/>
                <w:szCs w:val="19"/>
              </w:rPr>
              <w:t xml:space="preserve">Llevar el expediente familiar como una unidad: audiencias coordinadas y servicios para menores.</w:t>
            </w:r>
          </w:p>
        </w:tc>
      </w:tr>
    </w:tbl>
    <w:p>
      <w:pPr>
        <w:spacing w:after="240" w:before="80" w:line="240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Nota. </w:t>
      </w:r>
      <w:r>
        <w:rPr>
          <w:rFonts w:ascii="Times New Roman" w:cs="Times New Roman" w:eastAsia="Times New Roman" w:hAnsi="Times New Roman"/>
          <w:sz w:val="20"/>
          <w:szCs w:val="20"/>
        </w:rPr>
        <w:t xml:space="preserve">Los días hasta la resolución y los aplazamientos no se usaron para formar los grupos; solo para describirlos.</w:t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1e96eed76cdf6a5dc5f1029ffb3510273e0874d5.png"/><Relationship Id="rId9" Type="http://schemas.openxmlformats.org/officeDocument/2006/relationships/image" Target="media/9e1de370e2d6d0edef689ce9e25d2a991e0c392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2026-10-03T18:44:13.592Z</dcterms:created>
  <dcterms:modified xsi:type="dcterms:W3CDTF">2026-10-03T18:44:13.592Z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