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Propuesta de Capstone: Planificación de la Carga de Casos en Detención Migratoria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444444"/>
          <w:sz w:val="19"/>
          <w:szCs w:val="19"/>
        </w:rPr>
        <w:t xml:space="preserve">Araceli Castillo · MAI 540: Machine Learning · Prof. Kevin A. García Gallardo · Atlantis University · 6 de octubre de 2026</w:t>
      </w:r>
    </w:p>
    <w:p>
      <w:pPr>
        <w:keepNext/>
        <w:spacing w:after="40" w:before="110"/>
      </w:pPr>
      <w:r>
        <w:rPr>
          <w:rFonts w:ascii="Times New Roman" w:cs="Times New Roman" w:eastAsia="Times New Roman" w:hAnsi="Times New Roman"/>
          <w:b/>
          <w:bCs/>
          <w:color w:val="B4441C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Problema del sector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 detención migratoria, el equipo de case management decide cada semana a qué casos dedicar seguimiento sin saber cuánto durará cada uno ni qué apoyo necesitará. Los casos de vía rápida pueden resolverse antes de que la persona consiga abogado o intérprete, y los largos se pierden de vista. Pregunta del proyecto: ¿se puede estimar, con la información disponible al ingreso, la duración probable de un caso y el tipo de apoyo que requiere, para planificar la carga del equipo sin decidir nada sobre la persona?</w:t>
      </w:r>
    </w:p>
    <w:p>
      <w:pPr>
        <w:keepNext/>
        <w:spacing w:after="40" w:before="110"/>
      </w:pPr>
      <w:r>
        <w:rPr>
          <w:rFonts w:ascii="Times New Roman" w:cs="Times New Roman" w:eastAsia="Times New Roman" w:hAnsi="Times New Roman"/>
          <w:b/>
          <w:bCs/>
          <w:color w:val="B4441C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Datos disponibles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EOIR Case Data, del Departamento de Justicia: archivos CSV que se actualizan cada mes y se publican por la ley FOIA, con procedimientos, audiencias, custodia, representación legal, idioma, nacionalidad y decisión de cada caso en los tribunales de inmigración (Executive Office for Immigration Review [EOIR], s. f.). Los prototipos de las Tareas 4.2 y 5.2, con datos sintéticos, ya fijaron el esquema, los supuestos y qué variables se conocen al ingreso. No se usarán registros internos con datos personales.</w:t>
      </w:r>
    </w:p>
    <w:p>
      <w:pPr>
        <w:keepNext/>
        <w:spacing w:after="40" w:before="110"/>
      </w:pPr>
      <w:r>
        <w:rPr>
          <w:rFonts w:ascii="Times New Roman" w:cs="Times New Roman" w:eastAsia="Times New Roman" w:hAnsi="Times New Roman"/>
          <w:b/>
          <w:bCs/>
          <w:color w:val="B4441C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Técnica prevista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Duración: regresión con partición agrupada por expediente, como en la Tarea 4.2, y análisis de supervivencia, porque los casos todavía abiertos no tienen fecha de fin (están censurados) y descartarlos sesgaría las estimaciones hacia casos cortos. (b) Segmentación al ingreso con K-Means, como en esta tarea, comparada con k-prototypes, que admite variables categóricas como el idioma y la nacionalidad. (c) Resultados expuestos por un servidor MCP con lista de permitidos (Tarea 5.1) y auditados con la Skill de la Tarea 4.1.</w:t>
      </w:r>
    </w:p>
    <w:p>
      <w:pPr>
        <w:keepNext/>
        <w:spacing w:after="40" w:before="110"/>
      </w:pPr>
      <w:r>
        <w:rPr>
          <w:rFonts w:ascii="Times New Roman" w:cs="Times New Roman" w:eastAsia="Times New Roman" w:hAnsi="Times New Roman"/>
          <w:b/>
          <w:bCs/>
          <w:color w:val="B4441C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Criterios de éxito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Error de duración al menos 25 % menor que una referencia simple (la mediana por tipo de caso), medido en casos de un periodo posterior al de entrenamiento. Ningún subgrupo de nacionalidad, idioma o tribunal con un error mayor que 1.25 veces el global. Segmentos reproducibles (ARI ≥ 0.95 entre semillas) que un case manager pueda describir en una frase. Cero variables que solo se conozcan al cerrar el caso.</w:t>
      </w:r>
    </w:p>
    <w:p>
      <w:pPr>
        <w:keepNext/>
        <w:spacing w:after="40" w:before="110"/>
      </w:pPr>
      <w:r>
        <w:rPr>
          <w:rFonts w:ascii="Times New Roman" w:cs="Times New Roman" w:eastAsia="Times New Roman" w:hAnsi="Times New Roman"/>
          <w:b/>
          <w:bCs/>
          <w:color w:val="B4441C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Limitaciones anticipadas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Los datos públicos no traen todo lo que ve un case manager (por ejemplo, el estado de salud o la situación familiar). Los cambios de política y de carga de los tribunales alteran las duraciones, así que el modelo tendrá que vigilarse y reentrenarse. Hay riesgo de que el error sea mayor para ciertas nacionalidades o idiomas, y ya ocurrió en el prototipo de la Tarea 4.2. Y el uso queda limitado a planificar el trabajo: la herramienta no puede intervenir en decisiones de detención, fianza ni del fondo del caso.</w:t>
      </w:r>
    </w:p>
    <w:p>
      <w:pPr>
        <w:spacing w:before="120"/>
        <w:ind w:left="720" w:hanging="7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Executive Office for Immigration Review. (s. f.).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EOIR case data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[Conjunto de datos]. U.S. Department of Justice. https://catalog.data.gov/dataset/eoir-case-data</w:t>
      </w:r>
    </w:p>
    <w:sectPr>
      <w:head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Tarea 5.2 · Propuesta de capstone 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2026-10-03T18:29:30.208Z</dcterms:created>
  <dcterms:modified xsi:type="dcterms:W3CDTF">2026-10-03T18:29:30.208Z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