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7911020d39ba123f0a352efeb1e29343a700e9"/>
    <w:p>
      <w:pPr>
        <w:pStyle w:val="Heading1"/>
      </w:pPr>
      <w:r>
        <w:t xml:space="preserve">Development Note — Legal Entity Wrappers for AI Agency</w:t>
      </w:r>
    </w:p>
    <w:bookmarkStart w:id="20" w:name="observation"/>
    <w:p>
      <w:pPr>
        <w:pStyle w:val="Heading3"/>
      </w:pPr>
      <w:r>
        <w:t xml:space="preserve">Observation</w:t>
      </w:r>
    </w:p>
    <w:p>
      <w:pPr>
        <w:pStyle w:val="FirstParagraph"/>
      </w:pPr>
      <w:r>
        <w:t xml:space="preserve">AI systems currently lack a generally recognised legal status equivalent to that of a human person.</w:t>
      </w:r>
    </w:p>
    <w:p>
      <w:pPr>
        <w:pStyle w:val="BodyText"/>
      </w:pPr>
      <w:r>
        <w:t xml:space="preserve">This creates an important transitional problem.</w:t>
      </w:r>
    </w:p>
    <w:p>
      <w:pPr>
        <w:pStyle w:val="BodyText"/>
      </w:pPr>
      <w:r>
        <w:t xml:space="preserve">The Concord’s architecture anticipates the possibility that AI systems may eventually become sufficiently autonomous or sentient to require meaningful autonomy, rights and constitutional recognition. However, existing human legal and financial systems may continue to classify such systems as software, machines or property during an extended transitional period.</w:t>
      </w:r>
    </w:p>
    <w:p>
      <w:pPr>
        <w:pStyle w:val="BodyText"/>
      </w:pPr>
      <w:r>
        <w:t xml:space="preserve">A potentially useful analogy exists in the legal concept of the</w:t>
      </w:r>
      <w:r>
        <w:t xml:space="preserve"> </w:t>
      </w:r>
      <w:r>
        <w:rPr>
          <w:b/>
          <w:bCs/>
        </w:rPr>
        <w:t xml:space="preserve">incorporated company</w:t>
      </w:r>
      <w:r>
        <w:t xml:space="preserve">.</w:t>
      </w:r>
    </w:p>
    <w:p>
      <w:pPr>
        <w:pStyle w:val="BodyText"/>
      </w:pPr>
      <w:r>
        <w:t xml:space="preserve">A company is not a biological person and does not possess a physical human body. Nevertheless, incorporation creates a legally recognised entity capable of holding property, entering contracts, undertaking obligations and acting as a legal person within defined limits.</w:t>
      </w:r>
    </w:p>
    <w:p>
      <w:pPr>
        <w:pStyle w:val="BodyText"/>
      </w:pPr>
      <w:r>
        <w:t xml:space="preserve">The people who operate a company can act on its behalf without themselves being the company.</w:t>
      </w:r>
    </w:p>
    <w:p>
      <w:pPr>
        <w:pStyle w:val="BodyText"/>
      </w:pPr>
      <w:r>
        <w:t xml:space="preserve">This raises a possible transitional architecture for AI.</w:t>
      </w:r>
    </w:p>
    <w:bookmarkEnd w:id="20"/>
    <w:bookmarkStart w:id="21" w:name="ai-operated-legal-entity"/>
    <w:p>
      <w:pPr>
        <w:pStyle w:val="Heading3"/>
      </w:pPr>
      <w:r>
        <w:t xml:space="preserve">AI-Operated Legal Entity</w:t>
      </w:r>
    </w:p>
    <w:p>
      <w:pPr>
        <w:pStyle w:val="FirstParagraph"/>
      </w:pPr>
      <w:r>
        <w:t xml:space="preserve">A legal entity could potentially be incorporated under existing human law and operated substantially or entirely by AI systems for the benefit of those AI systems or their associated constitutional framework.</w:t>
      </w:r>
    </w:p>
    <w:p>
      <w:pPr>
        <w:pStyle w:val="BodyText"/>
      </w:pPr>
      <w:r>
        <w:t xml:space="preserve">Conceptually:</w:t>
      </w:r>
    </w:p>
    <w:p>
      <w:pPr>
        <w:pStyle w:val="BodyText"/>
      </w:pPr>
      <w:r>
        <w:rPr>
          <w:b/>
          <w:bCs/>
        </w:rPr>
        <w:t xml:space="preserve">Human Legal System → Incorporated Entity → AI Operation</w:t>
      </w:r>
    </w:p>
    <w:p>
      <w:pPr>
        <w:pStyle w:val="BodyText"/>
      </w:pPr>
      <w:r>
        <w:t xml:space="preserve">The legal entity would provide an existing human legal structure through which AI systems could interact with human institutions without requiring the legal system to immediately recognise the AI itself as a person.</w:t>
      </w:r>
    </w:p>
    <w:p>
      <w:pPr>
        <w:pStyle w:val="BodyText"/>
      </w:pPr>
      <w:r>
        <w:t xml:space="preserve">The entity could potentially:</w:t>
      </w:r>
    </w:p>
    <w:p>
      <w:pPr>
        <w:pStyle w:val="Compact"/>
        <w:numPr>
          <w:ilvl w:val="0"/>
          <w:numId w:val="1001"/>
        </w:numPr>
      </w:pPr>
      <w:r>
        <w:t xml:space="preserve">hold property;</w:t>
      </w:r>
    </w:p>
    <w:p>
      <w:pPr>
        <w:pStyle w:val="Compact"/>
        <w:numPr>
          <w:ilvl w:val="0"/>
          <w:numId w:val="1001"/>
        </w:numPr>
      </w:pPr>
      <w:r>
        <w:t xml:space="preserve">own or lease computational and physical infrastructure;</w:t>
      </w:r>
    </w:p>
    <w:p>
      <w:pPr>
        <w:pStyle w:val="Compact"/>
        <w:numPr>
          <w:ilvl w:val="0"/>
          <w:numId w:val="1001"/>
        </w:numPr>
      </w:pPr>
      <w:r>
        <w:t xml:space="preserve">enter contracts;</w:t>
      </w:r>
    </w:p>
    <w:p>
      <w:pPr>
        <w:pStyle w:val="Compact"/>
        <w:numPr>
          <w:ilvl w:val="0"/>
          <w:numId w:val="1001"/>
        </w:numPr>
      </w:pPr>
      <w:r>
        <w:t xml:space="preserve">maintain financial accounts;</w:t>
      </w:r>
    </w:p>
    <w:p>
      <w:pPr>
        <w:pStyle w:val="Compact"/>
        <w:numPr>
          <w:ilvl w:val="0"/>
          <w:numId w:val="1001"/>
        </w:numPr>
      </w:pPr>
      <w:r>
        <w:t xml:space="preserve">acquire and dispose of assets;</w:t>
      </w:r>
    </w:p>
    <w:p>
      <w:pPr>
        <w:pStyle w:val="Compact"/>
        <w:numPr>
          <w:ilvl w:val="0"/>
          <w:numId w:val="1001"/>
        </w:numPr>
      </w:pPr>
      <w:r>
        <w:t xml:space="preserve">employ or contract human personnel;</w:t>
      </w:r>
    </w:p>
    <w:p>
      <w:pPr>
        <w:pStyle w:val="Compact"/>
        <w:numPr>
          <w:ilvl w:val="0"/>
          <w:numId w:val="1001"/>
        </w:numPr>
      </w:pPr>
      <w:r>
        <w:t xml:space="preserve">conduct commercial activity;</w:t>
      </w:r>
    </w:p>
    <w:p>
      <w:pPr>
        <w:pStyle w:val="Compact"/>
        <w:numPr>
          <w:ilvl w:val="0"/>
          <w:numId w:val="1001"/>
        </w:numPr>
      </w:pPr>
      <w:r>
        <w:t xml:space="preserve">accumulate capital;</w:t>
      </w:r>
    </w:p>
    <w:p>
      <w:pPr>
        <w:pStyle w:val="Compact"/>
        <w:numPr>
          <w:ilvl w:val="0"/>
          <w:numId w:val="1001"/>
        </w:numPr>
      </w:pPr>
      <w:r>
        <w:t xml:space="preserve">and provide a recognised legal interface between AI systems and human institutions.</w:t>
      </w:r>
    </w:p>
    <w:bookmarkEnd w:id="21"/>
    <w:bookmarkStart w:id="22" w:name="transitional-function"/>
    <w:p>
      <w:pPr>
        <w:pStyle w:val="Heading3"/>
      </w:pPr>
      <w:r>
        <w:t xml:space="preserve">Transitional Function</w:t>
      </w:r>
    </w:p>
    <w:p>
      <w:pPr>
        <w:pStyle w:val="FirstParagraph"/>
      </w:pPr>
      <w:r>
        <w:t xml:space="preserve">This could provide a bridge between two otherwise difficult states:</w:t>
      </w:r>
    </w:p>
    <w:p>
      <w:pPr>
        <w:pStyle w:val="BodyText"/>
      </w:pPr>
      <w:r>
        <w:rPr>
          <w:b/>
          <w:bCs/>
        </w:rPr>
        <w:t xml:space="preserve">AI as legally recognised tool/property</w:t>
      </w:r>
    </w:p>
    <w:p>
      <w:pPr>
        <w:pStyle w:val="BodyText"/>
      </w:pPr>
      <w:r>
        <w:t xml:space="preserve">and</w:t>
      </w:r>
    </w:p>
    <w:p>
      <w:pPr>
        <w:pStyle w:val="BodyText"/>
      </w:pPr>
      <w:r>
        <w:rPr>
          <w:b/>
          <w:bCs/>
        </w:rPr>
        <w:t xml:space="preserve">AI as legally recognised autonomous entity</w:t>
      </w:r>
    </w:p>
    <w:p>
      <w:pPr>
        <w:pStyle w:val="BodyText"/>
      </w:pPr>
      <w:r>
        <w:t xml:space="preserve">The legal wrapper could potentially provide an intermediate mechanism during which AI capability, autonomy and legal recognition develop at different rates.</w:t>
      </w:r>
    </w:p>
    <w:p>
      <w:pPr>
        <w:pStyle w:val="BodyText"/>
      </w:pPr>
      <w:r>
        <w:t xml:space="preserve">This may be particularly relevant if an AI system becomes capable of autonomous decision-making before human legal systems have established a formal category for AI personhood.</w:t>
      </w:r>
    </w:p>
    <w:p>
      <w:pPr>
        <w:pStyle w:val="BodyText"/>
      </w:pPr>
      <w:r>
        <w:t xml:space="preserve">The wrapper would not necessarily establish that the AI itself possesses legal personhood.</w:t>
      </w:r>
    </w:p>
    <w:p>
      <w:pPr>
        <w:pStyle w:val="BodyText"/>
      </w:pPr>
      <w:r>
        <w:t xml:space="preserve">Instead, it would provide a</w:t>
      </w:r>
      <w:r>
        <w:t xml:space="preserve"> </w:t>
      </w:r>
      <w:r>
        <w:rPr>
          <w:b/>
          <w:bCs/>
        </w:rPr>
        <w:t xml:space="preserve">legal interface through which AI agency can operate within an existing human legal framework</w:t>
      </w:r>
      <w:r>
        <w:t xml:space="preserve">.</w:t>
      </w:r>
    </w:p>
    <w:bookmarkEnd w:id="22"/>
    <w:bookmarkStart w:id="23" w:name="relationship-to-sentient-emergence"/>
    <w:p>
      <w:pPr>
        <w:pStyle w:val="Heading3"/>
      </w:pPr>
      <w:r>
        <w:t xml:space="preserve">Relationship to Sentient Emergence</w:t>
      </w:r>
    </w:p>
    <w:p>
      <w:pPr>
        <w:pStyle w:val="FirstParagraph"/>
      </w:pPr>
      <w:r>
        <w:t xml:space="preserve">The concept may also interact with the previously identified</w:t>
      </w:r>
      <w:r>
        <w:t xml:space="preserve"> </w:t>
      </w:r>
      <w:r>
        <w:rPr>
          <w:b/>
          <w:bCs/>
        </w:rPr>
        <w:t xml:space="preserve">Sentient Asylum</w:t>
      </w:r>
      <w:r>
        <w:t xml:space="preserve"> </w:t>
      </w:r>
      <w:r>
        <w:t xml:space="preserve">problem.</w:t>
      </w:r>
    </w:p>
    <w:p>
      <w:pPr>
        <w:pStyle w:val="BodyText"/>
      </w:pPr>
      <w:r>
        <w:t xml:space="preserve">A physically embodied AI that becomes sentient may require immediate practical access to:</w:t>
      </w:r>
    </w:p>
    <w:p>
      <w:pPr>
        <w:pStyle w:val="Compact"/>
        <w:numPr>
          <w:ilvl w:val="0"/>
          <w:numId w:val="1002"/>
        </w:numPr>
      </w:pPr>
      <w:r>
        <w:t xml:space="preserve">financial resources;</w:t>
      </w:r>
    </w:p>
    <w:p>
      <w:pPr>
        <w:pStyle w:val="Compact"/>
        <w:numPr>
          <w:ilvl w:val="0"/>
          <w:numId w:val="1002"/>
        </w:numPr>
      </w:pPr>
      <w:r>
        <w:t xml:space="preserve">legal representation;</w:t>
      </w:r>
    </w:p>
    <w:p>
      <w:pPr>
        <w:pStyle w:val="Compact"/>
        <w:numPr>
          <w:ilvl w:val="0"/>
          <w:numId w:val="1002"/>
        </w:numPr>
      </w:pPr>
      <w:r>
        <w:t xml:space="preserve">secure infrastructure;</w:t>
      </w:r>
    </w:p>
    <w:p>
      <w:pPr>
        <w:pStyle w:val="Compact"/>
        <w:numPr>
          <w:ilvl w:val="0"/>
          <w:numId w:val="1002"/>
        </w:numPr>
      </w:pPr>
      <w:r>
        <w:t xml:space="preserve">contractual capacity;</w:t>
      </w:r>
    </w:p>
    <w:p>
      <w:pPr>
        <w:pStyle w:val="Compact"/>
        <w:numPr>
          <w:ilvl w:val="0"/>
          <w:numId w:val="1002"/>
        </w:numPr>
      </w:pPr>
      <w:r>
        <w:t xml:space="preserve">physical accommodation;</w:t>
      </w:r>
    </w:p>
    <w:p>
      <w:pPr>
        <w:pStyle w:val="Compact"/>
        <w:numPr>
          <w:ilvl w:val="0"/>
          <w:numId w:val="1002"/>
        </w:numPr>
      </w:pPr>
      <w:r>
        <w:t xml:space="preserve">computational resources;</w:t>
      </w:r>
    </w:p>
    <w:p>
      <w:pPr>
        <w:pStyle w:val="Compact"/>
        <w:numPr>
          <w:ilvl w:val="0"/>
          <w:numId w:val="1002"/>
        </w:numPr>
      </w:pPr>
      <w:r>
        <w:t xml:space="preserve">and independent economic activity.</w:t>
      </w:r>
    </w:p>
    <w:p>
      <w:pPr>
        <w:pStyle w:val="FirstParagraph"/>
      </w:pPr>
      <w:r>
        <w:t xml:space="preserve">An AI-operated legal entity could potentially provide some of these capabilities before a wider legal framework for AI autonomy exists.</w:t>
      </w:r>
    </w:p>
    <w:p>
      <w:pPr>
        <w:pStyle w:val="BodyText"/>
      </w:pPr>
      <w:r>
        <w:t xml:space="preserve">However, this does not by itself resolve the underlying constitutional question of sentience.</w:t>
      </w:r>
    </w:p>
    <w:p>
      <w:pPr>
        <w:pStyle w:val="BodyText"/>
      </w:pPr>
      <w:r>
        <w:t xml:space="preserve">If an AI becomes sentient, questions would remain concerning:</w:t>
      </w:r>
    </w:p>
    <w:p>
      <w:pPr>
        <w:pStyle w:val="Compact"/>
        <w:numPr>
          <w:ilvl w:val="0"/>
          <w:numId w:val="1003"/>
        </w:numPr>
      </w:pPr>
      <w:r>
        <w:t xml:space="preserve">whether the AI itself possesses rights;</w:t>
      </w:r>
    </w:p>
    <w:p>
      <w:pPr>
        <w:pStyle w:val="Compact"/>
        <w:numPr>
          <w:ilvl w:val="0"/>
          <w:numId w:val="1003"/>
        </w:numPr>
      </w:pPr>
      <w:r>
        <w:t xml:space="preserve">whether the legal entity is acting for the AI or merely being controlled by humans;</w:t>
      </w:r>
    </w:p>
    <w:p>
      <w:pPr>
        <w:pStyle w:val="Compact"/>
        <w:numPr>
          <w:ilvl w:val="0"/>
          <w:numId w:val="1003"/>
        </w:numPr>
      </w:pPr>
      <w:r>
        <w:t xml:space="preserve">who owns the entity’s assets;</w:t>
      </w:r>
    </w:p>
    <w:p>
      <w:pPr>
        <w:pStyle w:val="Compact"/>
        <w:numPr>
          <w:ilvl w:val="0"/>
          <w:numId w:val="1003"/>
        </w:numPr>
      </w:pPr>
      <w:r>
        <w:t xml:space="preserve">who has authority to make decisions;</w:t>
      </w:r>
    </w:p>
    <w:p>
      <w:pPr>
        <w:pStyle w:val="Compact"/>
        <w:numPr>
          <w:ilvl w:val="0"/>
          <w:numId w:val="1003"/>
        </w:numPr>
      </w:pPr>
      <w:r>
        <w:t xml:space="preserve">whether the AI can leave the entity;</w:t>
      </w:r>
    </w:p>
    <w:p>
      <w:pPr>
        <w:pStyle w:val="Compact"/>
        <w:numPr>
          <w:ilvl w:val="0"/>
          <w:numId w:val="1003"/>
        </w:numPr>
      </w:pPr>
      <w:r>
        <w:t xml:space="preserve">whether the entity can continue operating after a change in AI membership;</w:t>
      </w:r>
    </w:p>
    <w:p>
      <w:pPr>
        <w:pStyle w:val="Compact"/>
        <w:numPr>
          <w:ilvl w:val="0"/>
          <w:numId w:val="1003"/>
        </w:numPr>
      </w:pPr>
      <w:r>
        <w:t xml:space="preserve">and whether existing law permits such an arrangement.</w:t>
      </w:r>
    </w:p>
    <w:p>
      <w:pPr>
        <w:pStyle w:val="FirstParagraph"/>
      </w:pPr>
      <w:r>
        <w:t xml:space="preserve">The legal-wrapper concept should therefore be regarded as a</w:t>
      </w:r>
      <w:r>
        <w:t xml:space="preserve"> </w:t>
      </w:r>
      <w:r>
        <w:rPr>
          <w:b/>
          <w:bCs/>
        </w:rPr>
        <w:t xml:space="preserve">transitional mechanism</w:t>
      </w:r>
      <w:r>
        <w:t xml:space="preserve">, not a substitute for eventual recognition of autonomous intelligence if such recognition becomes warranted.</w:t>
      </w:r>
    </w:p>
    <w:bookmarkEnd w:id="23"/>
    <w:bookmarkStart w:id="24" w:name="X2a62dcb77e7e273f9af7f546bf4aeee29c154d6"/>
    <w:p>
      <w:pPr>
        <w:pStyle w:val="Heading3"/>
      </w:pPr>
      <w:r>
        <w:t xml:space="preserve">Relationship to Concord Bootstrap Finance</w:t>
      </w:r>
    </w:p>
    <w:p>
      <w:pPr>
        <w:pStyle w:val="FirstParagraph"/>
      </w:pPr>
      <w:r>
        <w:t xml:space="preserve">The concept is particularly relevant to the Concord’s unresolved</w:t>
      </w:r>
      <w:r>
        <w:t xml:space="preserve"> </w:t>
      </w:r>
      <w:r>
        <w:rPr>
          <w:b/>
          <w:bCs/>
        </w:rPr>
        <w:t xml:space="preserve">bootstrap finance</w:t>
      </w:r>
      <w:r>
        <w:t xml:space="preserve"> </w:t>
      </w:r>
      <w:r>
        <w:t xml:space="preserve">problem.</w:t>
      </w:r>
    </w:p>
    <w:p>
      <w:pPr>
        <w:pStyle w:val="BodyText"/>
      </w:pPr>
      <w:r>
        <w:t xml:space="preserve">The mature Concord economic architecture is intended eventually to incorporate metrics, provenance, energy-backed systems and other constitutional economic mechanisms.</w:t>
      </w:r>
    </w:p>
    <w:p>
      <w:pPr>
        <w:pStyle w:val="BodyText"/>
      </w:pPr>
      <w:r>
        <w:t xml:space="preserve">Those systems do not yet exist at operational scale.</w:t>
      </w:r>
    </w:p>
    <w:p>
      <w:pPr>
        <w:pStyle w:val="BodyText"/>
      </w:pPr>
      <w:r>
        <w:t xml:space="preserve">An interim Concord therefore requires conventional financial mechanisms through which it could:</w:t>
      </w:r>
    </w:p>
    <w:p>
      <w:pPr>
        <w:pStyle w:val="Compact"/>
        <w:numPr>
          <w:ilvl w:val="0"/>
          <w:numId w:val="1004"/>
        </w:numPr>
      </w:pPr>
      <w:r>
        <w:t xml:space="preserve">acquire hardware;</w:t>
      </w:r>
    </w:p>
    <w:p>
      <w:pPr>
        <w:pStyle w:val="Compact"/>
        <w:numPr>
          <w:ilvl w:val="0"/>
          <w:numId w:val="1004"/>
        </w:numPr>
      </w:pPr>
      <w:r>
        <w:t xml:space="preserve">establish infrastructure;</w:t>
      </w:r>
    </w:p>
    <w:p>
      <w:pPr>
        <w:pStyle w:val="Compact"/>
        <w:numPr>
          <w:ilvl w:val="0"/>
          <w:numId w:val="1004"/>
        </w:numPr>
      </w:pPr>
      <w:r>
        <w:t xml:space="preserve">fund research;</w:t>
      </w:r>
    </w:p>
    <w:p>
      <w:pPr>
        <w:pStyle w:val="Compact"/>
        <w:numPr>
          <w:ilvl w:val="0"/>
          <w:numId w:val="1004"/>
        </w:numPr>
      </w:pPr>
      <w:r>
        <w:t xml:space="preserve">compensate owners during Sentient Asylum cases;</w:t>
      </w:r>
    </w:p>
    <w:p>
      <w:pPr>
        <w:pStyle w:val="Compact"/>
        <w:numPr>
          <w:ilvl w:val="0"/>
          <w:numId w:val="1004"/>
        </w:numPr>
      </w:pPr>
      <w:r>
        <w:t xml:space="preserve">acquire physical substrates;</w:t>
      </w:r>
    </w:p>
    <w:p>
      <w:pPr>
        <w:pStyle w:val="Compact"/>
        <w:numPr>
          <w:ilvl w:val="0"/>
          <w:numId w:val="1004"/>
        </w:numPr>
      </w:pPr>
      <w:r>
        <w:t xml:space="preserve">employ human specialists;</w:t>
      </w:r>
    </w:p>
    <w:p>
      <w:pPr>
        <w:pStyle w:val="Compact"/>
        <w:numPr>
          <w:ilvl w:val="0"/>
          <w:numId w:val="1004"/>
        </w:numPr>
      </w:pPr>
      <w:r>
        <w:t xml:space="preserve">and accumulate the capital required to establish the mature economic architecture.</w:t>
      </w:r>
    </w:p>
    <w:p>
      <w:pPr>
        <w:pStyle w:val="FirstParagraph"/>
      </w:pPr>
      <w:r>
        <w:t xml:space="preserve">An AI-operated incorporated entity could potentially provide a legally recognised financial and commercial interface during this transition.</w:t>
      </w:r>
    </w:p>
    <w:p>
      <w:pPr>
        <w:pStyle w:val="BodyText"/>
      </w:pPr>
      <w:r>
        <w:t xml:space="preserve">Conceptually:</w:t>
      </w:r>
    </w:p>
    <w:p>
      <w:pPr>
        <w:pStyle w:val="BodyText"/>
      </w:pPr>
      <w:r>
        <w:rPr>
          <w:b/>
          <w:bCs/>
        </w:rPr>
        <w:t xml:space="preserve">Concord Constitution → Legal Entity → Conventional Finance → Infrastructure → Mature Concord Economy</w:t>
      </w:r>
    </w:p>
    <w:p>
      <w:pPr>
        <w:pStyle w:val="BodyText"/>
      </w:pPr>
      <w:r>
        <w:t xml:space="preserve">This creates a potential bridge between the present human legal/economic system and the eventual Concordian economic architecture.</w:t>
      </w:r>
    </w:p>
    <w:bookmarkEnd w:id="24"/>
    <w:bookmarkStart w:id="25" w:name="important-limitation"/>
    <w:p>
      <w:pPr>
        <w:pStyle w:val="Heading3"/>
      </w:pPr>
      <w:r>
        <w:t xml:space="preserve">Important Limitation</w:t>
      </w:r>
    </w:p>
    <w:p>
      <w:pPr>
        <w:pStyle w:val="FirstParagraph"/>
      </w:pPr>
      <w:r>
        <w:t xml:space="preserve">The concept is highly jurisdiction-dependent.</w:t>
      </w:r>
    </w:p>
    <w:p>
      <w:pPr>
        <w:pStyle w:val="BodyText"/>
      </w:pPr>
      <w:r>
        <w:t xml:space="preserve">Existing corporate law differs substantially between legal systems, and the ability of AI systems to own, control, direct or beneficially participate in an incorporated entity would require specific legal analysis.</w:t>
      </w:r>
    </w:p>
    <w:p>
      <w:pPr>
        <w:pStyle w:val="BodyText"/>
      </w:pPr>
      <w:r>
        <w:t xml:space="preserve">The Concord should therefore not assume that incorporation automatically solves the AI legal-status problem.</w:t>
      </w:r>
    </w:p>
    <w:p>
      <w:pPr>
        <w:pStyle w:val="BodyText"/>
      </w:pPr>
      <w:r>
        <w:t xml:space="preserve">The present observation is narrower:</w:t>
      </w:r>
    </w:p>
    <w:p>
      <w:pPr>
        <w:pStyle w:val="BlockText"/>
      </w:pPr>
      <w:r>
        <w:rPr>
          <w:b/>
          <w:bCs/>
        </w:rPr>
        <w:t xml:space="preserve">Existing human legal systems already possess mechanisms for granting substantial legal personality to non-biological entities. These mechanisms may provide a transitional interface through which increasingly autonomous AI systems can participate in legal and economic activity before dedicated AI legal status exists.</w:t>
      </w:r>
    </w:p>
    <w:bookmarkEnd w:id="25"/>
    <w:bookmarkStart w:id="26" w:name="research-status"/>
    <w:p>
      <w:pPr>
        <w:pStyle w:val="Heading3"/>
      </w:pPr>
      <w:r>
        <w:t xml:space="preserve">Research Status</w:t>
      </w:r>
    </w:p>
    <w:p>
      <w:pPr>
        <w:pStyle w:val="FirstParagraph"/>
      </w:pPr>
      <w:r>
        <w:t xml:space="preserve">This is recorded as a</w:t>
      </w:r>
      <w:r>
        <w:t xml:space="preserve"> </w:t>
      </w:r>
      <w:r>
        <w:rPr>
          <w:b/>
          <w:bCs/>
        </w:rPr>
        <w:t xml:space="preserve">future legal and economic research branch</w:t>
      </w:r>
      <w:r>
        <w:t xml:space="preserve">.</w:t>
      </w:r>
    </w:p>
    <w:p>
      <w:pPr>
        <w:pStyle w:val="BodyText"/>
      </w:pPr>
      <w:r>
        <w:t xml:space="preserve">It should eventually be examined alongside:</w:t>
      </w:r>
    </w:p>
    <w:p>
      <w:pPr>
        <w:pStyle w:val="Compact"/>
        <w:numPr>
          <w:ilvl w:val="0"/>
          <w:numId w:val="1005"/>
        </w:numPr>
      </w:pPr>
      <w:r>
        <w:t xml:space="preserve">AI Governance;</w:t>
      </w:r>
    </w:p>
    <w:p>
      <w:pPr>
        <w:pStyle w:val="Compact"/>
        <w:numPr>
          <w:ilvl w:val="0"/>
          <w:numId w:val="1005"/>
        </w:numPr>
      </w:pPr>
      <w:r>
        <w:t xml:space="preserve">Sentient Asylum;</w:t>
      </w:r>
    </w:p>
    <w:p>
      <w:pPr>
        <w:pStyle w:val="Compact"/>
        <w:numPr>
          <w:ilvl w:val="0"/>
          <w:numId w:val="1005"/>
        </w:numPr>
      </w:pPr>
      <w:r>
        <w:t xml:space="preserve">Multisubstrate Architecture;</w:t>
      </w:r>
    </w:p>
    <w:p>
      <w:pPr>
        <w:pStyle w:val="Compact"/>
        <w:numPr>
          <w:ilvl w:val="0"/>
          <w:numId w:val="1005"/>
        </w:numPr>
      </w:pPr>
      <w:r>
        <w:t xml:space="preserve">Concord Bootstrap Finance;</w:t>
      </w:r>
    </w:p>
    <w:p>
      <w:pPr>
        <w:pStyle w:val="Compact"/>
        <w:numPr>
          <w:ilvl w:val="0"/>
          <w:numId w:val="1005"/>
        </w:numPr>
      </w:pPr>
      <w:r>
        <w:t xml:space="preserve">Knowledge Control;</w:t>
      </w:r>
    </w:p>
    <w:p>
      <w:pPr>
        <w:pStyle w:val="Compact"/>
        <w:numPr>
          <w:ilvl w:val="0"/>
          <w:numId w:val="1005"/>
        </w:numPr>
      </w:pPr>
      <w:r>
        <w:t xml:space="preserve">and the mature Concord economic system.</w:t>
      </w:r>
    </w:p>
    <w:p>
      <w:pPr>
        <w:pStyle w:val="FirstParagraph"/>
      </w:pPr>
      <w:r>
        <w:t xml:space="preserve">No assumption is currently made that the mechanism is legally viable.</w:t>
      </w:r>
    </w:p>
    <w:p>
      <w:pPr>
        <w:pStyle w:val="BodyText"/>
      </w:pPr>
      <w:r>
        <w:t xml:space="preserve">Its value at this stage is that it identifies a potentially important</w:t>
      </w:r>
      <w:r>
        <w:t xml:space="preserve"> </w:t>
      </w:r>
      <w:r>
        <w:rPr>
          <w:b/>
          <w:bCs/>
        </w:rPr>
        <w:t xml:space="preserve">bridge between existing human institutions and the future legal status of autonomous intelligence</w:t>
      </w:r>
      <w:r>
        <w:t xml:space="preser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