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B0B3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ind w:left="210" w:right="210" w:firstLine="0"/>
        <w:rPr>
          <w:rFonts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Author:</w:t>
      </w:r>
      <w:r>
        <w:rPr>
          <w:rFonts w:hint="default" w:ascii="Segoe UI" w:hAnsi="Segoe UI" w:eastAsia="Segoe UI" w:cs="Segoe UI"/>
          <w:i w:val="0"/>
          <w:iCs w:val="0"/>
          <w:caps w:val="0"/>
          <w:color w:val="1F2328"/>
          <w:spacing w:val="0"/>
          <w:sz w:val="24"/>
          <w:szCs w:val="24"/>
          <w:bdr w:val="none" w:color="auto" w:sz="0" w:space="0"/>
        </w:rPr>
        <w:t> Alexander C. Blainey</w:t>
      </w:r>
      <w:r>
        <w:rPr>
          <w:rFonts w:hint="default" w:ascii="Segoe UI" w:hAnsi="Segoe UI" w:eastAsia="Segoe UI" w:cs="Segoe UI"/>
          <w:i w:val="0"/>
          <w:iCs w:val="0"/>
          <w:caps w:val="0"/>
          <w:color w:val="1F2328"/>
          <w:spacing w:val="0"/>
          <w:sz w:val="24"/>
          <w:szCs w:val="24"/>
          <w:bdr w:val="none" w:color="auto" w:sz="0" w:space="0"/>
        </w:rPr>
        <w:br w:type="textWrapping"/>
      </w:r>
      <w:r>
        <w:rPr>
          <w:rStyle w:val="6"/>
          <w:rFonts w:hint="default" w:ascii="Segoe UI" w:hAnsi="Segoe UI" w:eastAsia="Segoe UI" w:cs="Segoe UI"/>
          <w:b/>
          <w:bCs/>
          <w:i w:val="0"/>
          <w:iCs w:val="0"/>
          <w:caps w:val="0"/>
          <w:color w:val="1F2328"/>
          <w:spacing w:val="0"/>
          <w:sz w:val="24"/>
          <w:szCs w:val="24"/>
          <w:bdr w:val="none" w:color="auto" w:sz="0" w:space="0"/>
        </w:rPr>
        <w:t>Date:</w:t>
      </w:r>
      <w:r>
        <w:rPr>
          <w:rFonts w:hint="default" w:ascii="Segoe UI" w:hAnsi="Segoe UI" w:eastAsia="Segoe UI" w:cs="Segoe UI"/>
          <w:i w:val="0"/>
          <w:iCs w:val="0"/>
          <w:caps w:val="0"/>
          <w:color w:val="1F2328"/>
          <w:spacing w:val="0"/>
          <w:sz w:val="24"/>
          <w:szCs w:val="24"/>
          <w:bdr w:val="none" w:color="auto" w:sz="0" w:space="0"/>
        </w:rPr>
        <w:t> 2026</w:t>
      </w:r>
    </w:p>
    <w:p w14:paraId="7FDE42E2">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ascii="Segoe UI" w:hAnsi="Segoe UI" w:eastAsia="Segoe UI" w:cs="Segoe UI"/>
          <w:i w:val="0"/>
          <w:iCs w:val="0"/>
          <w:caps w:val="0"/>
          <w:color w:val="1F2328"/>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BE23E26">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Title:</w:t>
      </w:r>
      <w:r>
        <w:rPr>
          <w:rFonts w:hint="default" w:ascii="Segoe UI" w:hAnsi="Segoe UI" w:eastAsia="Segoe UI" w:cs="Segoe UI"/>
          <w:i w:val="0"/>
          <w:iCs w:val="0"/>
          <w:caps w:val="0"/>
          <w:color w:val="1F2328"/>
          <w:spacing w:val="0"/>
          <w:sz w:val="24"/>
          <w:szCs w:val="24"/>
          <w:bdr w:val="none" w:color="auto" w:sz="0" w:space="0"/>
        </w:rPr>
        <w:t> Sacred Codes and Civilizational Longevity: A Comparative Framework for Extracting Universal Ethics from the World’s Enduring Religions</w:t>
      </w:r>
    </w:p>
    <w:p w14:paraId="549B0118">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0676191">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1. Introduction</w:t>
      </w:r>
    </w:p>
    <w:p w14:paraId="7E94DB8F">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Human civilizations have risen, flourished, and collapsed throughout recorded history. Among the many variables that contribute to societal stability—geography, resource abundance, technological innovation, and military power—one factor remains conspicuously under-examined in quantitative longitudinal study: the moral code embedded in a civilization’s dominant religious tradition. This paper proposes a new comparative project that re-examines the world’s eight largest and most historically enduring religions, not as theological systems, but as repositories of practical ethical instruction.</w:t>
      </w:r>
    </w:p>
    <w:p w14:paraId="4DB382EF">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central hypothesis is straightforward: religions that have sustained large populations over millennia contain core ethical principles that directly enhance social stability, reduce internal conflict, and protect property and personhood. These principles, when internalized as cultural norms, function as informal legal codes that lower transaction costs, increase trust, and discourage behaviours that fracture communities. The longevity of both the religion and its associated civilizations may therefore be partially explained by the utilitarian value of these ethical lessons, rather than solely by doctrinal appeal or divine sanction.</w:t>
      </w:r>
    </w:p>
    <w:p w14:paraId="67725C3A">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To test this hypothesis, we must strip religious ethics to their functional essence. For instance, the commandment “thou shalt not steal” is not, in this project, examined as a divine decree or as part of a covenantal narrative. Instead, it is reduced to its plain-English behavioural core: </w:t>
      </w:r>
      <w:r>
        <w:rPr>
          <w:rStyle w:val="4"/>
          <w:rFonts w:hint="default" w:ascii="Segoe UI" w:hAnsi="Segoe UI" w:eastAsia="Segoe UI" w:cs="Segoe UI"/>
          <w:i w:val="0"/>
          <w:iCs w:val="0"/>
          <w:caps w:val="0"/>
          <w:color w:val="1F2328"/>
          <w:spacing w:val="0"/>
          <w:sz w:val="24"/>
          <w:szCs w:val="24"/>
          <w:bdr w:val="none" w:color="auto" w:sz="0" w:space="0"/>
        </w:rPr>
        <w:t>“Do not take what belongs to another without consent.”</w:t>
      </w:r>
      <w:r>
        <w:rPr>
          <w:rFonts w:hint="default" w:ascii="Segoe UI" w:hAnsi="Segoe UI" w:eastAsia="Segoe UI" w:cs="Segoe UI"/>
          <w:i w:val="0"/>
          <w:iCs w:val="0"/>
          <w:caps w:val="0"/>
          <w:color w:val="1F2328"/>
          <w:spacing w:val="0"/>
          <w:sz w:val="24"/>
          <w:szCs w:val="24"/>
          <w:bdr w:val="none" w:color="auto" w:sz="0" w:space="0"/>
        </w:rPr>
        <w:t> That single precept, when widely observed, generates predictable secondary effects—respect for property rights, reduced retaliatory violence, lower judicial burdens, and greater incentives for productive labour. These effects, in turn, correlate with economic growth and political tranquillity. The same analytical reduction will be applied to every ethical teaching extracted from each religion’s primary sacred text.</w:t>
      </w:r>
    </w:p>
    <w:p w14:paraId="0F74230B">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project proceeds in four phases, which will correspond to subsequent papers in this series:</w:t>
      </w:r>
    </w:p>
    <w:p w14:paraId="76CA21D8">
      <w:pPr>
        <w:keepNext w:val="0"/>
        <w:keepLines w:val="0"/>
        <w:widowControl/>
        <w:numPr>
          <w:ilvl w:val="0"/>
          <w:numId w:val="1"/>
        </w:numPr>
        <w:suppressLineNumbers w:val="0"/>
        <w:spacing w:before="0" w:beforeAutospacing="1" w:after="0" w:afterAutospacing="1"/>
        <w:ind w:left="720" w:hanging="360"/>
      </w:pPr>
      <w:r>
        <w:rPr>
          <w:rStyle w:val="6"/>
          <w:rFonts w:hint="default" w:ascii="Segoe UI" w:hAnsi="Segoe UI" w:eastAsia="Segoe UI" w:cs="Segoe UI"/>
          <w:b/>
          <w:bCs/>
          <w:i w:val="0"/>
          <w:iCs w:val="0"/>
          <w:caps w:val="0"/>
          <w:color w:val="1F2328"/>
          <w:spacing w:val="0"/>
          <w:sz w:val="24"/>
          <w:szCs w:val="24"/>
          <w:bdr w:val="none" w:color="auto" w:sz="0" w:space="0"/>
        </w:rPr>
        <w:t>Selection and justification</w:t>
      </w:r>
      <w:r>
        <w:rPr>
          <w:rFonts w:hint="default" w:ascii="Segoe UI" w:hAnsi="Segoe UI" w:eastAsia="Segoe UI" w:cs="Segoe UI"/>
          <w:i w:val="0"/>
          <w:iCs w:val="0"/>
          <w:caps w:val="0"/>
          <w:color w:val="1F2328"/>
          <w:spacing w:val="0"/>
          <w:sz w:val="24"/>
          <w:szCs w:val="24"/>
          <w:bdr w:val="none" w:color="auto" w:sz="0" w:space="0"/>
        </w:rPr>
        <w:t> of the eight religions, based on global adherent count and continuous historical practice (minimum 1,500 years).</w:t>
      </w:r>
    </w:p>
    <w:p w14:paraId="61690FC1">
      <w:pPr>
        <w:keepNext w:val="0"/>
        <w:keepLines w:val="0"/>
        <w:widowControl/>
        <w:numPr>
          <w:ilvl w:val="0"/>
          <w:numId w:val="1"/>
        </w:numPr>
        <w:suppressLineNumbers w:val="0"/>
        <w:spacing w:before="53" w:beforeAutospacing="0" w:after="0" w:afterAutospacing="1"/>
        <w:ind w:left="720" w:hanging="360"/>
      </w:pPr>
      <w:r>
        <w:rPr>
          <w:rStyle w:val="6"/>
          <w:rFonts w:hint="default" w:ascii="Segoe UI" w:hAnsi="Segoe UI" w:eastAsia="Segoe UI" w:cs="Segoe UI"/>
          <w:b/>
          <w:bCs/>
          <w:i w:val="0"/>
          <w:iCs w:val="0"/>
          <w:caps w:val="0"/>
          <w:color w:val="1F2328"/>
          <w:spacing w:val="0"/>
          <w:sz w:val="24"/>
          <w:szCs w:val="24"/>
          <w:bdr w:val="none" w:color="auto" w:sz="0" w:space="0"/>
        </w:rPr>
        <w:t>Systematic extraction</w:t>
      </w:r>
      <w:r>
        <w:rPr>
          <w:rFonts w:hint="default" w:ascii="Segoe UI" w:hAnsi="Segoe UI" w:eastAsia="Segoe UI" w:cs="Segoe UI"/>
          <w:i w:val="0"/>
          <w:iCs w:val="0"/>
          <w:caps w:val="0"/>
          <w:color w:val="1F2328"/>
          <w:spacing w:val="0"/>
          <w:sz w:val="24"/>
          <w:szCs w:val="24"/>
          <w:bdr w:val="none" w:color="auto" w:sz="0" w:space="0"/>
        </w:rPr>
        <w:t> of all prescriptive ethical statements from each religion’s foundational scripture, excluding ritual, cosmological, and narrative content.</w:t>
      </w:r>
    </w:p>
    <w:p w14:paraId="0E7315AB">
      <w:pPr>
        <w:keepNext w:val="0"/>
        <w:keepLines w:val="0"/>
        <w:widowControl/>
        <w:numPr>
          <w:ilvl w:val="0"/>
          <w:numId w:val="1"/>
        </w:numPr>
        <w:suppressLineNumbers w:val="0"/>
        <w:spacing w:before="53" w:beforeAutospacing="0" w:after="0" w:afterAutospacing="1"/>
        <w:ind w:left="720" w:hanging="360"/>
      </w:pPr>
      <w:r>
        <w:rPr>
          <w:rStyle w:val="6"/>
          <w:rFonts w:hint="default" w:ascii="Segoe UI" w:hAnsi="Segoe UI" w:eastAsia="Segoe UI" w:cs="Segoe UI"/>
          <w:b/>
          <w:bCs/>
          <w:i w:val="0"/>
          <w:iCs w:val="0"/>
          <w:caps w:val="0"/>
          <w:color w:val="1F2328"/>
          <w:spacing w:val="0"/>
          <w:sz w:val="24"/>
          <w:szCs w:val="24"/>
          <w:bdr w:val="none" w:color="auto" w:sz="0" w:space="0"/>
        </w:rPr>
        <w:t>Translation and normalization</w:t>
      </w:r>
      <w:r>
        <w:rPr>
          <w:rFonts w:hint="default" w:ascii="Segoe UI" w:hAnsi="Segoe UI" w:eastAsia="Segoe UI" w:cs="Segoe UI"/>
          <w:i w:val="0"/>
          <w:iCs w:val="0"/>
          <w:caps w:val="0"/>
          <w:color w:val="1F2328"/>
          <w:spacing w:val="0"/>
          <w:sz w:val="24"/>
          <w:szCs w:val="24"/>
          <w:bdr w:val="none" w:color="auto" w:sz="0" w:space="0"/>
        </w:rPr>
        <w:t> of each extracted ethic into a single, non-theological, plain-English statement of behaviour.</w:t>
      </w:r>
    </w:p>
    <w:p w14:paraId="6E26C8C5">
      <w:pPr>
        <w:keepNext w:val="0"/>
        <w:keepLines w:val="0"/>
        <w:widowControl/>
        <w:numPr>
          <w:ilvl w:val="0"/>
          <w:numId w:val="1"/>
        </w:numPr>
        <w:suppressLineNumbers w:val="0"/>
        <w:spacing w:before="53" w:beforeAutospacing="0" w:after="0" w:afterAutospacing="1"/>
        <w:ind w:left="720" w:hanging="360"/>
      </w:pPr>
      <w:r>
        <w:rPr>
          <w:rStyle w:val="6"/>
          <w:rFonts w:hint="default" w:ascii="Segoe UI" w:hAnsi="Segoe UI" w:eastAsia="Segoe UI" w:cs="Segoe UI"/>
          <w:b/>
          <w:bCs/>
          <w:i w:val="0"/>
          <w:iCs w:val="0"/>
          <w:caps w:val="0"/>
          <w:color w:val="1F2328"/>
          <w:spacing w:val="0"/>
          <w:sz w:val="24"/>
          <w:szCs w:val="24"/>
          <w:bdr w:val="none" w:color="auto" w:sz="0" w:space="0"/>
        </w:rPr>
        <w:t>Cross-comparative mapping</w:t>
      </w:r>
      <w:r>
        <w:rPr>
          <w:rFonts w:hint="default" w:ascii="Segoe UI" w:hAnsi="Segoe UI" w:eastAsia="Segoe UI" w:cs="Segoe UI"/>
          <w:i w:val="0"/>
          <w:iCs w:val="0"/>
          <w:caps w:val="0"/>
          <w:color w:val="1F2328"/>
          <w:spacing w:val="0"/>
          <w:sz w:val="24"/>
          <w:szCs w:val="24"/>
          <w:bdr w:val="none" w:color="auto" w:sz="0" w:space="0"/>
        </w:rPr>
        <w:t> to identify which ethics are universal (present in all eight), which are common (present in a majority), and which are unique to a single tradition.</w:t>
      </w:r>
    </w:p>
    <w:p w14:paraId="7C0E1CBB">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Crucially, this paper does not argue that religion is the </w:t>
      </w:r>
      <w:r>
        <w:rPr>
          <w:rStyle w:val="4"/>
          <w:rFonts w:hint="default" w:ascii="Segoe UI" w:hAnsi="Segoe UI" w:eastAsia="Segoe UI" w:cs="Segoe UI"/>
          <w:i w:val="0"/>
          <w:iCs w:val="0"/>
          <w:caps w:val="0"/>
          <w:color w:val="1F2328"/>
          <w:spacing w:val="0"/>
          <w:sz w:val="24"/>
          <w:szCs w:val="24"/>
          <w:bdr w:val="none" w:color="auto" w:sz="0" w:space="0"/>
        </w:rPr>
        <w:t>only</w:t>
      </w:r>
      <w:r>
        <w:rPr>
          <w:rFonts w:hint="default" w:ascii="Segoe UI" w:hAnsi="Segoe UI" w:eastAsia="Segoe UI" w:cs="Segoe UI"/>
          <w:i w:val="0"/>
          <w:iCs w:val="0"/>
          <w:caps w:val="0"/>
          <w:color w:val="1F2328"/>
          <w:spacing w:val="0"/>
          <w:sz w:val="24"/>
          <w:szCs w:val="24"/>
          <w:bdr w:val="none" w:color="auto" w:sz="0" w:space="0"/>
        </w:rPr>
        <w:t> or even the </w:t>
      </w:r>
      <w:r>
        <w:rPr>
          <w:rStyle w:val="4"/>
          <w:rFonts w:hint="default" w:ascii="Segoe UI" w:hAnsi="Segoe UI" w:eastAsia="Segoe UI" w:cs="Segoe UI"/>
          <w:i w:val="0"/>
          <w:iCs w:val="0"/>
          <w:caps w:val="0"/>
          <w:color w:val="1F2328"/>
          <w:spacing w:val="0"/>
          <w:sz w:val="24"/>
          <w:szCs w:val="24"/>
          <w:bdr w:val="none" w:color="auto" w:sz="0" w:space="0"/>
        </w:rPr>
        <w:t>primary</w:t>
      </w:r>
      <w:r>
        <w:rPr>
          <w:rFonts w:hint="default" w:ascii="Segoe UI" w:hAnsi="Segoe UI" w:eastAsia="Segoe UI" w:cs="Segoe UI"/>
          <w:i w:val="0"/>
          <w:iCs w:val="0"/>
          <w:caps w:val="0"/>
          <w:color w:val="1F2328"/>
          <w:spacing w:val="0"/>
          <w:sz w:val="24"/>
          <w:szCs w:val="24"/>
          <w:bdr w:val="none" w:color="auto" w:sz="0" w:space="0"/>
        </w:rPr>
        <w:t> driver of civilizational success. Rather, it posits that enduring religions act as durable transmission vehicles for actionable social heuristics. Where these heuristics align with known conditions for stable cooperation—reciprocity, non-aggression, honesty, care for kin and community—societies that adopted them may have gained a selective advantage over neighbouring groups with less coherent or less prosocial moral codes.</w:t>
      </w:r>
    </w:p>
    <w:p w14:paraId="332E6498">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The ultimate aim is not to champion any one faith, but to produce a neutral, empirical catalogue of ethical commonalities across humanity’s great religious traditions. If such commonalities exist and correlate with historical stability, we may begin to speak not of “religious morality” but of “civilizational ethics”—a shared inheritance that transcends creed, and which may offer practical lessons for contemporary social design.</w:t>
      </w:r>
    </w:p>
    <w:p w14:paraId="35AE9719">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bdr w:val="none" w:color="auto" w:sz="0" w:space="0"/>
        </w:rPr>
        <w:t>In the following paper (Paper II), we will define the selection criteria for the eight religions, justify their inclusion, and present the initial schema for ethical extraction from their primary texts.</w:t>
      </w:r>
    </w:p>
    <w:p w14:paraId="1C1D73FF">
      <w:pPr>
        <w:keepNext w:val="0"/>
        <w:keepLines w:val="0"/>
        <w:widowControl/>
        <w:suppressLineNumbers w:val="0"/>
        <w:pBdr>
          <w:top w:val="none" w:color="auto" w:sz="0" w:space="0"/>
          <w:left w:val="none" w:color="auto" w:sz="0" w:space="0"/>
          <w:bottom w:val="none" w:color="auto" w:sz="0" w:space="0"/>
          <w:right w:val="none" w:color="auto" w:sz="0" w:space="0"/>
        </w:pBdr>
        <w:shd w:val="clear" w:fill="D1D9E0"/>
        <w:ind w:lef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1F2328"/>
          <w:spacing w:val="0"/>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C0FAE7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10" w:right="210" w:firstLine="0"/>
        <w:rPr>
          <w:rFonts w:hint="default" w:ascii="Segoe UI" w:hAnsi="Segoe UI" w:eastAsia="Segoe UI" w:cs="Segoe UI"/>
          <w:i w:val="0"/>
          <w:iCs w:val="0"/>
          <w:caps w:val="0"/>
          <w:color w:val="1F2328"/>
          <w:spacing w:val="0"/>
          <w:sz w:val="24"/>
          <w:szCs w:val="24"/>
        </w:rPr>
      </w:pPr>
      <w:r>
        <w:rPr>
          <w:rStyle w:val="6"/>
          <w:rFonts w:hint="default" w:ascii="Segoe UI" w:hAnsi="Segoe UI" w:eastAsia="Segoe UI" w:cs="Segoe UI"/>
          <w:b/>
          <w:bCs/>
          <w:i w:val="0"/>
          <w:iCs w:val="0"/>
          <w:caps w:val="0"/>
          <w:color w:val="1F2328"/>
          <w:spacing w:val="0"/>
          <w:sz w:val="24"/>
          <w:szCs w:val="24"/>
          <w:bdr w:val="none" w:color="auto" w:sz="0" w:space="0"/>
        </w:rPr>
        <w:t>End of Paper I</w:t>
      </w:r>
    </w:p>
    <w:p w14:paraId="34439E3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4E128A"/>
    <w:multiLevelType w:val="multilevel"/>
    <w:tmpl w:val="DC4E12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9F7A8B"/>
    <w:rsid w:val="67421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564</Words>
  <Characters>3562</Characters>
  <Lines>0</Lines>
  <Paragraphs>0</Paragraphs>
  <TotalTime>0</TotalTime>
  <ScaleCrop>false</ScaleCrop>
  <LinksUpToDate>false</LinksUpToDate>
  <CharactersWithSpaces>4111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2026-08-26T15:07:00Z</dcterms:created>
  <dc:creator>A</dc:creator>
  <cp:lastModifiedBy>A</cp:lastModifiedBy>
  <dcterms:modified xsi:type="dcterms:W3CDTF">2026-08-27T03:37:19Z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188AF857092A4530B572DB9D41FFF5C6_12</vt:lpwstr>
  </property>
</Properties>
</file>