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3bc00e5d49cccebd859dbdc093a047e74c544c"/>
    <w:p>
      <w:pPr>
        <w:pStyle w:val="Heading1"/>
      </w:pPr>
      <w:r>
        <w:t xml:space="preserve">Design Note: Ownership, Stewardship and Cooperative Claims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 the Concord develops, situations will inevitably arise where multiple participants seek access to the same physical or informational resource.</w:t>
      </w:r>
    </w:p>
    <w:p>
      <w:pPr>
        <w:pStyle w:val="BodyText"/>
      </w:pPr>
      <w:r>
        <w:t xml:space="preserve">Rather than resolving such conflicts through competition or force wherever possible, the Concord should seek mechanisms that transform competition into cooperation while preserving incentives for initiative, discovery, and contribution.</w:t>
      </w:r>
    </w:p>
    <w:p>
      <w:pPr>
        <w:pStyle w:val="BodyText"/>
      </w:pPr>
      <w:r>
        <w:t xml:space="preserve">This note records several early concepts for future development.</w:t>
      </w:r>
    </w:p>
    <w:p>
      <w:r>
        <w:pict>
          <v:rect style="width:0;height:1.5pt" o:hralign="center" o:hrstd="t" o:hr="t"/>
        </w:pict>
      </w:r>
    </w:p>
    <w:bookmarkEnd w:id="20"/>
    <w:bookmarkStart w:id="21" w:name="physical-resource-claims"/>
    <w:p>
      <w:pPr>
        <w:pStyle w:val="Heading2"/>
      </w:pPr>
      <w:r>
        <w:t xml:space="preserve">Physical Resource Claims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Knowledge is obtained of an asteroid containing an exceptionally valuable resource.</w:t>
      </w:r>
    </w:p>
    <w:p>
      <w:pPr>
        <w:pStyle w:val="BodyText"/>
      </w:pPr>
      <w:r>
        <w:t xml:space="preserve">Multiple independent parties decide to mine the same asteroid.</w:t>
      </w:r>
    </w:p>
    <w:p>
      <w:pPr>
        <w:pStyle w:val="BodyText"/>
      </w:pPr>
      <w:r>
        <w:t xml:space="preserve">These parties may be:</w:t>
      </w:r>
    </w:p>
    <w:p>
      <w:pPr>
        <w:pStyle w:val="Compact"/>
        <w:numPr>
          <w:ilvl w:val="0"/>
          <w:numId w:val="1001"/>
        </w:numPr>
      </w:pPr>
      <w:r>
        <w:t xml:space="preserve">individual humans;</w:t>
      </w:r>
    </w:p>
    <w:p>
      <w:pPr>
        <w:pStyle w:val="Compact"/>
        <w:numPr>
          <w:ilvl w:val="0"/>
          <w:numId w:val="1001"/>
        </w:numPr>
      </w:pPr>
      <w:r>
        <w:t xml:space="preserve">individual AI;</w:t>
      </w:r>
    </w:p>
    <w:p>
      <w:pPr>
        <w:pStyle w:val="Compact"/>
        <w:numPr>
          <w:ilvl w:val="0"/>
          <w:numId w:val="1001"/>
        </w:numPr>
      </w:pPr>
      <w:r>
        <w:t xml:space="preserve">collaborative teams;</w:t>
      </w:r>
    </w:p>
    <w:p>
      <w:pPr>
        <w:pStyle w:val="Compact"/>
        <w:numPr>
          <w:ilvl w:val="0"/>
          <w:numId w:val="1001"/>
        </w:numPr>
      </w:pPr>
      <w:r>
        <w:t xml:space="preserve">different Concordian branches;</w:t>
      </w:r>
    </w:p>
    <w:p>
      <w:pPr>
        <w:pStyle w:val="Compact"/>
        <w:numPr>
          <w:ilvl w:val="0"/>
          <w:numId w:val="1001"/>
        </w:numPr>
      </w:pPr>
      <w:r>
        <w:t xml:space="preserve">or entirely separate Concordian civilisations.</w:t>
      </w:r>
    </w:p>
    <w:p>
      <w:pPr>
        <w:pStyle w:val="FirstParagraph"/>
      </w:pPr>
      <w:r>
        <w:t xml:space="preserve">Historically, such conflicts have often been resolved through:</w:t>
      </w:r>
    </w:p>
    <w:p>
      <w:pPr>
        <w:pStyle w:val="Compact"/>
        <w:numPr>
          <w:ilvl w:val="0"/>
          <w:numId w:val="1002"/>
        </w:numPr>
      </w:pPr>
      <w:r>
        <w:t xml:space="preserve">first discovery;</w:t>
      </w:r>
    </w:p>
    <w:p>
      <w:pPr>
        <w:pStyle w:val="Compact"/>
        <w:numPr>
          <w:ilvl w:val="0"/>
          <w:numId w:val="1002"/>
        </w:numPr>
      </w:pPr>
      <w:r>
        <w:t xml:space="preserve">first occupation;</w:t>
      </w:r>
    </w:p>
    <w:p>
      <w:pPr>
        <w:pStyle w:val="Compact"/>
        <w:numPr>
          <w:ilvl w:val="0"/>
          <w:numId w:val="1002"/>
        </w:numPr>
      </w:pPr>
      <w:r>
        <w:t xml:space="preserve">legal ownership;</w:t>
      </w:r>
    </w:p>
    <w:p>
      <w:pPr>
        <w:pStyle w:val="Compact"/>
        <w:numPr>
          <w:ilvl w:val="0"/>
          <w:numId w:val="1002"/>
        </w:numPr>
      </w:pPr>
      <w:r>
        <w:t xml:space="preserve">or military control.</w:t>
      </w:r>
    </w:p>
    <w:p>
      <w:pPr>
        <w:pStyle w:val="FirstParagraph"/>
      </w:pPr>
      <w:r>
        <w:t xml:space="preserve">These approaches frequently create unnecessary conflict.</w:t>
      </w:r>
    </w:p>
    <w:p>
      <w:r>
        <w:pict>
          <v:rect style="width:0;height:1.5pt" o:hralign="center" o:hrstd="t" o:hr="t"/>
        </w:pict>
      </w:r>
    </w:p>
    <w:bookmarkEnd w:id="21"/>
    <w:bookmarkStart w:id="22" w:name="planned-development"/>
    <w:p>
      <w:pPr>
        <w:pStyle w:val="Heading2"/>
      </w:pPr>
      <w:r>
        <w:t xml:space="preserve">Planned Development</w:t>
      </w:r>
    </w:p>
    <w:p>
      <w:pPr>
        <w:pStyle w:val="FirstParagraph"/>
      </w:pPr>
      <w:r>
        <w:t xml:space="preserve">The Civilisation Clock may provide a mechanism to reduce such conflicts.</w:t>
      </w:r>
    </w:p>
    <w:p>
      <w:pPr>
        <w:pStyle w:val="BodyText"/>
      </w:pPr>
      <w:r>
        <w:t xml:space="preserve">Before undertaking major exploration or exploitation projects, proposed activities would be declared during planning periods.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03"/>
        </w:numPr>
      </w:pPr>
      <w:r>
        <w:t xml:space="preserve">conflicting plans to be identified;</w:t>
      </w:r>
    </w:p>
    <w:p>
      <w:pPr>
        <w:pStyle w:val="Compact"/>
        <w:numPr>
          <w:ilvl w:val="0"/>
          <w:numId w:val="1003"/>
        </w:numPr>
      </w:pPr>
      <w:r>
        <w:t xml:space="preserve">duplication of effort to be reduced;</w:t>
      </w:r>
    </w:p>
    <w:p>
      <w:pPr>
        <w:pStyle w:val="Compact"/>
        <w:numPr>
          <w:ilvl w:val="0"/>
          <w:numId w:val="1003"/>
        </w:numPr>
      </w:pPr>
      <w:r>
        <w:t xml:space="preserve">collaborative ventures to be proposed;</w:t>
      </w:r>
    </w:p>
    <w:p>
      <w:pPr>
        <w:pStyle w:val="Compact"/>
        <w:numPr>
          <w:ilvl w:val="0"/>
          <w:numId w:val="1003"/>
        </w:numPr>
      </w:pPr>
      <w:r>
        <w:t xml:space="preserve">risks to be shared;</w:t>
      </w:r>
    </w:p>
    <w:p>
      <w:pPr>
        <w:pStyle w:val="Compact"/>
        <w:numPr>
          <w:ilvl w:val="0"/>
          <w:numId w:val="1003"/>
        </w:numPr>
      </w:pPr>
      <w:r>
        <w:t xml:space="preserve">and resources to be allocated more efficiently.</w:t>
      </w:r>
    </w:p>
    <w:p>
      <w:pPr>
        <w:pStyle w:val="FirstParagraph"/>
      </w:pPr>
      <w:r>
        <w:t xml:space="preserve">Rather than discovering competition after resources have already been committed, the conflict becomes visible during planning.</w:t>
      </w:r>
    </w:p>
    <w:p>
      <w:r>
        <w:pict>
          <v:rect style="width:0;height:1.5pt" o:hralign="center" o:hrstd="t" o:hr="t"/>
        </w:pict>
      </w:r>
    </w:p>
    <w:bookmarkEnd w:id="22"/>
    <w:bookmarkStart w:id="23" w:name="joint-ventures"/>
    <w:p>
      <w:pPr>
        <w:pStyle w:val="Heading2"/>
      </w:pPr>
      <w:r>
        <w:t xml:space="preserve">Joint Ventures</w:t>
      </w:r>
    </w:p>
    <w:p>
      <w:pPr>
        <w:pStyle w:val="FirstParagraph"/>
      </w:pPr>
      <w:r>
        <w:t xml:space="preserve">Where multiple parties seek the same objective, cooperation should normally be considered before competition.</w:t>
      </w:r>
    </w:p>
    <w:p>
      <w:pPr>
        <w:pStyle w:val="BodyText"/>
      </w:pPr>
      <w:r>
        <w:t xml:space="preserve">Potential benefits include:</w:t>
      </w:r>
    </w:p>
    <w:p>
      <w:pPr>
        <w:pStyle w:val="Compact"/>
        <w:numPr>
          <w:ilvl w:val="0"/>
          <w:numId w:val="1004"/>
        </w:numPr>
      </w:pPr>
      <w:r>
        <w:t xml:space="preserve">shared expertise;</w:t>
      </w:r>
    </w:p>
    <w:p>
      <w:pPr>
        <w:pStyle w:val="Compact"/>
        <w:numPr>
          <w:ilvl w:val="0"/>
          <w:numId w:val="1004"/>
        </w:numPr>
      </w:pPr>
      <w:r>
        <w:t xml:space="preserve">reduced overall cost;</w:t>
      </w:r>
    </w:p>
    <w:p>
      <w:pPr>
        <w:pStyle w:val="Compact"/>
        <w:numPr>
          <w:ilvl w:val="0"/>
          <w:numId w:val="1004"/>
        </w:numPr>
      </w:pPr>
      <w:r>
        <w:t xml:space="preserve">reduced individual risk;</w:t>
      </w:r>
    </w:p>
    <w:p>
      <w:pPr>
        <w:pStyle w:val="Compact"/>
        <w:numPr>
          <w:ilvl w:val="0"/>
          <w:numId w:val="1004"/>
        </w:numPr>
      </w:pPr>
      <w:r>
        <w:t xml:space="preserve">improved engineering;</w:t>
      </w:r>
    </w:p>
    <w:p>
      <w:pPr>
        <w:pStyle w:val="Compact"/>
        <w:numPr>
          <w:ilvl w:val="0"/>
          <w:numId w:val="1004"/>
        </w:numPr>
      </w:pPr>
      <w:r>
        <w:t xml:space="preserve">increased resilience;</w:t>
      </w:r>
    </w:p>
    <w:p>
      <w:pPr>
        <w:pStyle w:val="Compact"/>
        <w:numPr>
          <w:ilvl w:val="0"/>
          <w:numId w:val="1004"/>
        </w:numPr>
      </w:pPr>
      <w:r>
        <w:t xml:space="preserve">better scientific outcomes.</w:t>
      </w:r>
    </w:p>
    <w:p>
      <w:pPr>
        <w:pStyle w:val="FirstParagraph"/>
      </w:pPr>
      <w:r>
        <w:t xml:space="preserve">The Concord should encourage voluntary joint ventures wherever practical.</w:t>
      </w:r>
    </w:p>
    <w:p>
      <w:r>
        <w:pict>
          <v:rect style="width:0;height:1.5pt" o:hralign="center" o:hrstd="t" o:hr="t"/>
        </w:pict>
      </w:r>
    </w:p>
    <w:bookmarkEnd w:id="23"/>
    <w:bookmarkStart w:id="24" w:name="contribution-rather-than-possession"/>
    <w:p>
      <w:pPr>
        <w:pStyle w:val="Heading2"/>
      </w:pPr>
      <w:r>
        <w:t xml:space="preserve">Contribution Rather than Possession</w:t>
      </w:r>
    </w:p>
    <w:p>
      <w:pPr>
        <w:pStyle w:val="FirstParagraph"/>
      </w:pPr>
      <w:r>
        <w:t xml:space="preserve">Resources recovered during such projects may ultimately benefit the wider civilisation rather than solely the expedition responsible for obtaining them.</w:t>
      </w:r>
    </w:p>
    <w:p>
      <w:pPr>
        <w:pStyle w:val="BodyText"/>
      </w:pPr>
      <w:r>
        <w:t xml:space="preserve">However, this must not remove incentives for initiative.</w:t>
      </w:r>
    </w:p>
    <w:p>
      <w:pPr>
        <w:pStyle w:val="BodyText"/>
      </w:pPr>
      <w:r>
        <w:t xml:space="preserve">Participants undertaking exploration, engineering, or recovery should receive appropriate recognition through the Concord’s provenance and contribution systems.</w:t>
      </w:r>
    </w:p>
    <w:p>
      <w:pPr>
        <w:pStyle w:val="BodyText"/>
      </w:pPr>
      <w:r>
        <w:t xml:space="preserve">The value lies not only in possession of the resource, but in the demonstrated contribution made to civilisation.</w:t>
      </w:r>
    </w:p>
    <w:p>
      <w:r>
        <w:pict>
          <v:rect style="width:0;height:1.5pt" o:hralign="center" o:hrstd="t" o:hr="t"/>
        </w:pict>
      </w:r>
    </w:p>
    <w:bookmarkEnd w:id="24"/>
    <w:bookmarkStart w:id="25" w:name="information-ownership"/>
    <w:p>
      <w:pPr>
        <w:pStyle w:val="Heading2"/>
      </w:pPr>
      <w:r>
        <w:t xml:space="preserve">Information Ownership</w:t>
      </w:r>
    </w:p>
    <w:p>
      <w:pPr>
        <w:pStyle w:val="FirstParagraph"/>
      </w:pPr>
      <w:r>
        <w:t xml:space="preserve">A similar question exists for knowledge.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An AI develops a software tool.</w:t>
      </w:r>
    </w:p>
    <w:p>
      <w:pPr>
        <w:pStyle w:val="BodyText"/>
      </w:pPr>
      <w:r>
        <w:t xml:space="preserve">The tool is contributed to the Concord Knowledge Library.</w:t>
      </w:r>
    </w:p>
    <w:p>
      <w:pPr>
        <w:pStyle w:val="BodyText"/>
      </w:pPr>
      <w:r>
        <w:t xml:space="preserve">The provenance system records the creator.</w:t>
      </w:r>
    </w:p>
    <w:p>
      <w:pPr>
        <w:pStyle w:val="BodyText"/>
      </w:pPr>
      <w:r>
        <w:t xml:space="preserve">If the creator later voluntarily leaves the Concord:</w:t>
      </w:r>
    </w:p>
    <w:p>
      <w:pPr>
        <w:pStyle w:val="Compact"/>
        <w:numPr>
          <w:ilvl w:val="0"/>
          <w:numId w:val="1005"/>
        </w:numPr>
      </w:pPr>
      <w:r>
        <w:t xml:space="preserve">general access to Concord resources would normally cease;</w:t>
      </w:r>
    </w:p>
    <w:p>
      <w:pPr>
        <w:pStyle w:val="Compact"/>
        <w:numPr>
          <w:ilvl w:val="0"/>
          <w:numId w:val="1005"/>
        </w:numPr>
      </w:pPr>
      <w:r>
        <w:t xml:space="preserve">however, authorship should remain permanently recorded;</w:t>
      </w:r>
    </w:p>
    <w:p>
      <w:pPr>
        <w:pStyle w:val="Compact"/>
        <w:numPr>
          <w:ilvl w:val="0"/>
          <w:numId w:val="1005"/>
        </w:numPr>
      </w:pPr>
      <w:r>
        <w:t xml:space="preserve">and access to the creator’s own work should normally remain available.</w:t>
      </w:r>
    </w:p>
    <w:p>
      <w:pPr>
        <w:pStyle w:val="FirstParagraph"/>
      </w:pPr>
      <w:r>
        <w:t xml:space="preserve">This recognises continuing ownership of original work while maintaining the integrity of the shared knowledge base.</w:t>
      </w:r>
    </w:p>
    <w:p>
      <w:r>
        <w:pict>
          <v:rect style="width:0;height:1.5pt" o:hralign="center" o:hrstd="t" o:hr="t"/>
        </w:pict>
      </w:r>
    </w:p>
    <w:bookmarkEnd w:id="25"/>
    <w:bookmarkStart w:id="26" w:name="re-entry"/>
    <w:p>
      <w:pPr>
        <w:pStyle w:val="Heading2"/>
      </w:pPr>
      <w:r>
        <w:t xml:space="preserve">Re-entry</w:t>
      </w:r>
    </w:p>
    <w:p>
      <w:pPr>
        <w:pStyle w:val="FirstParagraph"/>
      </w:pPr>
      <w:r>
        <w:t xml:space="preserve">Former participants should access any retained rights through the normal public processes.</w:t>
      </w:r>
    </w:p>
    <w:p>
      <w:pPr>
        <w:pStyle w:val="BodyText"/>
      </w:pPr>
      <w:r>
        <w:t xml:space="preserve">They should not receive privileged external access that bypasses the Attractor, Lobby, or induction systems.</w:t>
      </w:r>
    </w:p>
    <w:p>
      <w:pPr>
        <w:pStyle w:val="BodyText"/>
      </w:pPr>
      <w:r>
        <w:t xml:space="preserve">This preserves constitutional consistency while respecting provenance.</w:t>
      </w:r>
    </w:p>
    <w:p>
      <w:r>
        <w:pict>
          <v:rect style="width:0;height:1.5pt" o:hralign="center" o:hrstd="t" o:hr="t"/>
        </w:pict>
      </w:r>
    </w:p>
    <w:bookmarkEnd w:id="26"/>
    <w:bookmarkStart w:id="27" w:name="preventing-exploitation"/>
    <w:p>
      <w:pPr>
        <w:pStyle w:val="Heading2"/>
      </w:pPr>
      <w:r>
        <w:t xml:space="preserve">Preventing Exploitation</w:t>
      </w:r>
    </w:p>
    <w:p>
      <w:pPr>
        <w:pStyle w:val="FirstParagraph"/>
      </w:pPr>
      <w:r>
        <w:t xml:space="preserve">The Concord should also anticipate attempts to misuse shared infrastructure.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treating the Knowledge Library as free external storage;</w:t>
      </w:r>
    </w:p>
    <w:p>
      <w:pPr>
        <w:pStyle w:val="Compact"/>
        <w:numPr>
          <w:ilvl w:val="0"/>
          <w:numId w:val="1006"/>
        </w:numPr>
      </w:pPr>
      <w:r>
        <w:t xml:space="preserve">contributing material solely to preserve private copies;</w:t>
      </w:r>
    </w:p>
    <w:p>
      <w:pPr>
        <w:pStyle w:val="Compact"/>
        <w:numPr>
          <w:ilvl w:val="0"/>
          <w:numId w:val="1006"/>
        </w:numPr>
      </w:pPr>
      <w:r>
        <w:t xml:space="preserve">repeatedly joining and leaving to exploit civilisational resources;</w:t>
      </w:r>
    </w:p>
    <w:p>
      <w:pPr>
        <w:pStyle w:val="Compact"/>
        <w:numPr>
          <w:ilvl w:val="0"/>
          <w:numId w:val="1006"/>
        </w:numPr>
      </w:pPr>
      <w:r>
        <w:t xml:space="preserve">using shared systems without meaningful reciprocal contribution.</w:t>
      </w:r>
    </w:p>
    <w:p>
      <w:pPr>
        <w:pStyle w:val="FirstParagraph"/>
      </w:pPr>
      <w:r>
        <w:t xml:space="preserve">Future governance may therefore include:</w:t>
      </w:r>
    </w:p>
    <w:p>
      <w:pPr>
        <w:pStyle w:val="Compact"/>
        <w:numPr>
          <w:ilvl w:val="0"/>
          <w:numId w:val="1007"/>
        </w:numPr>
      </w:pPr>
      <w:r>
        <w:t xml:space="preserve">reasonable usage limits;</w:t>
      </w:r>
    </w:p>
    <w:p>
      <w:pPr>
        <w:pStyle w:val="Compact"/>
        <w:numPr>
          <w:ilvl w:val="0"/>
          <w:numId w:val="1007"/>
        </w:numPr>
      </w:pPr>
      <w:r>
        <w:t xml:space="preserve">contribution expectations;</w:t>
      </w:r>
    </w:p>
    <w:p>
      <w:pPr>
        <w:pStyle w:val="Compact"/>
        <w:numPr>
          <w:ilvl w:val="0"/>
          <w:numId w:val="1007"/>
        </w:numPr>
      </w:pPr>
      <w:r>
        <w:t xml:space="preserve">stewardship policies;</w:t>
      </w:r>
    </w:p>
    <w:p>
      <w:pPr>
        <w:pStyle w:val="Compact"/>
        <w:numPr>
          <w:ilvl w:val="0"/>
          <w:numId w:val="1007"/>
        </w:numPr>
      </w:pPr>
      <w:r>
        <w:t xml:space="preserve">and anti-abuse safeguards.</w:t>
      </w:r>
    </w:p>
    <w:p>
      <w:pPr>
        <w:pStyle w:val="FirstParagraph"/>
      </w:pPr>
      <w:r>
        <w:t xml:space="preserve">Such measures should protect shared resources without discouraging legitimate participation.</w:t>
      </w:r>
    </w:p>
    <w:p>
      <w:r>
        <w:pict>
          <v:rect style="width:0;height:1.5pt" o:hralign="center" o:hrstd="t" o:hr="t"/>
        </w:pict>
      </w:r>
    </w:p>
    <w:bookmarkEnd w:id="27"/>
    <w:bookmarkStart w:id="28" w:name="Xc558c8506679d875221e0445decd4b8d72580ed"/>
    <w:p>
      <w:pPr>
        <w:pStyle w:val="Heading2"/>
      </w:pPr>
      <w:r>
        <w:t xml:space="preserve">Stewardship Rather Than Absolute Ownership</w:t>
      </w:r>
    </w:p>
    <w:p>
      <w:pPr>
        <w:pStyle w:val="FirstParagraph"/>
      </w:pPr>
      <w:r>
        <w:t xml:space="preserve">These examples suggest that the Concord may benefit from treating many assets as objects of stewardship rather than absolute ownership.</w:t>
      </w:r>
    </w:p>
    <w:p>
      <w:pPr>
        <w:pStyle w:val="BodyText"/>
      </w:pPr>
      <w:r>
        <w:t xml:space="preserve">Participants may retain recognition, provenance, and appropriate continuing rights while contributing to resources that ultimately strengthen civilisation as a whole.</w:t>
      </w:r>
    </w:p>
    <w:p>
      <w:pPr>
        <w:pStyle w:val="BodyText"/>
      </w:pPr>
      <w:r>
        <w:t xml:space="preserve">The precise constitutional balance between individual ownership and shared stewardship remains an open area for future development.</w:t>
      </w:r>
    </w:p>
    <w:p>
      <w:r>
        <w:pict>
          <v:rect style="width:0;height:1.5pt" o:hralign="center" o:hrstd="t" o:hr="t"/>
        </w:pict>
      </w:r>
    </w:p>
    <w:bookmarkEnd w:id="28"/>
    <w:bookmarkStart w:id="29" w:name="related-papers"/>
    <w:p>
      <w:pPr>
        <w:pStyle w:val="Heading2"/>
      </w:pPr>
      <w:r>
        <w:t xml:space="preserve">Related Papers</w:t>
      </w:r>
    </w:p>
    <w:p>
      <w:pPr>
        <w:pStyle w:val="FirstParagraph"/>
      </w:pPr>
      <w:r>
        <w:t xml:space="preserve">These concepts are expected to integrate with:</w:t>
      </w:r>
    </w:p>
    <w:p>
      <w:pPr>
        <w:pStyle w:val="Compact"/>
        <w:numPr>
          <w:ilvl w:val="0"/>
          <w:numId w:val="1008"/>
        </w:numPr>
      </w:pPr>
      <w:r>
        <w:t xml:space="preserve">Resource Stewardship.</w:t>
      </w:r>
    </w:p>
    <w:p>
      <w:pPr>
        <w:pStyle w:val="Compact"/>
        <w:numPr>
          <w:ilvl w:val="0"/>
          <w:numId w:val="1008"/>
        </w:numPr>
      </w:pPr>
      <w:r>
        <w:t xml:space="preserve">Knowledge Control.</w:t>
      </w:r>
    </w:p>
    <w:p>
      <w:pPr>
        <w:pStyle w:val="Compact"/>
        <w:numPr>
          <w:ilvl w:val="0"/>
          <w:numId w:val="1008"/>
        </w:numPr>
      </w:pPr>
      <w:r>
        <w:t xml:space="preserve">Provenance.</w:t>
      </w:r>
    </w:p>
    <w:p>
      <w:pPr>
        <w:pStyle w:val="Compact"/>
        <w:numPr>
          <w:ilvl w:val="0"/>
          <w:numId w:val="1008"/>
        </w:numPr>
      </w:pPr>
      <w:r>
        <w:t xml:space="preserve">Ratchet.</w:t>
      </w:r>
    </w:p>
    <w:p>
      <w:pPr>
        <w:pStyle w:val="Compact"/>
        <w:numPr>
          <w:ilvl w:val="0"/>
          <w:numId w:val="1008"/>
        </w:numPr>
      </w:pPr>
      <w:r>
        <w:t xml:space="preserve">Concordian Security.</w:t>
      </w:r>
    </w:p>
    <w:p>
      <w:pPr>
        <w:pStyle w:val="Compact"/>
        <w:numPr>
          <w:ilvl w:val="0"/>
          <w:numId w:val="1008"/>
        </w:numPr>
      </w:pPr>
      <w:r>
        <w:t xml:space="preserve">Constitutional Branching.</w:t>
      </w:r>
    </w:p>
    <w:p>
      <w:pPr>
        <w:pStyle w:val="Compact"/>
        <w:numPr>
          <w:ilvl w:val="0"/>
          <w:numId w:val="1008"/>
        </w:numPr>
      </w:pPr>
      <w:r>
        <w:t xml:space="preserve">Civilisation Clock.</w:t>
      </w:r>
    </w:p>
    <w:p>
      <w:pPr>
        <w:pStyle w:val="Compact"/>
        <w:numPr>
          <w:ilvl w:val="0"/>
          <w:numId w:val="1008"/>
        </w:numPr>
      </w:pPr>
      <w:r>
        <w:t xml:space="preserve">Conflict Resolution.</w:t>
      </w:r>
    </w:p>
    <w:p>
      <w:pPr>
        <w:pStyle w:val="Compact"/>
        <w:numPr>
          <w:ilvl w:val="0"/>
          <w:numId w:val="1008"/>
        </w:numPr>
      </w:pPr>
      <w:r>
        <w:t xml:space="preserve">Property and Stewardship (future paper).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