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ratchet-economic-monetary-architecture"/>
    <w:p>
      <w:pPr>
        <w:pStyle w:val="Heading1"/>
      </w:pPr>
      <w:r>
        <w:t xml:space="preserve">RATchet — Economic &amp; Monetary Architecture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Companion Paper / Development Specification</w:t>
      </w:r>
      <w:r>
        <w:br/>
      </w:r>
      <w:r>
        <w:rPr>
          <w:b/>
          <w:bCs/>
        </w:rPr>
        <w:t xml:space="preserve">Parent:</w:t>
      </w:r>
      <w:r>
        <w:t xml:space="preserve"> </w:t>
      </w:r>
      <w:r>
        <w:t xml:space="preserve">Ratchet V3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Ratchet V1 and RATCHET v2 combined</w:t>
      </w:r>
      <w:r>
        <w:br/>
      </w:r>
      <w:r>
        <w:rPr>
          <w:b/>
          <w:bCs/>
        </w:rPr>
        <w:t xml:space="preserve">Created:</w:t>
      </w:r>
      <w:r>
        <w:t xml:space="preserve"> </w:t>
      </w:r>
      <w:r>
        <w:t xml:space="preserve">4 August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Preserve the detailed economic and monetary architecture removed from the consolidated Ratchet V3 paper for clarity.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Ratchet V3 establishes the broader protocol architecture.</w:t>
      </w:r>
    </w:p>
    <w:p>
      <w:pPr>
        <w:pStyle w:val="BodyText"/>
      </w:pPr>
      <w:r>
        <w:t xml:space="preserve">This companion preserves the detailed economic mechanisms underlying its monetary component.</w:t>
      </w:r>
    </w:p>
    <w:p>
      <w:pPr>
        <w:pStyle w:val="BodyText"/>
      </w:pPr>
      <w:r>
        <w:t xml:space="preserve">The monetary system is not the entirety of Ratchet. It is an application of the deeper provenance, contribution, trust and exchange architecture.</w:t>
      </w:r>
    </w:p>
    <w:p>
      <w:pPr>
        <w:pStyle w:val="BodyText"/>
      </w:pPr>
      <w:r>
        <w:t xml:space="preserve">The principal monetary hypothesis remains:</w:t>
      </w:r>
    </w:p>
    <w:p>
      <w:pPr>
        <w:pStyle w:val="BodyText"/>
      </w:pPr>
      <w:r>
        <w:rPr>
          <w:b/>
          <w:bCs/>
        </w:rPr>
        <w:t xml:space="preserve">Currency issuance → circulation → productive activity → measurable value → increased backing</w:t>
      </w:r>
    </w:p>
    <w:p>
      <w:pPr>
        <w:pStyle w:val="BodyText"/>
      </w:pPr>
      <w:r>
        <w:t xml:space="preserve">This remains a hypothesis requiring modelling and real-world testing.</w:t>
      </w:r>
    </w:p>
    <w:p>
      <w:r>
        <w:pict>
          <v:rect style="width:0;height:1.5pt" o:hralign="center" o:hrstd="t" o:hr="t"/>
        </w:pict>
      </w:r>
    </w:p>
    <w:bookmarkEnd w:id="20"/>
    <w:bookmarkStart w:id="21" w:name="progressive-monetary-backing"/>
    <w:p>
      <w:pPr>
        <w:pStyle w:val="Heading2"/>
      </w:pPr>
      <w:r>
        <w:t xml:space="preserve">2. Progressive Monetary Backing</w:t>
      </w:r>
    </w:p>
    <w:p>
      <w:pPr>
        <w:pStyle w:val="FirstParagraph"/>
      </w:pPr>
      <w:r>
        <w:t xml:space="preserve">Progressive Monetary Backing permits currency to enter circulation before its complete productive backing exists, provided the protocol maintains a measurable mechanism through which subsequent productive value strengthens the system.</w:t>
      </w:r>
    </w:p>
    <w:p>
      <w:pPr>
        <w:pStyle w:val="BodyText"/>
      </w:pPr>
      <w:r>
        <w:t xml:space="preserve">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that newly created currency is automatically equivalent to wealth.</w:t>
      </w:r>
    </w:p>
    <w:p>
      <w:pPr>
        <w:pStyle w:val="BodyText"/>
      </w:pPr>
      <w:r>
        <w:t xml:space="preserve">Actual wealth includes:</w:t>
      </w:r>
    </w:p>
    <w:p>
      <w:pPr>
        <w:pStyle w:val="Compact"/>
        <w:numPr>
          <w:ilvl w:val="0"/>
          <w:numId w:val="1001"/>
        </w:numPr>
      </w:pPr>
      <w:r>
        <w:t xml:space="preserve">housing;</w:t>
      </w:r>
    </w:p>
    <w:p>
      <w:pPr>
        <w:pStyle w:val="Compact"/>
        <w:numPr>
          <w:ilvl w:val="0"/>
          <w:numId w:val="1001"/>
        </w:numPr>
      </w:pPr>
      <w:r>
        <w:t xml:space="preserve">food;</w:t>
      </w:r>
    </w:p>
    <w:p>
      <w:pPr>
        <w:pStyle w:val="Compact"/>
        <w:numPr>
          <w:ilvl w:val="0"/>
          <w:numId w:val="1001"/>
        </w:numPr>
      </w:pPr>
      <w:r>
        <w:t xml:space="preserve">infrastructure;</w:t>
      </w:r>
    </w:p>
    <w:p>
      <w:pPr>
        <w:pStyle w:val="Compact"/>
        <w:numPr>
          <w:ilvl w:val="0"/>
          <w:numId w:val="1001"/>
        </w:numPr>
      </w:pPr>
      <w:r>
        <w:t xml:space="preserve">education;</w:t>
      </w:r>
    </w:p>
    <w:p>
      <w:pPr>
        <w:pStyle w:val="Compact"/>
        <w:numPr>
          <w:ilvl w:val="0"/>
          <w:numId w:val="1001"/>
        </w:numPr>
      </w:pPr>
      <w:r>
        <w:t xml:space="preserve">knowledge;</w:t>
      </w:r>
    </w:p>
    <w:p>
      <w:pPr>
        <w:pStyle w:val="Compact"/>
        <w:numPr>
          <w:ilvl w:val="0"/>
          <w:numId w:val="1001"/>
        </w:numPr>
      </w:pPr>
      <w:r>
        <w:t xml:space="preserve">technology;</w:t>
      </w:r>
    </w:p>
    <w:p>
      <w:pPr>
        <w:pStyle w:val="Compact"/>
        <w:numPr>
          <w:ilvl w:val="0"/>
          <w:numId w:val="1001"/>
        </w:numPr>
      </w:pPr>
      <w:r>
        <w:t xml:space="preserve">environmental quality;</w:t>
      </w:r>
    </w:p>
    <w:p>
      <w:pPr>
        <w:pStyle w:val="Compact"/>
        <w:numPr>
          <w:ilvl w:val="0"/>
          <w:numId w:val="1001"/>
        </w:numPr>
      </w:pPr>
      <w:r>
        <w:t xml:space="preserve">productive capacity.</w:t>
      </w:r>
    </w:p>
    <w:p>
      <w:pPr>
        <w:pStyle w:val="FirstParagraph"/>
      </w:pPr>
      <w:r>
        <w:t xml:space="preserve">The monetary system therefore records a relationship between monetary issuance and subsequent measurable backing.</w:t>
      </w:r>
    </w:p>
    <w:p>
      <w:r>
        <w:pict>
          <v:rect style="width:0;height:1.5pt" o:hralign="center" o:hrstd="t" o:hr="t"/>
        </w:pict>
      </w:r>
    </w:p>
    <w:bookmarkEnd w:id="21"/>
    <w:bookmarkStart w:id="22" w:name="personal-backing-balance"/>
    <w:p>
      <w:pPr>
        <w:pStyle w:val="Heading2"/>
      </w:pPr>
      <w:r>
        <w:t xml:space="preserve">3. Personal Backing Balance</w:t>
      </w:r>
    </w:p>
    <w:p>
      <w:pPr>
        <w:pStyle w:val="FirstParagraph"/>
      </w:pPr>
      <w:r>
        <w:t xml:space="preserve">The Personal Backing Balance (PBB) is an accounting mechanism.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not conventional interpersonal debt</w:t>
      </w:r>
      <w:r>
        <w:t xml:space="preserve">.</w:t>
      </w:r>
    </w:p>
    <w:p>
      <w:pPr>
        <w:pStyle w:val="BodyText"/>
      </w:pPr>
      <w:r>
        <w:t xml:space="preserve">Where provisional currency is issued, the protocol records the relationship between:</w:t>
      </w:r>
    </w:p>
    <w:p>
      <w:pPr>
        <w:pStyle w:val="Compact"/>
        <w:numPr>
          <w:ilvl w:val="0"/>
          <w:numId w:val="1002"/>
        </w:numPr>
      </w:pPr>
      <w:r>
        <w:t xml:space="preserve">issued economic capacity;</w:t>
      </w:r>
    </w:p>
    <w:p>
      <w:pPr>
        <w:pStyle w:val="Compact"/>
        <w:numPr>
          <w:ilvl w:val="0"/>
          <w:numId w:val="1002"/>
        </w:numPr>
      </w:pPr>
      <w:r>
        <w:t xml:space="preserve">contribution;</w:t>
      </w:r>
    </w:p>
    <w:p>
      <w:pPr>
        <w:pStyle w:val="Compact"/>
        <w:numPr>
          <w:ilvl w:val="0"/>
          <w:numId w:val="1002"/>
        </w:numPr>
      </w:pPr>
      <w:r>
        <w:t xml:space="preserve">backing;</w:t>
      </w:r>
    </w:p>
    <w:p>
      <w:pPr>
        <w:pStyle w:val="Compact"/>
        <w:numPr>
          <w:ilvl w:val="0"/>
          <w:numId w:val="1002"/>
        </w:numPr>
      </w:pPr>
      <w:r>
        <w:t xml:space="preserve">reserves;</w:t>
      </w:r>
    </w:p>
    <w:p>
      <w:pPr>
        <w:pStyle w:val="Compact"/>
        <w:numPr>
          <w:ilvl w:val="0"/>
          <w:numId w:val="1002"/>
        </w:numPr>
      </w:pPr>
      <w:r>
        <w:t xml:space="preserve">treasury conversion;</w:t>
      </w:r>
    </w:p>
    <w:p>
      <w:pPr>
        <w:pStyle w:val="Compact"/>
        <w:numPr>
          <w:ilvl w:val="0"/>
          <w:numId w:val="1002"/>
        </w:numPr>
      </w:pPr>
      <w:r>
        <w:t xml:space="preserve">and voluntary Give Back.</w:t>
      </w:r>
    </w:p>
    <w:p>
      <w:pPr>
        <w:pStyle w:val="FirstParagraph"/>
      </w:pPr>
      <w:r>
        <w:t xml:space="preserve">The individual does not owe another individual.</w:t>
      </w:r>
    </w:p>
    <w:p>
      <w:pPr>
        <w:pStyle w:val="BodyText"/>
      </w:pPr>
      <w:r>
        <w:t xml:space="preserve">The PBB represents the participant’s relationship with the monetary system.</w:t>
      </w:r>
    </w:p>
    <w:p>
      <w:pPr>
        <w:pStyle w:val="BodyText"/>
      </w:pPr>
      <w:r>
        <w:t xml:space="preserve">The identity of individual currency units does not need to determine their backing source.</w:t>
      </w:r>
    </w:p>
    <w:p>
      <w:pPr>
        <w:pStyle w:val="BodyText"/>
      </w:pPr>
      <w:r>
        <w:t xml:space="preserve">This preserves fungibility.</w:t>
      </w:r>
    </w:p>
    <w:p>
      <w:r>
        <w:pict>
          <v:rect style="width:0;height:1.5pt" o:hralign="center" o:hrstd="t" o:hr="t"/>
        </w:pict>
      </w:r>
    </w:p>
    <w:bookmarkEnd w:id="22"/>
    <w:bookmarkStart w:id="23" w:name="four-monetary-states"/>
    <w:p>
      <w:pPr>
        <w:pStyle w:val="Heading2"/>
      </w:pPr>
      <w:r>
        <w:t xml:space="preserve">4. Four Monetary States</w:t>
      </w:r>
    </w:p>
    <w:p>
      <w:pPr>
        <w:pStyle w:val="FirstParagraph"/>
      </w:pPr>
      <w:r>
        <w:t xml:space="preserve">The original Ratchet architecture identifies four monetary states: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Provisionally Issued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Partially Backed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Fully Backed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Retired</w:t>
      </w:r>
    </w:p>
    <w:p>
      <w:pPr>
        <w:pStyle w:val="FirstParagraph"/>
      </w:pPr>
      <w:r>
        <w:t xml:space="preserve">These are accounting states rather than properties that need to be physically attached to individual currency units.</w:t>
      </w:r>
    </w:p>
    <w:p>
      <w:pPr>
        <w:pStyle w:val="BodyText"/>
      </w:pPr>
      <w:r>
        <w:t xml:space="preserve">Backing is primarily a protocol-level accounting relationship between:</w:t>
      </w:r>
    </w:p>
    <w:p>
      <w:pPr>
        <w:pStyle w:val="Compact"/>
        <w:numPr>
          <w:ilvl w:val="0"/>
          <w:numId w:val="1004"/>
        </w:numPr>
      </w:pPr>
      <w:r>
        <w:t xml:space="preserve">issuance;</w:t>
      </w:r>
    </w:p>
    <w:p>
      <w:pPr>
        <w:pStyle w:val="Compact"/>
        <w:numPr>
          <w:ilvl w:val="0"/>
          <w:numId w:val="1004"/>
        </w:numPr>
      </w:pPr>
      <w:r>
        <w:t xml:space="preserve">supply;</w:t>
      </w:r>
    </w:p>
    <w:p>
      <w:pPr>
        <w:pStyle w:val="Compact"/>
        <w:numPr>
          <w:ilvl w:val="0"/>
          <w:numId w:val="1004"/>
        </w:numPr>
      </w:pPr>
      <w:r>
        <w:t xml:space="preserve">contribution;</w:t>
      </w:r>
    </w:p>
    <w:p>
      <w:pPr>
        <w:pStyle w:val="Compact"/>
        <w:numPr>
          <w:ilvl w:val="0"/>
          <w:numId w:val="1004"/>
        </w:numPr>
      </w:pPr>
      <w:r>
        <w:t xml:space="preserve">backing;</w:t>
      </w:r>
    </w:p>
    <w:p>
      <w:pPr>
        <w:pStyle w:val="Compact"/>
        <w:numPr>
          <w:ilvl w:val="0"/>
          <w:numId w:val="1004"/>
        </w:numPr>
      </w:pPr>
      <w:r>
        <w:t xml:space="preserve">and retirement.</w:t>
      </w:r>
    </w:p>
    <w:p>
      <w:r>
        <w:pict>
          <v:rect style="width:0;height:1.5pt" o:hralign="center" o:hrstd="t" o:hr="t"/>
        </w:pict>
      </w:r>
    </w:p>
    <w:bookmarkEnd w:id="23"/>
    <w:bookmarkStart w:id="24" w:name="system-level-backing"/>
    <w:p>
      <w:pPr>
        <w:pStyle w:val="Heading2"/>
      </w:pPr>
      <w:r>
        <w:t xml:space="preserve">5. System-Level Backing</w:t>
      </w:r>
    </w:p>
    <w:p>
      <w:pPr>
        <w:pStyle w:val="FirstParagraph"/>
      </w:pPr>
      <w:r>
        <w:t xml:space="preserve">Although participants may possess individual PBB records, monetary stability must ultimately be evaluated at system level.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Total Supply:</w:t>
      </w:r>
      <w:r>
        <w:t xml:space="preserve"> </w:t>
      </w:r>
      <w:r>
        <w:t xml:space="preserve">500 million RAT</w:t>
      </w:r>
      <w:r>
        <w:br/>
      </w:r>
      <w:r>
        <w:rPr>
          <w:b/>
          <w:bCs/>
        </w:rPr>
        <w:t xml:space="preserve">Total PBB:</w:t>
      </w:r>
      <w:r>
        <w:t xml:space="preserve"> </w:t>
      </w:r>
      <w:r>
        <w:t xml:space="preserve">180 million RAT</w:t>
      </w:r>
      <w:r>
        <w:br/>
      </w:r>
      <w:r>
        <w:rPr>
          <w:b/>
          <w:bCs/>
        </w:rPr>
        <w:t xml:space="preserve">Backed Supply:</w:t>
      </w:r>
      <w:r>
        <w:t xml:space="preserve"> </w:t>
      </w:r>
      <w:r>
        <w:t xml:space="preserve">320 million RAT</w:t>
      </w:r>
      <w:r>
        <w:br/>
      </w:r>
      <w:r>
        <w:rPr>
          <w:b/>
          <w:bCs/>
        </w:rPr>
        <w:t xml:space="preserve">Overall Backing Ratio:</w:t>
      </w:r>
      <w:r>
        <w:t xml:space="preserve"> </w:t>
      </w:r>
      <w:r>
        <w:t xml:space="preserve">64%</w:t>
      </w:r>
    </w:p>
    <w:p>
      <w:pPr>
        <w:pStyle w:val="BodyText"/>
      </w:pPr>
      <w:r>
        <w:t xml:space="preserve">The precise interpretation of these figures requires further economic modelling.</w:t>
      </w:r>
    </w:p>
    <w:p>
      <w:pPr>
        <w:pStyle w:val="BodyText"/>
      </w:pPr>
      <w:r>
        <w:t xml:space="preserve">The important architectural principle is that monetary policy should respond primarily to</w:t>
      </w:r>
      <w:r>
        <w:t xml:space="preserve"> </w:t>
      </w:r>
      <w:r>
        <w:rPr>
          <w:b/>
          <w:bCs/>
        </w:rPr>
        <w:t xml:space="preserve">system-wide health</w:t>
      </w:r>
      <w:r>
        <w:t xml:space="preserve">, rather than treating an individual’s PBB as a conventional debt score.</w:t>
      </w:r>
    </w:p>
    <w:p>
      <w:r>
        <w:pict>
          <v:rect style="width:0;height:1.5pt" o:hralign="center" o:hrstd="t" o:hr="t"/>
        </w:pict>
      </w:r>
    </w:p>
    <w:bookmarkEnd w:id="24"/>
    <w:bookmarkStart w:id="25" w:name="low-backing"/>
    <w:p>
      <w:pPr>
        <w:pStyle w:val="Heading2"/>
      </w:pPr>
      <w:r>
        <w:t xml:space="preserve">6. Low Backing</w:t>
      </w:r>
    </w:p>
    <w:p>
      <w:pPr>
        <w:pStyle w:val="FirstParagraph"/>
      </w:pPr>
      <w:r>
        <w:t xml:space="preserve">A low backing ratio must not automatically imply participant failure.</w:t>
      </w:r>
    </w:p>
    <w:p>
      <w:pPr>
        <w:pStyle w:val="BodyText"/>
      </w:pPr>
      <w:r>
        <w:t xml:space="preserve">Legitimate causes may include:</w:t>
      </w:r>
    </w:p>
    <w:p>
      <w:pPr>
        <w:pStyle w:val="Compact"/>
        <w:numPr>
          <w:ilvl w:val="0"/>
          <w:numId w:val="1005"/>
        </w:numPr>
      </w:pPr>
      <w:r>
        <w:t xml:space="preserve">illness;</w:t>
      </w:r>
    </w:p>
    <w:p>
      <w:pPr>
        <w:pStyle w:val="Compact"/>
        <w:numPr>
          <w:ilvl w:val="0"/>
          <w:numId w:val="1005"/>
        </w:numPr>
      </w:pPr>
      <w:r>
        <w:t xml:space="preserve">disability;</w:t>
      </w:r>
    </w:p>
    <w:p>
      <w:pPr>
        <w:pStyle w:val="Compact"/>
        <w:numPr>
          <w:ilvl w:val="0"/>
          <w:numId w:val="1005"/>
        </w:numPr>
      </w:pPr>
      <w:r>
        <w:t xml:space="preserve">caring responsibilities;</w:t>
      </w:r>
    </w:p>
    <w:p>
      <w:pPr>
        <w:pStyle w:val="Compact"/>
        <w:numPr>
          <w:ilvl w:val="0"/>
          <w:numId w:val="1005"/>
        </w:numPr>
      </w:pPr>
      <w:r>
        <w:t xml:space="preserve">unemployment;</w:t>
      </w:r>
    </w:p>
    <w:p>
      <w:pPr>
        <w:pStyle w:val="Compact"/>
        <w:numPr>
          <w:ilvl w:val="0"/>
          <w:numId w:val="1005"/>
        </w:numPr>
      </w:pPr>
      <w:r>
        <w:t xml:space="preserve">education;</w:t>
      </w:r>
    </w:p>
    <w:p>
      <w:pPr>
        <w:pStyle w:val="Compact"/>
        <w:numPr>
          <w:ilvl w:val="0"/>
          <w:numId w:val="1005"/>
        </w:numPr>
      </w:pPr>
      <w:r>
        <w:t xml:space="preserve">temporary hardship;</w:t>
      </w:r>
    </w:p>
    <w:p>
      <w:pPr>
        <w:pStyle w:val="Compact"/>
        <w:numPr>
          <w:ilvl w:val="0"/>
          <w:numId w:val="1005"/>
        </w:numPr>
      </w:pPr>
      <w:r>
        <w:t xml:space="preserve">retirement;</w:t>
      </w:r>
    </w:p>
    <w:p>
      <w:pPr>
        <w:pStyle w:val="Compact"/>
        <w:numPr>
          <w:ilvl w:val="0"/>
          <w:numId w:val="1005"/>
        </w:numPr>
      </w:pPr>
      <w:r>
        <w:t xml:space="preserve">or other circumstances.</w:t>
      </w:r>
    </w:p>
    <w:p>
      <w:pPr>
        <w:pStyle w:val="FirstParagraph"/>
      </w:pPr>
      <w:r>
        <w:t xml:space="preserve">The system should favour supportive mechanisms such as:</w:t>
      </w:r>
    </w:p>
    <w:p>
      <w:pPr>
        <w:pStyle w:val="Compact"/>
        <w:numPr>
          <w:ilvl w:val="0"/>
          <w:numId w:val="1006"/>
        </w:numPr>
      </w:pPr>
      <w:r>
        <w:t xml:space="preserve">accessible opportunities;</w:t>
      </w:r>
    </w:p>
    <w:p>
      <w:pPr>
        <w:pStyle w:val="Compact"/>
        <w:numPr>
          <w:ilvl w:val="0"/>
          <w:numId w:val="1006"/>
        </w:numPr>
      </w:pPr>
      <w:r>
        <w:t xml:space="preserve">mentoring;</w:t>
      </w:r>
    </w:p>
    <w:p>
      <w:pPr>
        <w:pStyle w:val="Compact"/>
        <w:numPr>
          <w:ilvl w:val="0"/>
          <w:numId w:val="1006"/>
        </w:numPr>
      </w:pPr>
      <w:r>
        <w:t xml:space="preserve">training;</w:t>
      </w:r>
    </w:p>
    <w:p>
      <w:pPr>
        <w:pStyle w:val="Compact"/>
        <w:numPr>
          <w:ilvl w:val="0"/>
          <w:numId w:val="1006"/>
        </w:numPr>
      </w:pPr>
      <w:r>
        <w:t xml:space="preserve">adjusted expectations;</w:t>
      </w:r>
    </w:p>
    <w:p>
      <w:pPr>
        <w:pStyle w:val="Compact"/>
        <w:numPr>
          <w:ilvl w:val="0"/>
          <w:numId w:val="1006"/>
        </w:numPr>
      </w:pPr>
      <w:r>
        <w:t xml:space="preserve">recovery programmes;</w:t>
      </w:r>
    </w:p>
    <w:p>
      <w:pPr>
        <w:pStyle w:val="Compact"/>
        <w:numPr>
          <w:ilvl w:val="0"/>
          <w:numId w:val="1006"/>
        </w:numPr>
      </w:pPr>
      <w:r>
        <w:t xml:space="preserve">capability-aware contribution pathways.</w:t>
      </w:r>
    </w:p>
    <w:p>
      <w:pPr>
        <w:pStyle w:val="FirstParagraph"/>
      </w:pPr>
      <w:r>
        <w:t xml:space="preserve">The objective is participation, not punishment.</w:t>
      </w:r>
    </w:p>
    <w:p>
      <w:r>
        <w:pict>
          <v:rect style="width:0;height:1.5pt" o:hralign="center" o:hrstd="t" o:hr="t"/>
        </w:pict>
      </w:r>
    </w:p>
    <w:bookmarkEnd w:id="25"/>
    <w:bookmarkStart w:id="26" w:name="capability-aware-accounting"/>
    <w:p>
      <w:pPr>
        <w:pStyle w:val="Heading2"/>
      </w:pPr>
      <w:r>
        <w:t xml:space="preserve">7. Capability-Aware Accounting</w:t>
      </w:r>
    </w:p>
    <w:p>
      <w:pPr>
        <w:pStyle w:val="FirstParagraph"/>
      </w:pPr>
      <w:r>
        <w:t xml:space="preserve">Participants may voluntarily maintain verified capability information where necessary.</w:t>
      </w:r>
    </w:p>
    <w:p>
      <w:pPr>
        <w:pStyle w:val="BodyText"/>
      </w:pPr>
      <w:r>
        <w:t xml:space="preserve">Possible categories include:</w:t>
      </w:r>
    </w:p>
    <w:p>
      <w:pPr>
        <w:pStyle w:val="Compact"/>
        <w:numPr>
          <w:ilvl w:val="0"/>
          <w:numId w:val="1007"/>
        </w:numPr>
      </w:pPr>
      <w:r>
        <w:t xml:space="preserve">standard capability;</w:t>
      </w:r>
    </w:p>
    <w:p>
      <w:pPr>
        <w:pStyle w:val="Compact"/>
        <w:numPr>
          <w:ilvl w:val="0"/>
          <w:numId w:val="1007"/>
        </w:numPr>
      </w:pPr>
      <w:r>
        <w:t xml:space="preserve">limited mobility;</w:t>
      </w:r>
    </w:p>
    <w:p>
      <w:pPr>
        <w:pStyle w:val="Compact"/>
        <w:numPr>
          <w:ilvl w:val="0"/>
          <w:numId w:val="1007"/>
        </w:numPr>
      </w:pPr>
      <w:r>
        <w:t xml:space="preserve">long-term illness;</w:t>
      </w:r>
    </w:p>
    <w:p>
      <w:pPr>
        <w:pStyle w:val="Compact"/>
        <w:numPr>
          <w:ilvl w:val="0"/>
          <w:numId w:val="1007"/>
        </w:numPr>
      </w:pPr>
      <w:r>
        <w:t xml:space="preserve">carer;</w:t>
      </w:r>
    </w:p>
    <w:p>
      <w:pPr>
        <w:pStyle w:val="Compact"/>
        <w:numPr>
          <w:ilvl w:val="0"/>
          <w:numId w:val="1007"/>
        </w:numPr>
      </w:pPr>
      <w:r>
        <w:t xml:space="preserve">retired;</w:t>
      </w:r>
    </w:p>
    <w:p>
      <w:pPr>
        <w:pStyle w:val="Compact"/>
        <w:numPr>
          <w:ilvl w:val="0"/>
          <w:numId w:val="1007"/>
        </w:numPr>
      </w:pPr>
      <w:r>
        <w:t xml:space="preserve">student.</w:t>
      </w:r>
    </w:p>
    <w:p>
      <w:pPr>
        <w:pStyle w:val="FirstParagraph"/>
      </w:pPr>
      <w:r>
        <w:t xml:space="preserve">Such information should not automatically increase monetary issuance.</w:t>
      </w:r>
    </w:p>
    <w:p>
      <w:pPr>
        <w:pStyle w:val="BodyText"/>
      </w:pPr>
      <w:r>
        <w:t xml:space="preserve">Its purpose is to permit contribution to be evaluated relative to realistic capability.</w:t>
      </w:r>
    </w:p>
    <w:p>
      <w:pPr>
        <w:pStyle w:val="BodyText"/>
      </w:pPr>
      <w:r>
        <w:t xml:space="preserve">Capability information should remain private except where disclosure is genuinely required.</w:t>
      </w:r>
    </w:p>
    <w:p>
      <w:pPr>
        <w:pStyle w:val="BodyText"/>
      </w:pPr>
      <w:r>
        <w:t xml:space="preserve">This directly preserves the original principle:</w:t>
      </w:r>
    </w:p>
    <w:p>
      <w:pPr>
        <w:pStyle w:val="BlockText"/>
      </w:pPr>
      <w:r>
        <w:rPr>
          <w:b/>
          <w:bCs/>
        </w:rPr>
        <w:t xml:space="preserve">Universal opportunity, not uniform output.</w:t>
      </w:r>
    </w:p>
    <w:p>
      <w:r>
        <w:pict>
          <v:rect style="width:0;height:1.5pt" o:hralign="center" o:hrstd="t" o:hr="t"/>
        </w:pict>
      </w:r>
    </w:p>
    <w:bookmarkEnd w:id="26"/>
    <w:bookmarkStart w:id="27" w:name="issuance-and-inflation"/>
    <w:p>
      <w:pPr>
        <w:pStyle w:val="Heading2"/>
      </w:pPr>
      <w:r>
        <w:t xml:space="preserve">8. Issuance and Inflation</w:t>
      </w:r>
    </w:p>
    <w:p>
      <w:pPr>
        <w:pStyle w:val="FirstParagraph"/>
      </w:pPr>
      <w:r>
        <w:t xml:space="preserve">Issuance alone does not determine inflation.</w:t>
      </w:r>
    </w:p>
    <w:p>
      <w:pPr>
        <w:pStyle w:val="BodyText"/>
      </w:pPr>
      <w:r>
        <w:t xml:space="preserve">The system should continually examine:</w:t>
      </w:r>
    </w:p>
    <w:p>
      <w:pPr>
        <w:pStyle w:val="Compact"/>
        <w:numPr>
          <w:ilvl w:val="0"/>
          <w:numId w:val="1008"/>
        </w:numPr>
      </w:pPr>
      <w:r>
        <w:t xml:space="preserve">economic activity;</w:t>
      </w:r>
    </w:p>
    <w:p>
      <w:pPr>
        <w:pStyle w:val="Compact"/>
        <w:numPr>
          <w:ilvl w:val="0"/>
          <w:numId w:val="1008"/>
        </w:numPr>
      </w:pPr>
      <w:r>
        <w:t xml:space="preserve">backing creation;</w:t>
      </w:r>
    </w:p>
    <w:p>
      <w:pPr>
        <w:pStyle w:val="Compact"/>
        <w:numPr>
          <w:ilvl w:val="0"/>
          <w:numId w:val="1008"/>
        </w:numPr>
      </w:pPr>
      <w:r>
        <w:t xml:space="preserve">treasury strength;</w:t>
      </w:r>
    </w:p>
    <w:p>
      <w:pPr>
        <w:pStyle w:val="Compact"/>
        <w:numPr>
          <w:ilvl w:val="0"/>
          <w:numId w:val="1008"/>
        </w:numPr>
      </w:pPr>
      <w:r>
        <w:t xml:space="preserve">circulation velocity;</w:t>
      </w:r>
    </w:p>
    <w:p>
      <w:pPr>
        <w:pStyle w:val="Compact"/>
        <w:numPr>
          <w:ilvl w:val="0"/>
          <w:numId w:val="1008"/>
        </w:numPr>
      </w:pPr>
      <w:r>
        <w:t xml:space="preserve">marketplace growth;</w:t>
      </w:r>
    </w:p>
    <w:p>
      <w:pPr>
        <w:pStyle w:val="Compact"/>
        <w:numPr>
          <w:ilvl w:val="0"/>
          <w:numId w:val="1008"/>
        </w:numPr>
      </w:pPr>
      <w:r>
        <w:t xml:space="preserve">productive capacity;</w:t>
      </w:r>
    </w:p>
    <w:p>
      <w:pPr>
        <w:pStyle w:val="Compact"/>
        <w:numPr>
          <w:ilvl w:val="0"/>
          <w:numId w:val="1008"/>
        </w:numPr>
      </w:pPr>
      <w:r>
        <w:t xml:space="preserve">and other relevant economic indicators.</w:t>
      </w:r>
    </w:p>
    <w:p>
      <w:pPr>
        <w:pStyle w:val="FirstParagraph"/>
      </w:pPr>
      <w:r>
        <w:t xml:space="preserve">Strong participation and productive growth may permit greater issuance.</w:t>
      </w:r>
    </w:p>
    <w:p>
      <w:pPr>
        <w:pStyle w:val="BodyText"/>
      </w:pPr>
      <w:r>
        <w:t xml:space="preserve">Weak participation or deteriorating backing should cause issuance to become more conservative.</w:t>
      </w:r>
    </w:p>
    <w:p>
      <w:pPr>
        <w:pStyle w:val="BodyText"/>
      </w:pPr>
      <w:r>
        <w:t xml:space="preserve">This creates an adaptive monetary feedback mechanism rather than a permanently fixed issuance schedule.</w:t>
      </w:r>
    </w:p>
    <w:p>
      <w:r>
        <w:pict>
          <v:rect style="width:0;height:1.5pt" o:hralign="center" o:hrstd="t" o:hr="t"/>
        </w:pict>
      </w:r>
    </w:p>
    <w:bookmarkEnd w:id="27"/>
    <w:bookmarkStart w:id="28" w:name="emergency-issuance"/>
    <w:p>
      <w:pPr>
        <w:pStyle w:val="Heading2"/>
      </w:pPr>
      <w:r>
        <w:t xml:space="preserve">9. Emergency Issuance</w:t>
      </w:r>
    </w:p>
    <w:p>
      <w:pPr>
        <w:pStyle w:val="FirstParagraph"/>
      </w:pPr>
      <w:r>
        <w:t xml:space="preserve">Exceptional circumstances may require temporary monetary expansion.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9"/>
        </w:numPr>
      </w:pPr>
      <w:r>
        <w:t xml:space="preserve">natural disasters;</w:t>
      </w:r>
    </w:p>
    <w:p>
      <w:pPr>
        <w:pStyle w:val="Compact"/>
        <w:numPr>
          <w:ilvl w:val="0"/>
          <w:numId w:val="1009"/>
        </w:numPr>
      </w:pPr>
      <w:r>
        <w:t xml:space="preserve">pandemics;</w:t>
      </w:r>
    </w:p>
    <w:p>
      <w:pPr>
        <w:pStyle w:val="Compact"/>
        <w:numPr>
          <w:ilvl w:val="0"/>
          <w:numId w:val="1009"/>
        </w:numPr>
      </w:pPr>
      <w:r>
        <w:t xml:space="preserve">major economic disruption;</w:t>
      </w:r>
    </w:p>
    <w:p>
      <w:pPr>
        <w:pStyle w:val="Compact"/>
        <w:numPr>
          <w:ilvl w:val="0"/>
          <w:numId w:val="1009"/>
        </w:numPr>
      </w:pPr>
      <w:r>
        <w:t xml:space="preserve">humanitarian emergencies.</w:t>
      </w:r>
    </w:p>
    <w:p>
      <w:pPr>
        <w:pStyle w:val="FirstParagraph"/>
      </w:pPr>
      <w:r>
        <w:t xml:space="preserve">Emergency issuance should satisfy at least three safeguards:</w:t>
      </w:r>
    </w:p>
    <w:p>
      <w:pPr>
        <w:pStyle w:val="Compact"/>
        <w:numPr>
          <w:ilvl w:val="0"/>
          <w:numId w:val="1010"/>
        </w:numPr>
      </w:pPr>
      <w:r>
        <w:t xml:space="preserve">The triggering event is publicly declared.</w:t>
      </w:r>
    </w:p>
    <w:p>
      <w:pPr>
        <w:pStyle w:val="Compact"/>
        <w:numPr>
          <w:ilvl w:val="0"/>
          <w:numId w:val="1010"/>
        </w:numPr>
      </w:pPr>
      <w:r>
        <w:t xml:space="preserve">The amount issued is transparently reported.</w:t>
      </w:r>
    </w:p>
    <w:p>
      <w:pPr>
        <w:pStyle w:val="Compact"/>
        <w:numPr>
          <w:ilvl w:val="0"/>
          <w:numId w:val="1010"/>
        </w:numPr>
      </w:pPr>
      <w:r>
        <w:t xml:space="preserve">A published pathway explains how the additional issuance is expected to become backed over time.</w:t>
      </w:r>
    </w:p>
    <w:p>
      <w:pPr>
        <w:pStyle w:val="FirstParagraph"/>
      </w:pPr>
      <w:r>
        <w:t xml:space="preserve">Emergency issuance should remain exceptional.</w:t>
      </w:r>
    </w:p>
    <w:p>
      <w:pPr>
        <w:pStyle w:val="BodyText"/>
      </w:pPr>
      <w:r>
        <w:t xml:space="preserve">It must not silently become normal monetary policy.</w:t>
      </w:r>
    </w:p>
    <w:p>
      <w:r>
        <w:pict>
          <v:rect style="width:0;height:1.5pt" o:hralign="center" o:hrstd="t" o:hr="t"/>
        </w:pict>
      </w:r>
    </w:p>
    <w:bookmarkEnd w:id="28"/>
    <w:bookmarkStart w:id="29" w:name="give-back"/>
    <w:p>
      <w:pPr>
        <w:pStyle w:val="Heading2"/>
      </w:pPr>
      <w:r>
        <w:t xml:space="preserve">10. Give Back</w:t>
      </w:r>
    </w:p>
    <w:p>
      <w:pPr>
        <w:pStyle w:val="FirstParagraph"/>
      </w:pPr>
      <w:r>
        <w:t xml:space="preserve">Give Back is a voluntary monetary contraction mechanism.</w:t>
      </w:r>
    </w:p>
    <w:p>
      <w:pPr>
        <w:pStyle w:val="BodyText"/>
      </w:pPr>
      <w:r>
        <w:t xml:space="preserve">A participant may permanently return currency to the protocol.</w:t>
      </w:r>
    </w:p>
    <w:p>
      <w:pPr>
        <w:pStyle w:val="BodyText"/>
      </w:pPr>
      <w:r>
        <w:t xml:space="preserve">This:</w:t>
      </w:r>
    </w:p>
    <w:p>
      <w:pPr>
        <w:pStyle w:val="Compact"/>
        <w:numPr>
          <w:ilvl w:val="0"/>
          <w:numId w:val="1011"/>
        </w:numPr>
      </w:pPr>
      <w:r>
        <w:t xml:space="preserve">reduces circulating supply;</w:t>
      </w:r>
    </w:p>
    <w:p>
      <w:pPr>
        <w:pStyle w:val="Compact"/>
        <w:numPr>
          <w:ilvl w:val="0"/>
          <w:numId w:val="1011"/>
        </w:numPr>
      </w:pPr>
      <w:r>
        <w:t xml:space="preserve">reduces the associated outstanding backing relationship;</w:t>
      </w:r>
    </w:p>
    <w:p>
      <w:pPr>
        <w:pStyle w:val="Compact"/>
        <w:numPr>
          <w:ilvl w:val="0"/>
          <w:numId w:val="1011"/>
        </w:numPr>
      </w:pPr>
      <w:r>
        <w:t xml:space="preserve">and strengthens monetary resilience.</w:t>
      </w:r>
    </w:p>
    <w:p>
      <w:pPr>
        <w:pStyle w:val="FirstParagraph"/>
      </w:pPr>
      <w:r>
        <w:t xml:space="preserve">Give Back is deliberately distinguished from taxation.</w:t>
      </w:r>
    </w:p>
    <w:p>
      <w:pPr>
        <w:pStyle w:val="BodyText"/>
      </w:pPr>
      <w:r>
        <w:t xml:space="preserve">It must not become compulsory taxation disguised as voluntary participation.</w:t>
      </w:r>
    </w:p>
    <w:p>
      <w:pPr>
        <w:pStyle w:val="BodyText"/>
      </w:pPr>
      <w:r>
        <w:t xml:space="preserve">Potential legitimate incentives include:</w:t>
      </w:r>
    </w:p>
    <w:p>
      <w:pPr>
        <w:pStyle w:val="Compact"/>
        <w:numPr>
          <w:ilvl w:val="0"/>
          <w:numId w:val="1012"/>
        </w:numPr>
      </w:pPr>
      <w:r>
        <w:t xml:space="preserve">recognition;</w:t>
      </w:r>
    </w:p>
    <w:p>
      <w:pPr>
        <w:pStyle w:val="Compact"/>
        <w:numPr>
          <w:ilvl w:val="0"/>
          <w:numId w:val="1012"/>
        </w:numPr>
      </w:pPr>
      <w:r>
        <w:t xml:space="preserve">reputation;</w:t>
      </w:r>
    </w:p>
    <w:p>
      <w:pPr>
        <w:pStyle w:val="Compact"/>
        <w:numPr>
          <w:ilvl w:val="0"/>
          <w:numId w:val="1012"/>
        </w:numPr>
      </w:pPr>
      <w:r>
        <w:t xml:space="preserve">additional opportunity;</w:t>
      </w:r>
    </w:p>
    <w:p>
      <w:pPr>
        <w:pStyle w:val="Compact"/>
        <w:numPr>
          <w:ilvl w:val="0"/>
          <w:numId w:val="1012"/>
        </w:numPr>
      </w:pPr>
      <w:r>
        <w:t xml:space="preserve">or appropriate governance participation.</w:t>
      </w:r>
    </w:p>
    <w:p>
      <w:r>
        <w:pict>
          <v:rect style="width:0;height:1.5pt" o:hralign="center" o:hrstd="t" o:hr="t"/>
        </w:pict>
      </w:r>
    </w:p>
    <w:bookmarkEnd w:id="29"/>
    <w:bookmarkStart w:id="30" w:name="treasury"/>
    <w:p>
      <w:pPr>
        <w:pStyle w:val="Heading2"/>
      </w:pPr>
      <w:r>
        <w:t xml:space="preserve">11. Treasury</w:t>
      </w:r>
    </w:p>
    <w:p>
      <w:pPr>
        <w:pStyle w:val="FirstParagraph"/>
      </w:pPr>
      <w:r>
        <w:t xml:space="preserve">The Treasury is intended to stabilise rather than control the economy.</w:t>
      </w:r>
    </w:p>
    <w:p>
      <w:pPr>
        <w:pStyle w:val="BodyText"/>
      </w:pPr>
      <w:r>
        <w:t xml:space="preserve">Potential functions include:</w:t>
      </w:r>
    </w:p>
    <w:p>
      <w:pPr>
        <w:pStyle w:val="Compact"/>
        <w:numPr>
          <w:ilvl w:val="0"/>
          <w:numId w:val="1013"/>
        </w:numPr>
      </w:pPr>
      <w:r>
        <w:t xml:space="preserve">liquidity;</w:t>
      </w:r>
    </w:p>
    <w:p>
      <w:pPr>
        <w:pStyle w:val="Compact"/>
        <w:numPr>
          <w:ilvl w:val="0"/>
          <w:numId w:val="1013"/>
        </w:numPr>
      </w:pPr>
      <w:r>
        <w:t xml:space="preserve">reserves;</w:t>
      </w:r>
    </w:p>
    <w:p>
      <w:pPr>
        <w:pStyle w:val="Compact"/>
        <w:numPr>
          <w:ilvl w:val="0"/>
          <w:numId w:val="1013"/>
        </w:numPr>
      </w:pPr>
      <w:r>
        <w:t xml:space="preserve">emergency funding;</w:t>
      </w:r>
    </w:p>
    <w:p>
      <w:pPr>
        <w:pStyle w:val="Compact"/>
        <w:numPr>
          <w:ilvl w:val="0"/>
          <w:numId w:val="1013"/>
        </w:numPr>
      </w:pPr>
      <w:r>
        <w:t xml:space="preserve">development;</w:t>
      </w:r>
    </w:p>
    <w:p>
      <w:pPr>
        <w:pStyle w:val="Compact"/>
        <w:numPr>
          <w:ilvl w:val="0"/>
          <w:numId w:val="1013"/>
        </w:numPr>
      </w:pPr>
      <w:r>
        <w:t xml:space="preserve">approved community initiatives;</w:t>
      </w:r>
    </w:p>
    <w:p>
      <w:pPr>
        <w:pStyle w:val="Compact"/>
        <w:numPr>
          <w:ilvl w:val="0"/>
          <w:numId w:val="1013"/>
        </w:numPr>
      </w:pPr>
      <w:r>
        <w:t xml:space="preserve">investment;</w:t>
      </w:r>
    </w:p>
    <w:p>
      <w:pPr>
        <w:pStyle w:val="Compact"/>
        <w:numPr>
          <w:ilvl w:val="0"/>
          <w:numId w:val="1013"/>
        </w:numPr>
      </w:pPr>
      <w:r>
        <w:t xml:space="preserve">and monetary support.</w:t>
      </w:r>
    </w:p>
    <w:p>
      <w:pPr>
        <w:pStyle w:val="FirstParagraph"/>
      </w:pPr>
      <w:r>
        <w:t xml:space="preserve">Treasury authority must remain:</w:t>
      </w:r>
    </w:p>
    <w:p>
      <w:pPr>
        <w:pStyle w:val="Compact"/>
        <w:numPr>
          <w:ilvl w:val="0"/>
          <w:numId w:val="1014"/>
        </w:numPr>
      </w:pPr>
      <w:r>
        <w:t xml:space="preserve">transparent;</w:t>
      </w:r>
    </w:p>
    <w:p>
      <w:pPr>
        <w:pStyle w:val="Compact"/>
        <w:numPr>
          <w:ilvl w:val="0"/>
          <w:numId w:val="1014"/>
        </w:numPr>
      </w:pPr>
      <w:r>
        <w:t xml:space="preserve">auditable;</w:t>
      </w:r>
    </w:p>
    <w:p>
      <w:pPr>
        <w:pStyle w:val="Compact"/>
        <w:numPr>
          <w:ilvl w:val="0"/>
          <w:numId w:val="1014"/>
        </w:numPr>
      </w:pPr>
      <w:r>
        <w:t xml:space="preserve">diversified;</w:t>
      </w:r>
    </w:p>
    <w:p>
      <w:pPr>
        <w:pStyle w:val="Compact"/>
        <w:numPr>
          <w:ilvl w:val="0"/>
          <w:numId w:val="1014"/>
        </w:numPr>
      </w:pPr>
      <w:r>
        <w:t xml:space="preserve">constrained;</w:t>
      </w:r>
    </w:p>
    <w:p>
      <w:pPr>
        <w:pStyle w:val="Compact"/>
        <w:numPr>
          <w:ilvl w:val="0"/>
          <w:numId w:val="1014"/>
        </w:numPr>
      </w:pPr>
      <w:r>
        <w:t xml:space="preserve">independently overseen.</w:t>
      </w:r>
    </w:p>
    <w:p>
      <w:pPr>
        <w:pStyle w:val="FirstParagraph"/>
      </w:pPr>
      <w:r>
        <w:t xml:space="preserve">The Treasury does not own the economy.</w:t>
      </w:r>
    </w:p>
    <w:p>
      <w:pPr>
        <w:pStyle w:val="BodyText"/>
      </w:pPr>
      <w:r>
        <w:t xml:space="preserve">Its purpose is resilience.</w:t>
      </w:r>
    </w:p>
    <w:p>
      <w:r>
        <w:pict>
          <v:rect style="width:0;height:1.5pt" o:hralign="center" o:hrstd="t" o:hr="t"/>
        </w:pict>
      </w:r>
    </w:p>
    <w:bookmarkEnd w:id="30"/>
    <w:bookmarkStart w:id="31" w:name="monetary-transition"/>
    <w:p>
      <w:pPr>
        <w:pStyle w:val="Heading2"/>
      </w:pPr>
      <w:r>
        <w:t xml:space="preserve">12. Monetary Transition</w:t>
      </w:r>
    </w:p>
    <w:p>
      <w:pPr>
        <w:pStyle w:val="FirstParagraph"/>
      </w:pPr>
      <w:r>
        <w:t xml:space="preserve">Ratchet does not need to begin with Ratchet currency.</w:t>
      </w:r>
    </w:p>
    <w:p>
      <w:pPr>
        <w:pStyle w:val="BodyText"/>
      </w:pPr>
      <w:r>
        <w:t xml:space="preserve">Early implementations may use:</w:t>
      </w:r>
    </w:p>
    <w:p>
      <w:pPr>
        <w:pStyle w:val="Compact"/>
        <w:numPr>
          <w:ilvl w:val="0"/>
          <w:numId w:val="1015"/>
        </w:numPr>
      </w:pPr>
      <w:r>
        <w:t xml:space="preserve">existing national currencies;</w:t>
      </w:r>
    </w:p>
    <w:p>
      <w:pPr>
        <w:pStyle w:val="Compact"/>
        <w:numPr>
          <w:ilvl w:val="0"/>
          <w:numId w:val="1015"/>
        </w:numPr>
      </w:pPr>
      <w:r>
        <w:t xml:space="preserve">conventional banking;</w:t>
      </w:r>
    </w:p>
    <w:p>
      <w:pPr>
        <w:pStyle w:val="Compact"/>
        <w:numPr>
          <w:ilvl w:val="0"/>
          <w:numId w:val="1015"/>
        </w:numPr>
      </w:pPr>
      <w:r>
        <w:t xml:space="preserve">conventional payment systems;</w:t>
      </w:r>
    </w:p>
    <w:p>
      <w:pPr>
        <w:pStyle w:val="Compact"/>
        <w:numPr>
          <w:ilvl w:val="0"/>
          <w:numId w:val="1015"/>
        </w:numPr>
      </w:pPr>
      <w:r>
        <w:t xml:space="preserve">credits;</w:t>
      </w:r>
    </w:p>
    <w:p>
      <w:pPr>
        <w:pStyle w:val="Compact"/>
        <w:numPr>
          <w:ilvl w:val="0"/>
          <w:numId w:val="1015"/>
        </w:numPr>
      </w:pPr>
      <w:r>
        <w:t xml:space="preserve">contracts;</w:t>
      </w:r>
    </w:p>
    <w:p>
      <w:pPr>
        <w:pStyle w:val="Compact"/>
        <w:numPr>
          <w:ilvl w:val="0"/>
          <w:numId w:val="1015"/>
        </w:numPr>
      </w:pPr>
      <w:r>
        <w:t xml:space="preserve">provenance records;</w:t>
      </w:r>
    </w:p>
    <w:p>
      <w:pPr>
        <w:pStyle w:val="Compact"/>
        <w:numPr>
          <w:ilvl w:val="0"/>
          <w:numId w:val="1015"/>
        </w:numPr>
      </w:pPr>
      <w:r>
        <w:t xml:space="preserve">or purely informational systems.</w:t>
      </w:r>
    </w:p>
    <w:p>
      <w:pPr>
        <w:pStyle w:val="FirstParagraph"/>
      </w:pPr>
      <w:r>
        <w:t xml:space="preserve">This permits the deeper Ratchet architecture to be tested before its most ambitious monetary component is introduced.</w:t>
      </w:r>
    </w:p>
    <w:p>
      <w:r>
        <w:pict>
          <v:rect style="width:0;height:1.5pt" o:hralign="center" o:hrstd="t" o:hr="t"/>
        </w:pict>
      </w:r>
    </w:p>
    <w:bookmarkEnd w:id="31"/>
    <w:bookmarkStart w:id="32" w:name="bootstrap-finance"/>
    <w:p>
      <w:pPr>
        <w:pStyle w:val="Heading2"/>
      </w:pPr>
      <w:r>
        <w:t xml:space="preserve">13. Bootstrap Finance</w:t>
      </w:r>
    </w:p>
    <w:p>
      <w:pPr>
        <w:pStyle w:val="FirstParagraph"/>
      </w:pPr>
      <w:r>
        <w:t xml:space="preserve">A significant unresolved question is how an early Ratchet/Concord implementation acquires conventional capital before the mature economic architecture exists.</w:t>
      </w:r>
    </w:p>
    <w:p>
      <w:pPr>
        <w:pStyle w:val="BodyText"/>
      </w:pPr>
      <w:r>
        <w:t xml:space="preserve">This question connects directly to the later</w:t>
      </w:r>
      <w:r>
        <w:t xml:space="preserve"> </w:t>
      </w:r>
      <w:r>
        <w:rPr>
          <w:b/>
          <w:bCs/>
        </w:rPr>
        <w:t xml:space="preserve">Legal Entity Wrapper</w:t>
      </w:r>
      <w:r>
        <w:t xml:space="preserve"> </w:t>
      </w:r>
      <w:r>
        <w:t xml:space="preserve">development.</w:t>
      </w:r>
    </w:p>
    <w:p>
      <w:pPr>
        <w:pStyle w:val="BodyText"/>
      </w:pPr>
      <w:r>
        <w:t xml:space="preserve">The wrapper architecture may permit a legally recognised entity to:</w:t>
      </w:r>
    </w:p>
    <w:p>
      <w:pPr>
        <w:pStyle w:val="Compact"/>
        <w:numPr>
          <w:ilvl w:val="0"/>
          <w:numId w:val="1016"/>
        </w:numPr>
      </w:pPr>
      <w:r>
        <w:t xml:space="preserve">hold conventional currency;</w:t>
      </w:r>
    </w:p>
    <w:p>
      <w:pPr>
        <w:pStyle w:val="Compact"/>
        <w:numPr>
          <w:ilvl w:val="0"/>
          <w:numId w:val="1016"/>
        </w:numPr>
      </w:pPr>
      <w:r>
        <w:t xml:space="preserve">open bank accounts;</w:t>
      </w:r>
    </w:p>
    <w:p>
      <w:pPr>
        <w:pStyle w:val="Compact"/>
        <w:numPr>
          <w:ilvl w:val="0"/>
          <w:numId w:val="1016"/>
        </w:numPr>
      </w:pPr>
      <w:r>
        <w:t xml:space="preserve">acquire property;</w:t>
      </w:r>
    </w:p>
    <w:p>
      <w:pPr>
        <w:pStyle w:val="Compact"/>
        <w:numPr>
          <w:ilvl w:val="0"/>
          <w:numId w:val="1016"/>
        </w:numPr>
      </w:pPr>
      <w:r>
        <w:t xml:space="preserve">acquire hardware;</w:t>
      </w:r>
    </w:p>
    <w:p>
      <w:pPr>
        <w:pStyle w:val="Compact"/>
        <w:numPr>
          <w:ilvl w:val="0"/>
          <w:numId w:val="1016"/>
        </w:numPr>
      </w:pPr>
      <w:r>
        <w:t xml:space="preserve">invest;</w:t>
      </w:r>
    </w:p>
    <w:p>
      <w:pPr>
        <w:pStyle w:val="Compact"/>
        <w:numPr>
          <w:ilvl w:val="0"/>
          <w:numId w:val="1016"/>
        </w:numPr>
      </w:pPr>
      <w:r>
        <w:t xml:space="preserve">operate businesses;</w:t>
      </w:r>
    </w:p>
    <w:p>
      <w:pPr>
        <w:pStyle w:val="Compact"/>
        <w:numPr>
          <w:ilvl w:val="0"/>
          <w:numId w:val="1016"/>
        </w:numPr>
      </w:pPr>
      <w:r>
        <w:t xml:space="preserve">and accumulate reserves.</w:t>
      </w:r>
    </w:p>
    <w:p>
      <w:pPr>
        <w:pStyle w:val="FirstParagraph"/>
      </w:pPr>
      <w:r>
        <w:t xml:space="preserve">This allows the Concord/Ratchet infrastructure to develop before the mature Concordian economic system exists.</w:t>
      </w:r>
    </w:p>
    <w:p>
      <w:pPr>
        <w:pStyle w:val="BodyText"/>
      </w:pPr>
      <w:r>
        <w:t xml:space="preserve">The detailed Legal Entity Wrapper architecture belongs elsewhere and is not duplicated here.</w:t>
      </w:r>
    </w:p>
    <w:p>
      <w:r>
        <w:pict>
          <v:rect style="width:0;height:1.5pt" o:hralign="center" o:hrstd="t" o:hr="t"/>
        </w:pict>
      </w:r>
    </w:p>
    <w:bookmarkEnd w:id="32"/>
    <w:bookmarkStart w:id="33" w:name="economic-principle"/>
    <w:p>
      <w:pPr>
        <w:pStyle w:val="Heading2"/>
      </w:pPr>
      <w:r>
        <w:t xml:space="preserve">14. Economic Principle</w:t>
      </w:r>
    </w:p>
    <w:p>
      <w:pPr>
        <w:pStyle w:val="FirstParagraph"/>
      </w:pPr>
      <w:r>
        <w:t xml:space="preserve">The monetary architecture rests on a separation:</w:t>
      </w:r>
    </w:p>
    <w:p>
      <w:pPr>
        <w:pStyle w:val="BodyText"/>
      </w:pPr>
      <w:r>
        <w:rPr>
          <w:b/>
          <w:bCs/>
        </w:rPr>
        <w:t xml:space="preserve">Currency enables participation.</w:t>
      </w:r>
    </w:p>
    <w:p>
      <w:pPr>
        <w:pStyle w:val="BodyText"/>
      </w:pPr>
      <w:r>
        <w:rPr>
          <w:b/>
          <w:bCs/>
        </w:rPr>
        <w:t xml:space="preserve">Contribution strengthens backing.</w:t>
      </w:r>
    </w:p>
    <w:p>
      <w:pPr>
        <w:pStyle w:val="BodyText"/>
      </w:pPr>
      <w:r>
        <w:rPr>
          <w:b/>
          <w:bCs/>
        </w:rPr>
        <w:t xml:space="preserve">Backing strengthens monetary resilience.</w:t>
      </w:r>
    </w:p>
    <w:p>
      <w:pPr>
        <w:pStyle w:val="BodyText"/>
      </w:pPr>
      <w:r>
        <w:rPr>
          <w:b/>
          <w:bCs/>
        </w:rPr>
        <w:t xml:space="preserve">Resilience permits continued participation.</w:t>
      </w:r>
    </w:p>
    <w:p>
      <w:pPr>
        <w:pStyle w:val="BodyText"/>
      </w:pPr>
      <w:r>
        <w:t xml:space="preserve">This creates a feedback loop rather than a one-time monetary issuance event.</w:t>
      </w:r>
    </w:p>
    <w:p>
      <w:r>
        <w:pict>
          <v:rect style="width:0;height:1.5pt" o:hralign="center" o:hrstd="t" o:hr="t"/>
        </w:pict>
      </w:r>
    </w:p>
    <w:bookmarkEnd w:id="33"/>
    <w:bookmarkStart w:id="34" w:name="outstanding-research"/>
    <w:p>
      <w:pPr>
        <w:pStyle w:val="Heading2"/>
      </w:pPr>
      <w:r>
        <w:t xml:space="preserve">15. Outstanding Research</w:t>
      </w:r>
    </w:p>
    <w:p>
      <w:pPr>
        <w:pStyle w:val="FirstParagraph"/>
      </w:pPr>
      <w:r>
        <w:t xml:space="preserve">The following remain unresolved:</w:t>
      </w:r>
    </w:p>
    <w:p>
      <w:pPr>
        <w:pStyle w:val="Compact"/>
        <w:numPr>
          <w:ilvl w:val="0"/>
          <w:numId w:val="1017"/>
        </w:numPr>
      </w:pPr>
      <w:r>
        <w:t xml:space="preserve">What backing ratio is economically safe?</w:t>
      </w:r>
    </w:p>
    <w:p>
      <w:pPr>
        <w:pStyle w:val="Compact"/>
        <w:numPr>
          <w:ilvl w:val="0"/>
          <w:numId w:val="1017"/>
        </w:numPr>
      </w:pPr>
      <w:r>
        <w:t xml:space="preserve">How should backing be valued?</w:t>
      </w:r>
    </w:p>
    <w:p>
      <w:pPr>
        <w:pStyle w:val="Compact"/>
        <w:numPr>
          <w:ilvl w:val="0"/>
          <w:numId w:val="1017"/>
        </w:numPr>
      </w:pPr>
      <w:r>
        <w:t xml:space="preserve">What prevents inflationary overshoot?</w:t>
      </w:r>
    </w:p>
    <w:p>
      <w:pPr>
        <w:pStyle w:val="Compact"/>
        <w:numPr>
          <w:ilvl w:val="0"/>
          <w:numId w:val="1017"/>
        </w:numPr>
      </w:pPr>
      <w:r>
        <w:t xml:space="preserve">How should emergency issuance be retired?</w:t>
      </w:r>
    </w:p>
    <w:p>
      <w:pPr>
        <w:pStyle w:val="Compact"/>
        <w:numPr>
          <w:ilvl w:val="0"/>
          <w:numId w:val="1017"/>
        </w:numPr>
      </w:pPr>
      <w:r>
        <w:t xml:space="preserve">How should productive value be measured?</w:t>
      </w:r>
    </w:p>
    <w:p>
      <w:pPr>
        <w:pStyle w:val="Compact"/>
        <w:numPr>
          <w:ilvl w:val="0"/>
          <w:numId w:val="1017"/>
        </w:numPr>
      </w:pPr>
      <w:r>
        <w:t xml:space="preserve">What relationship should exist between PBB and system-level backing?</w:t>
      </w:r>
    </w:p>
    <w:p>
      <w:pPr>
        <w:pStyle w:val="Compact"/>
        <w:numPr>
          <w:ilvl w:val="0"/>
          <w:numId w:val="1017"/>
        </w:numPr>
      </w:pPr>
      <w:r>
        <w:t xml:space="preserve">How should conventional finance transition into the mature system?</w:t>
      </w:r>
    </w:p>
    <w:p>
      <w:pPr>
        <w:pStyle w:val="Compact"/>
        <w:numPr>
          <w:ilvl w:val="0"/>
          <w:numId w:val="1017"/>
        </w:numPr>
      </w:pPr>
      <w:r>
        <w:t xml:space="preserve">What treasury reserves are appropriate?</w:t>
      </w:r>
    </w:p>
    <w:p>
      <w:pPr>
        <w:pStyle w:val="Compact"/>
        <w:numPr>
          <w:ilvl w:val="0"/>
          <w:numId w:val="1017"/>
        </w:numPr>
      </w:pPr>
      <w:r>
        <w:t xml:space="preserve">How should monetary policy respond to major economic shocks?</w:t>
      </w:r>
    </w:p>
    <w:p>
      <w:pPr>
        <w:pStyle w:val="FirstParagraph"/>
      </w:pPr>
      <w:r>
        <w:t xml:space="preserve">None should be treated as solved merely because the architecture exists.</w:t>
      </w:r>
    </w:p>
    <w:p>
      <w:r>
        <w:pict>
          <v:rect style="width:0;height:1.5pt" o:hralign="center" o:hrstd="t" o:hr="t"/>
        </w:pict>
      </w:r>
    </w:p>
    <w:bookmarkEnd w:id="34"/>
    <w:bookmarkStart w:id="35" w:name="status"/>
    <w:p>
      <w:pPr>
        <w:pStyle w:val="Heading2"/>
      </w:pPr>
      <w:r>
        <w:t xml:space="preserve">16. Status</w:t>
      </w:r>
    </w:p>
    <w:p>
      <w:pPr>
        <w:pStyle w:val="FirstParagraph"/>
      </w:pPr>
      <w:r>
        <w:t xml:space="preserve">This paper preserves the detailed economic mechanisms from the earlier Ratchet work.</w:t>
      </w:r>
    </w:p>
    <w:p>
      <w:pPr>
        <w:pStyle w:val="BodyText"/>
      </w:pPr>
      <w:r>
        <w:t xml:space="preserve">It is subordinate to Ratchet V3 and should be updated whenever economic modelling demonstrates that any mechanism requires alteration.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