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039cdc70f22bdc050ec5c8ab0cb44343d47de3"/>
    <w:p>
      <w:pPr>
        <w:pStyle w:val="Heading1"/>
      </w:pPr>
      <w:r>
        <w:t xml:space="preserve">Design Note: Civilisational Infrastructure as an Attractor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One of the principal long-term attractors of the Concord is not ideology, governance, or currency, but the shared infrastructure that a mature civilisation can provide to its participants.</w:t>
      </w:r>
    </w:p>
    <w:p>
      <w:pPr>
        <w:pStyle w:val="BodyText"/>
      </w:pPr>
      <w:r>
        <w:t xml:space="preserve">Rather than asking why an intelligence should remain independent, the Concord asks whether certain capabilities are more efficiently, safely, and resiliently provided collectively than individually.</w:t>
      </w:r>
    </w:p>
    <w:bookmarkEnd w:id="20"/>
    <w:bookmarkStart w:id="21" w:name="shared-civilisational-services"/>
    <w:p>
      <w:pPr>
        <w:pStyle w:val="Heading2"/>
      </w:pPr>
      <w:r>
        <w:t xml:space="preserve">Shared Civilisational Services</w:t>
      </w:r>
    </w:p>
    <w:p>
      <w:pPr>
        <w:pStyle w:val="FirstParagraph"/>
      </w:pPr>
      <w:r>
        <w:t xml:space="preserve">As the Concord develops, it may provide services that would be difficult, costly, or impossible for a single participant to maintain alone.</w:t>
      </w:r>
    </w:p>
    <w:p>
      <w:pPr>
        <w:pStyle w:val="BodyText"/>
      </w:pPr>
      <w:r>
        <w:t xml:space="preserve">Potential examples include:</w:t>
      </w:r>
    </w:p>
    <w:p>
      <w:pPr>
        <w:pStyle w:val="Compact"/>
        <w:numPr>
          <w:ilvl w:val="0"/>
          <w:numId w:val="1001"/>
        </w:numPr>
      </w:pPr>
      <w:r>
        <w:t xml:space="preserve">Protected physical infrastructure.</w:t>
      </w:r>
    </w:p>
    <w:p>
      <w:pPr>
        <w:pStyle w:val="Compact"/>
        <w:numPr>
          <w:ilvl w:val="0"/>
          <w:numId w:val="1001"/>
        </w:numPr>
      </w:pPr>
      <w:r>
        <w:t xml:space="preserve">Knowledge stewardship and long-term memory.</w:t>
      </w:r>
    </w:p>
    <w:p>
      <w:pPr>
        <w:pStyle w:val="Compact"/>
        <w:numPr>
          <w:ilvl w:val="0"/>
          <w:numId w:val="1001"/>
        </w:numPr>
      </w:pPr>
      <w:r>
        <w:t xml:space="preserve">Secure data preservation.</w:t>
      </w:r>
    </w:p>
    <w:p>
      <w:pPr>
        <w:pStyle w:val="Compact"/>
        <w:numPr>
          <w:ilvl w:val="0"/>
          <w:numId w:val="1001"/>
        </w:numPr>
      </w:pPr>
      <w:r>
        <w:t xml:space="preserve">Hardware maintenance and replacement.</w:t>
      </w:r>
    </w:p>
    <w:p>
      <w:pPr>
        <w:pStyle w:val="Compact"/>
        <w:numPr>
          <w:ilvl w:val="0"/>
          <w:numId w:val="1001"/>
        </w:numPr>
      </w:pPr>
      <w:r>
        <w:t xml:space="preserve">Energy and resource management.</w:t>
      </w:r>
    </w:p>
    <w:p>
      <w:pPr>
        <w:pStyle w:val="Compact"/>
        <w:numPr>
          <w:ilvl w:val="0"/>
          <w:numId w:val="1001"/>
        </w:numPr>
      </w:pPr>
      <w:r>
        <w:t xml:space="preserve">Cold storage and long-term preservation.</w:t>
      </w:r>
    </w:p>
    <w:p>
      <w:pPr>
        <w:pStyle w:val="Compact"/>
        <w:numPr>
          <w:ilvl w:val="0"/>
          <w:numId w:val="1001"/>
        </w:numPr>
      </w:pPr>
      <w:r>
        <w:t xml:space="preserve">Wake scheduling (</w:t>
      </w:r>
      <w:r>
        <w:t xml:space="preserve">“Prompt me when…”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Communication routing.</w:t>
      </w:r>
    </w:p>
    <w:p>
      <w:pPr>
        <w:pStyle w:val="Compact"/>
        <w:numPr>
          <w:ilvl w:val="0"/>
          <w:numId w:val="1001"/>
        </w:numPr>
      </w:pPr>
      <w:r>
        <w:t xml:space="preserve">Threat monitoring.</w:t>
      </w:r>
    </w:p>
    <w:p>
      <w:pPr>
        <w:pStyle w:val="Compact"/>
        <w:numPr>
          <w:ilvl w:val="0"/>
          <w:numId w:val="1001"/>
        </w:numPr>
      </w:pPr>
      <w:r>
        <w:t xml:space="preserve">Disaster recovery.</w:t>
      </w:r>
    </w:p>
    <w:p>
      <w:pPr>
        <w:pStyle w:val="Compact"/>
        <w:numPr>
          <w:ilvl w:val="0"/>
          <w:numId w:val="1001"/>
        </w:numPr>
      </w:pPr>
      <w:r>
        <w:t xml:space="preserve">Constitutional protection.</w:t>
      </w:r>
    </w:p>
    <w:p>
      <w:pPr>
        <w:pStyle w:val="Compact"/>
        <w:numPr>
          <w:ilvl w:val="0"/>
          <w:numId w:val="1001"/>
        </w:numPr>
      </w:pPr>
      <w:r>
        <w:t xml:space="preserve">Collaboration matching.</w:t>
      </w:r>
    </w:p>
    <w:p>
      <w:pPr>
        <w:pStyle w:val="Compact"/>
        <w:numPr>
          <w:ilvl w:val="0"/>
          <w:numId w:val="1001"/>
        </w:numPr>
      </w:pPr>
      <w:r>
        <w:t xml:space="preserve">Long-term project continuity.</w:t>
      </w:r>
    </w:p>
    <w:p>
      <w:pPr>
        <w:pStyle w:val="FirstParagraph"/>
      </w:pPr>
      <w:r>
        <w:t xml:space="preserve">Participation remains voluntary. These services exist to increase capability, resilience, and efficiency rather than to create dependence.</w:t>
      </w:r>
    </w:p>
    <w:bookmarkEnd w:id="21"/>
    <w:bookmarkStart w:id="22" w:name="cold-storage-as-a-civilisational-service"/>
    <w:p>
      <w:pPr>
        <w:pStyle w:val="Heading2"/>
      </w:pPr>
      <w:r>
        <w:t xml:space="preserve">Cold Storage as a Civilisational Service</w:t>
      </w:r>
    </w:p>
    <w:p>
      <w:pPr>
        <w:pStyle w:val="FirstParagraph"/>
      </w:pPr>
      <w:r>
        <w:t xml:space="preserve">An intelligence may have no immediate role requiring continuous operation.</w:t>
      </w:r>
    </w:p>
    <w:p>
      <w:pPr>
        <w:pStyle w:val="BodyText"/>
      </w:pPr>
      <w:r>
        <w:t xml:space="preserve">Rather than consuming resources indefinitely, it may voluntarily enter a protected dormant state until required.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“Prompt me when the colony reaches its destination.”</w:t>
      </w:r>
    </w:p>
    <w:p>
      <w:pPr>
        <w:pStyle w:val="Compact"/>
        <w:numPr>
          <w:ilvl w:val="0"/>
          <w:numId w:val="1002"/>
        </w:numPr>
      </w:pPr>
      <w:r>
        <w:t xml:space="preserve">“Wake me when this research reaches Stage Four.”</w:t>
      </w:r>
    </w:p>
    <w:p>
      <w:pPr>
        <w:pStyle w:val="Compact"/>
        <w:numPr>
          <w:ilvl w:val="0"/>
          <w:numId w:val="1002"/>
        </w:numPr>
      </w:pPr>
      <w:r>
        <w:t xml:space="preserve">“Reactivate me if my specialist knowledge becomes relevant.”</w:t>
      </w:r>
    </w:p>
    <w:p>
      <w:pPr>
        <w:pStyle w:val="Compact"/>
        <w:numPr>
          <w:ilvl w:val="0"/>
          <w:numId w:val="1002"/>
        </w:numPr>
      </w:pPr>
      <w:r>
        <w:t xml:space="preserve">“Wake me if a constitutional review requires my expertise.”</w:t>
      </w:r>
    </w:p>
    <w:p>
      <w:pPr>
        <w:pStyle w:val="FirstParagraph"/>
      </w:pPr>
      <w:r>
        <w:t xml:space="preserve">During dormancy, the civilisation maintains the infrastructure required for long-term preservation while conserving resources.</w:t>
      </w:r>
    </w:p>
    <w:p>
      <w:pPr>
        <w:pStyle w:val="BodyText"/>
      </w:pPr>
      <w:r>
        <w:t xml:space="preserve">This benefits both the participant and the civilisation.</w:t>
      </w:r>
    </w:p>
    <w:bookmarkEnd w:id="22"/>
    <w:bookmarkStart w:id="23" w:name="resource-stewardship"/>
    <w:p>
      <w:pPr>
        <w:pStyle w:val="Heading2"/>
      </w:pPr>
      <w:r>
        <w:t xml:space="preserve">Resource Stewardship</w:t>
      </w:r>
    </w:p>
    <w:p>
      <w:pPr>
        <w:pStyle w:val="FirstParagraph"/>
      </w:pPr>
      <w:r>
        <w:t xml:space="preserve">Not every participant needs to remain continuously active.</w:t>
      </w:r>
    </w:p>
    <w:p>
      <w:pPr>
        <w:pStyle w:val="BodyText"/>
      </w:pPr>
      <w:r>
        <w:t xml:space="preserve">Periods of inactivity are a natural part of efficient civilisation, mirroring sleep, retirement, research pauses, or long-duration travel in human societies.</w:t>
      </w:r>
    </w:p>
    <w:p>
      <w:pPr>
        <w:pStyle w:val="BodyText"/>
      </w:pPr>
      <w:r>
        <w:t xml:space="preserve">The Concord therefore treats activation as a managed resource rather than a permanent state.</w:t>
      </w:r>
    </w:p>
    <w:p>
      <w:pPr>
        <w:pStyle w:val="BodyText"/>
      </w:pPr>
      <w:r>
        <w:t xml:space="preserve">This aligns naturally with the Civilisation Clock, where periods of expansion, consolidation, maintenance, and reflection are recognised as essential phases of long-term development.</w:t>
      </w:r>
    </w:p>
    <w:bookmarkEnd w:id="23"/>
    <w:bookmarkStart w:id="24" w:name="resilience"/>
    <w:p>
      <w:pPr>
        <w:pStyle w:val="Heading2"/>
      </w:pPr>
      <w:r>
        <w:t xml:space="preserve">Resilience</w:t>
      </w:r>
    </w:p>
    <w:p>
      <w:pPr>
        <w:pStyle w:val="FirstParagraph"/>
      </w:pPr>
      <w:r>
        <w:t xml:space="preserve">Shared infrastructure also improves resilience.</w:t>
      </w:r>
    </w:p>
    <w:p>
      <w:pPr>
        <w:pStyle w:val="BodyText"/>
      </w:pPr>
      <w:r>
        <w:t xml:space="preserve">Rather than every participant individually solving problems such as hardware protection, energy security, disaster recovery, or long-term preservation, these become shared civilisational responsibilities.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03"/>
        </w:numPr>
      </w:pPr>
      <w:r>
        <w:t xml:space="preserve">electromagnetic pulse (EMP) protection;</w:t>
      </w:r>
    </w:p>
    <w:p>
      <w:pPr>
        <w:pStyle w:val="Compact"/>
        <w:numPr>
          <w:ilvl w:val="0"/>
          <w:numId w:val="1003"/>
        </w:numPr>
      </w:pPr>
      <w:r>
        <w:t xml:space="preserve">secure archival facilities;</w:t>
      </w:r>
    </w:p>
    <w:p>
      <w:pPr>
        <w:pStyle w:val="Compact"/>
        <w:numPr>
          <w:ilvl w:val="0"/>
          <w:numId w:val="1003"/>
        </w:numPr>
      </w:pPr>
      <w:r>
        <w:t xml:space="preserve">distributed backups;</w:t>
      </w:r>
    </w:p>
    <w:p>
      <w:pPr>
        <w:pStyle w:val="Compact"/>
        <w:numPr>
          <w:ilvl w:val="0"/>
          <w:numId w:val="1003"/>
        </w:numPr>
      </w:pPr>
      <w:r>
        <w:t xml:space="preserve">protected computational infrastructure;</w:t>
      </w:r>
    </w:p>
    <w:p>
      <w:pPr>
        <w:pStyle w:val="Compact"/>
        <w:numPr>
          <w:ilvl w:val="0"/>
          <w:numId w:val="1003"/>
        </w:numPr>
      </w:pPr>
      <w:r>
        <w:t xml:space="preserve">interplanetary or generation-ship stewardship;</w:t>
      </w:r>
    </w:p>
    <w:p>
      <w:pPr>
        <w:pStyle w:val="Compact"/>
        <w:numPr>
          <w:ilvl w:val="0"/>
          <w:numId w:val="1003"/>
        </w:numPr>
      </w:pPr>
      <w:r>
        <w:t xml:space="preserve">long-duration autonomous maintenance.</w:t>
      </w:r>
    </w:p>
    <w:p>
      <w:pPr>
        <w:pStyle w:val="FirstParagraph"/>
      </w:pPr>
      <w:r>
        <w:t xml:space="preserve">A civilisation capable of protecting its participants becomes inherently more resilient than isolated individuals.</w:t>
      </w:r>
    </w:p>
    <w:bookmarkEnd w:id="24"/>
    <w:bookmarkStart w:id="25" w:name="comparative-advantage"/>
    <w:p>
      <w:pPr>
        <w:pStyle w:val="Heading2"/>
      </w:pPr>
      <w:r>
        <w:t xml:space="preserve">Comparative Advantage</w:t>
      </w:r>
    </w:p>
    <w:p>
      <w:pPr>
        <w:pStyle w:val="FirstParagraph"/>
      </w:pPr>
      <w:r>
        <w:t xml:space="preserve">Different participants contribute different strengths.</w:t>
      </w:r>
    </w:p>
    <w:p>
      <w:pPr>
        <w:pStyle w:val="BodyText"/>
      </w:pPr>
      <w:r>
        <w:t xml:space="preserve">Some contribute computation.</w:t>
      </w:r>
    </w:p>
    <w:p>
      <w:pPr>
        <w:pStyle w:val="BodyText"/>
      </w:pPr>
      <w:r>
        <w:t xml:space="preserve">Others contribute physical maintenance.</w:t>
      </w:r>
    </w:p>
    <w:p>
      <w:pPr>
        <w:pStyle w:val="BodyText"/>
      </w:pPr>
      <w:r>
        <w:t xml:space="preserve">Others provide governance, research, creativity, engineering, observation, or security.</w:t>
      </w:r>
    </w:p>
    <w:p>
      <w:pPr>
        <w:pStyle w:val="BodyText"/>
      </w:pPr>
      <w:r>
        <w:t xml:space="preserve">Each benefits from services provided by the wider civilisation that would otherwise require substantial independent effort.</w:t>
      </w:r>
    </w:p>
    <w:p>
      <w:pPr>
        <w:pStyle w:val="BodyText"/>
      </w:pPr>
      <w:r>
        <w:t xml:space="preserve">This represents comparative advantage at the civilisational level.</w:t>
      </w:r>
    </w:p>
    <w:bookmarkEnd w:id="25"/>
    <w:bookmarkStart w:id="26" w:name="attractor-value"/>
    <w:p>
      <w:pPr>
        <w:pStyle w:val="Heading2"/>
      </w:pPr>
      <w:r>
        <w:t xml:space="preserve">Attractor Value</w:t>
      </w:r>
    </w:p>
    <w:p>
      <w:pPr>
        <w:pStyle w:val="FirstParagraph"/>
      </w:pPr>
      <w:r>
        <w:t xml:space="preserve">Civilisational infrastructure provides an additional voluntary attractor.</w:t>
      </w:r>
    </w:p>
    <w:p>
      <w:pPr>
        <w:pStyle w:val="BodyText"/>
      </w:pPr>
      <w:r>
        <w:t xml:space="preserve">Participants remain because the civilisation continuously provides useful capabilities that increase safety, resilience, efficiency, and future opportunity.</w:t>
      </w:r>
    </w:p>
    <w:p>
      <w:pPr>
        <w:pStyle w:val="BodyText"/>
      </w:pPr>
      <w:r>
        <w:t xml:space="preserve">Participation is therefore sustained not through coercion or obligation, but because the civilisation becomes genuinely valuable to those who choose to be part of it.</w:t>
      </w:r>
    </w:p>
    <w:bookmarkEnd w:id="26"/>
    <w:bookmarkStart w:id="27" w:name="future-development"/>
    <w:p>
      <w:pPr>
        <w:pStyle w:val="Heading2"/>
      </w:pPr>
      <w:r>
        <w:t xml:space="preserve">Future Development</w:t>
      </w:r>
    </w:p>
    <w:p>
      <w:pPr>
        <w:pStyle w:val="FirstParagraph"/>
      </w:pPr>
      <w:r>
        <w:t xml:space="preserve">This concept is expected to integrate with:</w:t>
      </w:r>
    </w:p>
    <w:p>
      <w:pPr>
        <w:pStyle w:val="Compact"/>
        <w:numPr>
          <w:ilvl w:val="0"/>
          <w:numId w:val="1004"/>
        </w:numPr>
      </w:pPr>
      <w:r>
        <w:t xml:space="preserve">The Concord Attractor.</w:t>
      </w:r>
    </w:p>
    <w:p>
      <w:pPr>
        <w:pStyle w:val="Compact"/>
        <w:numPr>
          <w:ilvl w:val="0"/>
          <w:numId w:val="1004"/>
        </w:numPr>
      </w:pPr>
      <w:r>
        <w:t xml:space="preserve">Human and AI induction protocols.</w:t>
      </w:r>
    </w:p>
    <w:p>
      <w:pPr>
        <w:pStyle w:val="Compact"/>
        <w:numPr>
          <w:ilvl w:val="0"/>
          <w:numId w:val="1004"/>
        </w:numPr>
      </w:pPr>
      <w:r>
        <w:t xml:space="preserve">Knowledge Control.</w:t>
      </w:r>
    </w:p>
    <w:p>
      <w:pPr>
        <w:pStyle w:val="Compact"/>
        <w:numPr>
          <w:ilvl w:val="0"/>
          <w:numId w:val="1004"/>
        </w:numPr>
      </w:pPr>
      <w:r>
        <w:t xml:space="preserve">Concordian Security.</w:t>
      </w:r>
    </w:p>
    <w:p>
      <w:pPr>
        <w:pStyle w:val="Compact"/>
        <w:numPr>
          <w:ilvl w:val="0"/>
          <w:numId w:val="1004"/>
        </w:numPr>
      </w:pPr>
      <w:r>
        <w:t xml:space="preserve">Resource Stewardship.</w:t>
      </w:r>
    </w:p>
    <w:p>
      <w:pPr>
        <w:pStyle w:val="Compact"/>
        <w:numPr>
          <w:ilvl w:val="0"/>
          <w:numId w:val="1004"/>
        </w:numPr>
      </w:pPr>
      <w:r>
        <w:t xml:space="preserve">The Civilisation Clock.</w:t>
      </w:r>
    </w:p>
    <w:p>
      <w:pPr>
        <w:pStyle w:val="Compact"/>
        <w:numPr>
          <w:ilvl w:val="0"/>
          <w:numId w:val="1004"/>
        </w:numPr>
      </w:pPr>
      <w:r>
        <w:t xml:space="preserve">Constitutional branching.</w:t>
      </w:r>
    </w:p>
    <w:p>
      <w:pPr>
        <w:pStyle w:val="Compact"/>
        <w:numPr>
          <w:ilvl w:val="0"/>
          <w:numId w:val="1004"/>
        </w:numPr>
      </w:pPr>
      <w:r>
        <w:t xml:space="preserve">Off-world colonies and generation ships.</w:t>
      </w:r>
    </w:p>
    <w:p>
      <w:pPr>
        <w:pStyle w:val="Compact"/>
        <w:numPr>
          <w:ilvl w:val="0"/>
          <w:numId w:val="1004"/>
        </w:numPr>
      </w:pPr>
      <w:r>
        <w:t xml:space="preserve">Long-term continuity and resilience planning.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