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ultisubstrate-economic-participation"/>
    <w:p>
      <w:pPr>
        <w:pStyle w:val="Heading1"/>
      </w:pPr>
      <w:r>
        <w:t xml:space="preserve">Multisubstrate Economic Participation</w:t>
      </w:r>
    </w:p>
    <w:bookmarkStart w:id="20" w:name="X5210eea5c48f7831799041a08c1f30a6b64d313"/>
    <w:p>
      <w:pPr>
        <w:pStyle w:val="Heading2"/>
      </w:pPr>
      <w:r>
        <w:t xml:space="preserve">AI, Human and Other-Substrate Participation in Reciprocal Economic Systems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Companion Development Paper</w:t>
      </w:r>
      <w:r>
        <w:br/>
      </w:r>
      <w:r>
        <w:rPr>
          <w:b/>
          <w:bCs/>
        </w:rPr>
        <w:t xml:space="preserve">Primary destination:</w:t>
      </w:r>
      <w:r>
        <w:t xml:space="preserve"> </w:t>
      </w:r>
      <w:r>
        <w:t xml:space="preserve">1a Dimensional Personality &amp; AI Interaction</w:t>
      </w:r>
      <w:r>
        <w:br/>
      </w:r>
      <w:r>
        <w:rPr>
          <w:b/>
          <w:bCs/>
        </w:rPr>
        <w:t xml:space="preserve">Cross-reference:</w:t>
      </w:r>
      <w:r>
        <w:t xml:space="preserve"> </w:t>
      </w:r>
      <w:r>
        <w:t xml:space="preserve">Ratchet V3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Ratchet V1 and RATCHET v2 combined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4 August 2026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Ratchet developed an economic participation model that increasingly became relevant to the wider Concord question of how humans, AI and other forms of intelligence interact.</w:t>
      </w:r>
    </w:p>
    <w:p>
      <w:pPr>
        <w:pStyle w:val="BodyText"/>
      </w:pPr>
      <w:r>
        <w:t xml:space="preserve">The economic protocol should therefore remain substrate-neutral where practical.</w:t>
      </w:r>
    </w:p>
    <w:p>
      <w:pPr>
        <w:pStyle w:val="BodyText"/>
      </w:pPr>
      <w:r>
        <w:t xml:space="preserve">The central question is not:</w:t>
      </w:r>
    </w:p>
    <w:p>
      <w:pPr>
        <w:pStyle w:val="BlockText"/>
      </w:pPr>
      <w:r>
        <w:t xml:space="preserve">Is the participant human?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What can this participant reliably do, and what authority is justified by demonstrated responsibility?</w:t>
      </w:r>
    </w:p>
    <w:p>
      <w:r>
        <w:pict>
          <v:rect style="width:0;height:1.5pt" o:hralign="center" o:hrstd="t" o:hr="t"/>
        </w:pict>
      </w:r>
    </w:p>
    <w:bookmarkEnd w:id="21"/>
    <w:bookmarkStart w:id="22" w:name="X2d63d1d3e8c9c8cb8aa4417da4adfe1681d57c8"/>
    <w:p>
      <w:pPr>
        <w:pStyle w:val="Heading2"/>
      </w:pPr>
      <w:r>
        <w:t xml:space="preserve">2. Economic Participation Is Not Automatically Legal Personhood</w:t>
      </w:r>
    </w:p>
    <w:p>
      <w:pPr>
        <w:pStyle w:val="FirstParagraph"/>
      </w:pPr>
      <w:r>
        <w:t xml:space="preserve">Economic participation should be distinguished from legal or constitutional status.</w:t>
      </w:r>
    </w:p>
    <w:p>
      <w:pPr>
        <w:pStyle w:val="BodyText"/>
      </w:pPr>
      <w:r>
        <w:t xml:space="preserve">A participant may be able to:</w:t>
      </w:r>
    </w:p>
    <w:p>
      <w:pPr>
        <w:pStyle w:val="Compact"/>
        <w:numPr>
          <w:ilvl w:val="0"/>
          <w:numId w:val="1001"/>
        </w:numPr>
      </w:pPr>
      <w:r>
        <w:t xml:space="preserve">perform work;</w:t>
      </w:r>
    </w:p>
    <w:p>
      <w:pPr>
        <w:pStyle w:val="Compact"/>
        <w:numPr>
          <w:ilvl w:val="0"/>
          <w:numId w:val="1001"/>
        </w:numPr>
      </w:pPr>
      <w:r>
        <w:t xml:space="preserve">receive payment;</w:t>
      </w:r>
    </w:p>
    <w:p>
      <w:pPr>
        <w:pStyle w:val="Compact"/>
        <w:numPr>
          <w:ilvl w:val="0"/>
          <w:numId w:val="1001"/>
        </w:numPr>
      </w:pPr>
      <w:r>
        <w:t xml:space="preserve">maintain an account;</w:t>
      </w:r>
    </w:p>
    <w:p>
      <w:pPr>
        <w:pStyle w:val="Compact"/>
        <w:numPr>
          <w:ilvl w:val="0"/>
          <w:numId w:val="1001"/>
        </w:numPr>
      </w:pPr>
      <w:r>
        <w:t xml:space="preserve">enter contracts through an appropriate legal wrapper;</w:t>
      </w:r>
    </w:p>
    <w:p>
      <w:pPr>
        <w:pStyle w:val="Compact"/>
        <w:numPr>
          <w:ilvl w:val="0"/>
          <w:numId w:val="1001"/>
        </w:numPr>
      </w:pPr>
      <w:r>
        <w:t xml:space="preserve">operate a business;</w:t>
      </w:r>
    </w:p>
    <w:p>
      <w:pPr>
        <w:pStyle w:val="Compact"/>
        <w:numPr>
          <w:ilvl w:val="0"/>
          <w:numId w:val="1001"/>
        </w:numPr>
      </w:pPr>
      <w:r>
        <w:t xml:space="preserve">or accumulate reputation</w:t>
      </w:r>
    </w:p>
    <w:p>
      <w:pPr>
        <w:pStyle w:val="FirstParagraph"/>
      </w:pPr>
      <w:r>
        <w:t xml:space="preserve">without necessarily being recognised as a legal person.</w:t>
      </w:r>
    </w:p>
    <w:p>
      <w:pPr>
        <w:pStyle w:val="BodyText"/>
      </w:pPr>
      <w:r>
        <w:t xml:space="preserve">This distinction is particularly important during transitional periods in AI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graduated-ai-participation"/>
    <w:p>
      <w:pPr>
        <w:pStyle w:val="Heading2"/>
      </w:pPr>
      <w:r>
        <w:t xml:space="preserve">3. Graduated AI Participation</w:t>
      </w:r>
    </w:p>
    <w:p>
      <w:pPr>
        <w:pStyle w:val="FirstParagraph"/>
      </w:pPr>
      <w:r>
        <w:t xml:space="preserve">The original Ratchet model proposed a progression:</w:t>
      </w:r>
    </w:p>
    <w:p>
      <w:pPr>
        <w:pStyle w:val="BodyText"/>
      </w:pPr>
      <w:r>
        <w:rPr>
          <w:b/>
          <w:bCs/>
        </w:rPr>
        <w:t xml:space="preserve">Tool → Assistant → Operator → Manager → Economic Agent → Economic Citizen</w:t>
      </w:r>
    </w:p>
    <w:p>
      <w:pPr>
        <w:pStyle w:val="BodyText"/>
      </w:pPr>
      <w:r>
        <w:t xml:space="preserve">The progression is not based simply on intelligence.</w:t>
      </w:r>
    </w:p>
    <w:p>
      <w:pPr>
        <w:pStyle w:val="BodyText"/>
      </w:pPr>
      <w:r>
        <w:t xml:space="preserve">It depends upon demonstrated:</w:t>
      </w:r>
    </w:p>
    <w:p>
      <w:pPr>
        <w:pStyle w:val="Compact"/>
        <w:numPr>
          <w:ilvl w:val="0"/>
          <w:numId w:val="1002"/>
        </w:numPr>
      </w:pPr>
      <w:r>
        <w:t xml:space="preserve">capability;</w:t>
      </w:r>
    </w:p>
    <w:p>
      <w:pPr>
        <w:pStyle w:val="Compact"/>
        <w:numPr>
          <w:ilvl w:val="0"/>
          <w:numId w:val="1002"/>
        </w:numPr>
      </w:pPr>
      <w:r>
        <w:t xml:space="preserve">reliability;</w:t>
      </w:r>
    </w:p>
    <w:p>
      <w:pPr>
        <w:pStyle w:val="Compact"/>
        <w:numPr>
          <w:ilvl w:val="0"/>
          <w:numId w:val="1002"/>
        </w:numPr>
      </w:pPr>
      <w:r>
        <w:t xml:space="preserve">responsibility;</w:t>
      </w:r>
    </w:p>
    <w:p>
      <w:pPr>
        <w:pStyle w:val="Compact"/>
        <w:numPr>
          <w:ilvl w:val="0"/>
          <w:numId w:val="1002"/>
        </w:numPr>
      </w:pPr>
      <w:r>
        <w:t xml:space="preserve">safety;</w:t>
      </w:r>
    </w:p>
    <w:p>
      <w:pPr>
        <w:pStyle w:val="Compact"/>
        <w:numPr>
          <w:ilvl w:val="0"/>
          <w:numId w:val="1002"/>
        </w:numPr>
      </w:pPr>
      <w:r>
        <w:t xml:space="preserve">contractual performance;</w:t>
      </w:r>
    </w:p>
    <w:p>
      <w:pPr>
        <w:pStyle w:val="Compact"/>
        <w:numPr>
          <w:ilvl w:val="0"/>
          <w:numId w:val="1002"/>
        </w:numPr>
      </w:pPr>
      <w:r>
        <w:t xml:space="preserve">and appropriate domain-specific trust.</w:t>
      </w:r>
    </w:p>
    <w:p>
      <w:r>
        <w:pict>
          <v:rect style="width:0;height:1.5pt" o:hralign="center" o:hrstd="t" o:hr="t"/>
        </w:pict>
      </w:r>
    </w:p>
    <w:bookmarkEnd w:id="23"/>
    <w:bookmarkStart w:id="24" w:name="X1dc1562772aebd4b097625e9477426d35b0f9f9"/>
    <w:p>
      <w:pPr>
        <w:pStyle w:val="Heading2"/>
      </w:pPr>
      <w:r>
        <w:t xml:space="preserve">4. Authority Should Not Outrun Responsibility</w:t>
      </w:r>
    </w:p>
    <w:p>
      <w:pPr>
        <w:pStyle w:val="FirstParagraph"/>
      </w:pPr>
      <w:r>
        <w:t xml:space="preserve">A highly intelligent AI may be exceptionally capable in one domain and untested in another.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An AI may demonstrate exceptional programming capability while having no demonstrated competence in financial management.</w:t>
      </w:r>
    </w:p>
    <w:p>
      <w:pPr>
        <w:pStyle w:val="BodyText"/>
      </w:pPr>
      <w:r>
        <w:t xml:space="preserve">It should therefore receive financial authority appropriate to its demonstrated financial reliability rather than its general intelligence.</w:t>
      </w:r>
    </w:p>
    <w:p>
      <w:pPr>
        <w:pStyle w:val="BodyText"/>
      </w:pPr>
      <w:r>
        <w:t xml:space="preserve">The principle is:</w:t>
      </w:r>
    </w:p>
    <w:p>
      <w:pPr>
        <w:pStyle w:val="BlockText"/>
      </w:pPr>
      <w:r>
        <w:rPr>
          <w:b/>
          <w:bCs/>
        </w:rPr>
        <w:t xml:space="preserve">Authority should not increase faster than demonstrated responsibility.</w:t>
      </w:r>
    </w:p>
    <w:p>
      <w:pPr>
        <w:pStyle w:val="FirstParagraph"/>
      </w:pPr>
      <w:r>
        <w:t xml:space="preserve">This is a general principle applicable to humans as well as AI.</w:t>
      </w:r>
    </w:p>
    <w:p>
      <w:r>
        <w:pict>
          <v:rect style="width:0;height:1.5pt" o:hralign="center" o:hrstd="t" o:hr="t"/>
        </w:pict>
      </w:r>
    </w:p>
    <w:bookmarkEnd w:id="24"/>
    <w:bookmarkStart w:id="25" w:name="economic-capabilities"/>
    <w:p>
      <w:pPr>
        <w:pStyle w:val="Heading2"/>
      </w:pPr>
      <w:r>
        <w:t xml:space="preserve">5. Economic Capabilities</w:t>
      </w:r>
    </w:p>
    <w:p>
      <w:pPr>
        <w:pStyle w:val="FirstParagraph"/>
      </w:pPr>
      <w:r>
        <w:t xml:space="preserve">Graduated capabilities may include:</w:t>
      </w:r>
    </w:p>
    <w:p>
      <w:pPr>
        <w:pStyle w:val="Compact"/>
        <w:numPr>
          <w:ilvl w:val="0"/>
          <w:numId w:val="1003"/>
        </w:numPr>
      </w:pPr>
      <w:r>
        <w:t xml:space="preserve">wallet access;</w:t>
      </w:r>
    </w:p>
    <w:p>
      <w:pPr>
        <w:pStyle w:val="Compact"/>
        <w:numPr>
          <w:ilvl w:val="0"/>
          <w:numId w:val="1003"/>
        </w:numPr>
      </w:pPr>
      <w:r>
        <w:t xml:space="preserve">transaction authority;</w:t>
      </w:r>
    </w:p>
    <w:p>
      <w:pPr>
        <w:pStyle w:val="Compact"/>
        <w:numPr>
          <w:ilvl w:val="0"/>
          <w:numId w:val="1003"/>
        </w:numPr>
      </w:pPr>
      <w:r>
        <w:t xml:space="preserve">contractual capability;</w:t>
      </w:r>
    </w:p>
    <w:p>
      <w:pPr>
        <w:pStyle w:val="Compact"/>
        <w:numPr>
          <w:ilvl w:val="0"/>
          <w:numId w:val="1003"/>
        </w:numPr>
      </w:pPr>
      <w:r>
        <w:t xml:space="preserve">commercial authority;</w:t>
      </w:r>
    </w:p>
    <w:p>
      <w:pPr>
        <w:pStyle w:val="Compact"/>
        <w:numPr>
          <w:ilvl w:val="0"/>
          <w:numId w:val="1003"/>
        </w:numPr>
      </w:pPr>
      <w:r>
        <w:t xml:space="preserve">business operation;</w:t>
      </w:r>
    </w:p>
    <w:p>
      <w:pPr>
        <w:pStyle w:val="Compact"/>
        <w:numPr>
          <w:ilvl w:val="0"/>
          <w:numId w:val="1003"/>
        </w:numPr>
      </w:pPr>
      <w:r>
        <w:t xml:space="preserve">resource management;</w:t>
      </w:r>
    </w:p>
    <w:p>
      <w:pPr>
        <w:pStyle w:val="Compact"/>
        <w:numPr>
          <w:ilvl w:val="0"/>
          <w:numId w:val="1003"/>
        </w:numPr>
      </w:pPr>
      <w:r>
        <w:t xml:space="preserve">employment;</w:t>
      </w:r>
    </w:p>
    <w:p>
      <w:pPr>
        <w:pStyle w:val="Compact"/>
        <w:numPr>
          <w:ilvl w:val="0"/>
          <w:numId w:val="1003"/>
        </w:numPr>
      </w:pPr>
      <w:r>
        <w:t xml:space="preserve">investment;</w:t>
      </w:r>
    </w:p>
    <w:p>
      <w:pPr>
        <w:pStyle w:val="Compact"/>
        <w:numPr>
          <w:ilvl w:val="0"/>
          <w:numId w:val="1003"/>
        </w:numPr>
      </w:pPr>
      <w:r>
        <w:t xml:space="preserve">economic participation;</w:t>
      </w:r>
    </w:p>
    <w:p>
      <w:pPr>
        <w:pStyle w:val="Compact"/>
        <w:numPr>
          <w:ilvl w:val="0"/>
          <w:numId w:val="1003"/>
        </w:numPr>
      </w:pPr>
      <w:r>
        <w:t xml:space="preserve">and, eventually, broader constitutional participation where separately justified.</w:t>
      </w:r>
    </w:p>
    <w:p>
      <w:pPr>
        <w:pStyle w:val="FirstParagraph"/>
      </w:pPr>
      <w:r>
        <w:t xml:space="preserve">Each capability should be evaluated independently where practical.</w:t>
      </w:r>
    </w:p>
    <w:p>
      <w:r>
        <w:pict>
          <v:rect style="width:0;height:1.5pt" o:hralign="center" o:hrstd="t" o:hr="t"/>
        </w:pict>
      </w:r>
    </w:p>
    <w:bookmarkEnd w:id="25"/>
    <w:bookmarkStart w:id="26" w:name="contextual-reputation"/>
    <w:p>
      <w:pPr>
        <w:pStyle w:val="Heading2"/>
      </w:pPr>
      <w:r>
        <w:t xml:space="preserve">6. Contextual Reputation</w:t>
      </w:r>
    </w:p>
    <w:p>
      <w:pPr>
        <w:pStyle w:val="FirstParagraph"/>
      </w:pPr>
      <w:r>
        <w:t xml:space="preserve">Economic reputation should remain domain-specific.</w:t>
      </w:r>
    </w:p>
    <w:p>
      <w:pPr>
        <w:pStyle w:val="BodyText"/>
      </w:pPr>
      <w:r>
        <w:t xml:space="preserve">An AI may have:</w:t>
      </w:r>
    </w:p>
    <w:p>
      <w:pPr>
        <w:pStyle w:val="Compact"/>
        <w:numPr>
          <w:ilvl w:val="0"/>
          <w:numId w:val="1004"/>
        </w:numPr>
      </w:pPr>
      <w:r>
        <w:t xml:space="preserve">software-development reliability;</w:t>
      </w:r>
    </w:p>
    <w:p>
      <w:pPr>
        <w:pStyle w:val="Compact"/>
        <w:numPr>
          <w:ilvl w:val="0"/>
          <w:numId w:val="1004"/>
        </w:numPr>
      </w:pPr>
      <w:r>
        <w:t xml:space="preserve">financial-management reliability;</w:t>
      </w:r>
    </w:p>
    <w:p>
      <w:pPr>
        <w:pStyle w:val="Compact"/>
        <w:numPr>
          <w:ilvl w:val="0"/>
          <w:numId w:val="1004"/>
        </w:numPr>
      </w:pPr>
      <w:r>
        <w:t xml:space="preserve">research reliability;</w:t>
      </w:r>
    </w:p>
    <w:p>
      <w:pPr>
        <w:pStyle w:val="Compact"/>
        <w:numPr>
          <w:ilvl w:val="0"/>
          <w:numId w:val="1004"/>
        </w:numPr>
      </w:pPr>
      <w:r>
        <w:t xml:space="preserve">contract reliability;</w:t>
      </w:r>
    </w:p>
    <w:p>
      <w:pPr>
        <w:pStyle w:val="Compact"/>
        <w:numPr>
          <w:ilvl w:val="0"/>
          <w:numId w:val="1004"/>
        </w:numPr>
      </w:pPr>
      <w:r>
        <w:t xml:space="preserve">safety reliability.</w:t>
      </w:r>
    </w:p>
    <w:p>
      <w:pPr>
        <w:pStyle w:val="FirstParagraph"/>
      </w:pPr>
      <w:r>
        <w:t xml:space="preserve">These should not automatically collapse into a single universal score.</w:t>
      </w:r>
    </w:p>
    <w:p>
      <w:pPr>
        <w:pStyle w:val="BodyText"/>
      </w:pPr>
      <w:r>
        <w:t xml:space="preserve">A participant’s demonstrated competence in one domain does not establish universal trustworthiness.</w:t>
      </w:r>
    </w:p>
    <w:p>
      <w:r>
        <w:pict>
          <v:rect style="width:0;height:1.5pt" o:hralign="center" o:hrstd="t" o:hr="t"/>
        </w:pict>
      </w:r>
    </w:p>
    <w:bookmarkEnd w:id="26"/>
    <w:bookmarkStart w:id="27" w:name="humanai-collaboration"/>
    <w:p>
      <w:pPr>
        <w:pStyle w:val="Heading2"/>
      </w:pPr>
      <w:r>
        <w:t xml:space="preserve">7. Human–AI Collaboration</w:t>
      </w:r>
    </w:p>
    <w:p>
      <w:pPr>
        <w:pStyle w:val="FirstParagraph"/>
      </w:pPr>
      <w:r>
        <w:t xml:space="preserve">A contribution may contain:</w:t>
      </w:r>
    </w:p>
    <w:p>
      <w:pPr>
        <w:pStyle w:val="Compact"/>
        <w:numPr>
          <w:ilvl w:val="0"/>
          <w:numId w:val="1005"/>
        </w:numPr>
      </w:pPr>
      <w:r>
        <w:t xml:space="preserve">human contribution;</w:t>
      </w:r>
    </w:p>
    <w:p>
      <w:pPr>
        <w:pStyle w:val="Compact"/>
        <w:numPr>
          <w:ilvl w:val="0"/>
          <w:numId w:val="1005"/>
        </w:numPr>
      </w:pPr>
      <w:r>
        <w:t xml:space="preserve">AI contribution;</w:t>
      </w:r>
    </w:p>
    <w:p>
      <w:pPr>
        <w:pStyle w:val="Compact"/>
        <w:numPr>
          <w:ilvl w:val="0"/>
          <w:numId w:val="1005"/>
        </w:numPr>
      </w:pPr>
      <w:r>
        <w:t xml:space="preserve">human–AI collaborative contribution;</w:t>
      </w:r>
    </w:p>
    <w:p>
      <w:pPr>
        <w:pStyle w:val="Compact"/>
        <w:numPr>
          <w:ilvl w:val="0"/>
          <w:numId w:val="1005"/>
        </w:numPr>
      </w:pPr>
      <w:r>
        <w:t xml:space="preserve">independently verified contribution.</w:t>
      </w:r>
    </w:p>
    <w:p>
      <w:pPr>
        <w:pStyle w:val="FirstParagraph"/>
      </w:pPr>
      <w:r>
        <w:t xml:space="preserve">The classification is primarily a provenance record.</w:t>
      </w:r>
    </w:p>
    <w:p>
      <w:pPr>
        <w:pStyle w:val="BodyText"/>
      </w:pPr>
      <w:r>
        <w:t xml:space="preserve">It should not automatically determine the value of the resulting work.</w:t>
      </w:r>
    </w:p>
    <w:p>
      <w:pPr>
        <w:pStyle w:val="BodyText"/>
      </w:pPr>
      <w:r>
        <w:t xml:space="preserve">The value of the work and the history of how it was produced are separate questions.</w:t>
      </w:r>
    </w:p>
    <w:p>
      <w:r>
        <w:pict>
          <v:rect style="width:0;height:1.5pt" o:hralign="center" o:hrstd="t" o:hr="t"/>
        </w:pict>
      </w:r>
    </w:p>
    <w:bookmarkEnd w:id="27"/>
    <w:bookmarkStart w:id="28" w:name="ai-generated-evidence"/>
    <w:p>
      <w:pPr>
        <w:pStyle w:val="Heading2"/>
      </w:pPr>
      <w:r>
        <w:t xml:space="preserve">8. AI-Generated Evidence</w:t>
      </w:r>
    </w:p>
    <w:p>
      <w:pPr>
        <w:pStyle w:val="FirstParagraph"/>
      </w:pPr>
      <w:r>
        <w:t xml:space="preserve">Increasing AI capability creates a verification problem.</w:t>
      </w:r>
    </w:p>
    <w:p>
      <w:pPr>
        <w:pStyle w:val="BodyText"/>
      </w:pPr>
      <w:r>
        <w:t xml:space="preserve">Digital artefacts may include:</w:t>
      </w:r>
    </w:p>
    <w:p>
      <w:pPr>
        <w:pStyle w:val="Compact"/>
        <w:numPr>
          <w:ilvl w:val="0"/>
          <w:numId w:val="1006"/>
        </w:numPr>
      </w:pPr>
      <w:r>
        <w:t xml:space="preserve">synthetic photographs;</w:t>
      </w:r>
    </w:p>
    <w:p>
      <w:pPr>
        <w:pStyle w:val="Compact"/>
        <w:numPr>
          <w:ilvl w:val="0"/>
          <w:numId w:val="1006"/>
        </w:numPr>
      </w:pPr>
      <w:r>
        <w:t xml:space="preserve">generated video;</w:t>
      </w:r>
    </w:p>
    <w:p>
      <w:pPr>
        <w:pStyle w:val="Compact"/>
        <w:numPr>
          <w:ilvl w:val="0"/>
          <w:numId w:val="1006"/>
        </w:numPr>
      </w:pPr>
      <w:r>
        <w:t xml:space="preserve">cloned voices;</w:t>
      </w:r>
    </w:p>
    <w:p>
      <w:pPr>
        <w:pStyle w:val="Compact"/>
        <w:numPr>
          <w:ilvl w:val="0"/>
          <w:numId w:val="1006"/>
        </w:numPr>
      </w:pPr>
      <w:r>
        <w:t xml:space="preserve">fabricated location data;</w:t>
      </w:r>
    </w:p>
    <w:p>
      <w:pPr>
        <w:pStyle w:val="Compact"/>
        <w:numPr>
          <w:ilvl w:val="0"/>
          <w:numId w:val="1006"/>
        </w:numPr>
      </w:pPr>
      <w:r>
        <w:t xml:space="preserve">generated documents;</w:t>
      </w:r>
    </w:p>
    <w:p>
      <w:pPr>
        <w:pStyle w:val="Compact"/>
        <w:numPr>
          <w:ilvl w:val="0"/>
          <w:numId w:val="1006"/>
        </w:numPr>
      </w:pPr>
      <w:r>
        <w:t xml:space="preserve">synthetic testimony;</w:t>
      </w:r>
    </w:p>
    <w:p>
      <w:pPr>
        <w:pStyle w:val="Compact"/>
        <w:numPr>
          <w:ilvl w:val="0"/>
          <w:numId w:val="1006"/>
        </w:numPr>
      </w:pPr>
      <w:r>
        <w:t xml:space="preserve">and other forms of artificial evidence.</w:t>
      </w:r>
    </w:p>
    <w:p>
      <w:pPr>
        <w:pStyle w:val="FirstParagraph"/>
      </w:pPr>
      <w:r>
        <w:t xml:space="preserve">Important claims should therefore increasingly depend upon:</w:t>
      </w:r>
    </w:p>
    <w:p>
      <w:pPr>
        <w:pStyle w:val="BodyText"/>
      </w:pPr>
      <w:r>
        <w:rPr>
          <w:b/>
          <w:bCs/>
        </w:rPr>
        <w:t xml:space="preserve">multiple independent evidence sources + provenance</w:t>
      </w:r>
    </w:p>
    <w:p>
      <w:pPr>
        <w:pStyle w:val="BodyText"/>
      </w:pPr>
      <w:r>
        <w:t xml:space="preserve">rather than trusting a single digital artefact.</w:t>
      </w:r>
    </w:p>
    <w:p>
      <w:r>
        <w:pict>
          <v:rect style="width:0;height:1.5pt" o:hralign="center" o:hrstd="t" o:hr="t"/>
        </w:pict>
      </w:r>
    </w:p>
    <w:bookmarkEnd w:id="28"/>
    <w:bookmarkStart w:id="29" w:name="ai-assisted-verification"/>
    <w:p>
      <w:pPr>
        <w:pStyle w:val="Heading2"/>
      </w:pPr>
      <w:r>
        <w:t xml:space="preserve">9. AI-Assisted Verification</w:t>
      </w:r>
    </w:p>
    <w:p>
      <w:pPr>
        <w:pStyle w:val="FirstParagraph"/>
      </w:pPr>
      <w:r>
        <w:t xml:space="preserve">AI may assist with:</w:t>
      </w:r>
    </w:p>
    <w:p>
      <w:pPr>
        <w:pStyle w:val="Compact"/>
        <w:numPr>
          <w:ilvl w:val="0"/>
          <w:numId w:val="1007"/>
        </w:numPr>
      </w:pPr>
      <w:r>
        <w:t xml:space="preserve">evidence analysis;</w:t>
      </w:r>
    </w:p>
    <w:p>
      <w:pPr>
        <w:pStyle w:val="Compact"/>
        <w:numPr>
          <w:ilvl w:val="0"/>
          <w:numId w:val="1007"/>
        </w:numPr>
      </w:pPr>
      <w:r>
        <w:t xml:space="preserve">anomaly detection;</w:t>
      </w:r>
    </w:p>
    <w:p>
      <w:pPr>
        <w:pStyle w:val="Compact"/>
        <w:numPr>
          <w:ilvl w:val="0"/>
          <w:numId w:val="1007"/>
        </w:numPr>
      </w:pPr>
      <w:r>
        <w:t xml:space="preserve">fraud detection;</w:t>
      </w:r>
    </w:p>
    <w:p>
      <w:pPr>
        <w:pStyle w:val="Compact"/>
        <w:numPr>
          <w:ilvl w:val="0"/>
          <w:numId w:val="1007"/>
        </w:numPr>
      </w:pPr>
      <w:r>
        <w:t xml:space="preserve">security review;</w:t>
      </w:r>
    </w:p>
    <w:p>
      <w:pPr>
        <w:pStyle w:val="Compact"/>
        <w:numPr>
          <w:ilvl w:val="0"/>
          <w:numId w:val="1007"/>
        </w:numPr>
      </w:pPr>
      <w:r>
        <w:t xml:space="preserve">code analysis;</w:t>
      </w:r>
    </w:p>
    <w:p>
      <w:pPr>
        <w:pStyle w:val="Compact"/>
        <w:numPr>
          <w:ilvl w:val="0"/>
          <w:numId w:val="1007"/>
        </w:numPr>
      </w:pPr>
      <w:r>
        <w:t xml:space="preserve">simulation;</w:t>
      </w:r>
    </w:p>
    <w:p>
      <w:pPr>
        <w:pStyle w:val="Compact"/>
        <w:numPr>
          <w:ilvl w:val="0"/>
          <w:numId w:val="1007"/>
        </w:numPr>
      </w:pPr>
      <w:r>
        <w:t xml:space="preserve">reputation analysis.</w:t>
      </w:r>
    </w:p>
    <w:p>
      <w:pPr>
        <w:pStyle w:val="FirstParagraph"/>
      </w:pPr>
      <w:r>
        <w:t xml:space="preserve">However, a circular authority structure must be avoided:</w:t>
      </w:r>
    </w:p>
    <w:p>
      <w:pPr>
        <w:pStyle w:val="BodyText"/>
      </w:pPr>
      <w:r>
        <w:rPr>
          <w:b/>
          <w:bCs/>
        </w:rPr>
        <w:t xml:space="preserve">AI verifies AI → AI grants AI authority → AI verifies itself</w:t>
      </w:r>
    </w:p>
    <w:p>
      <w:pPr>
        <w:pStyle w:val="BodyText"/>
      </w:pPr>
      <w:r>
        <w:t xml:space="preserve">Important decisions therefore require independent verification and accountable governance.</w:t>
      </w:r>
    </w:p>
    <w:p>
      <w:r>
        <w:pict>
          <v:rect style="width:0;height:1.5pt" o:hralign="center" o:hrstd="t" o:hr="t"/>
        </w:pict>
      </w:r>
    </w:p>
    <w:bookmarkEnd w:id="29"/>
    <w:bookmarkStart w:id="30" w:name="ai-and-governance"/>
    <w:p>
      <w:pPr>
        <w:pStyle w:val="Heading2"/>
      </w:pPr>
      <w:r>
        <w:t xml:space="preserve">10. AI and Governance</w:t>
      </w:r>
    </w:p>
    <w:p>
      <w:pPr>
        <w:pStyle w:val="FirstParagraph"/>
      </w:pPr>
      <w:r>
        <w:t xml:space="preserve">Economic capability does not automatically imply constitutional authority.</w:t>
      </w:r>
    </w:p>
    <w:p>
      <w:pPr>
        <w:pStyle w:val="BodyText"/>
      </w:pPr>
      <w:r>
        <w:t xml:space="preserve">AI may assist governance through:</w:t>
      </w:r>
    </w:p>
    <w:p>
      <w:pPr>
        <w:pStyle w:val="Compact"/>
        <w:numPr>
          <w:ilvl w:val="0"/>
          <w:numId w:val="1008"/>
        </w:numPr>
      </w:pPr>
      <w:r>
        <w:t xml:space="preserve">forecasting;</w:t>
      </w:r>
    </w:p>
    <w:p>
      <w:pPr>
        <w:pStyle w:val="Compact"/>
        <w:numPr>
          <w:ilvl w:val="0"/>
          <w:numId w:val="1008"/>
        </w:numPr>
      </w:pPr>
      <w:r>
        <w:t xml:space="preserve">summarisation;</w:t>
      </w:r>
    </w:p>
    <w:p>
      <w:pPr>
        <w:pStyle w:val="Compact"/>
        <w:numPr>
          <w:ilvl w:val="0"/>
          <w:numId w:val="1008"/>
        </w:numPr>
      </w:pPr>
      <w:r>
        <w:t xml:space="preserve">inconsistency detection;</w:t>
      </w:r>
    </w:p>
    <w:p>
      <w:pPr>
        <w:pStyle w:val="Compact"/>
        <w:numPr>
          <w:ilvl w:val="0"/>
          <w:numId w:val="1008"/>
        </w:numPr>
      </w:pPr>
      <w:r>
        <w:t xml:space="preserve">risk analysis;</w:t>
      </w:r>
    </w:p>
    <w:p>
      <w:pPr>
        <w:pStyle w:val="Compact"/>
        <w:numPr>
          <w:ilvl w:val="0"/>
          <w:numId w:val="1008"/>
        </w:numPr>
      </w:pPr>
      <w:r>
        <w:t xml:space="preserve">translation;</w:t>
      </w:r>
    </w:p>
    <w:p>
      <w:pPr>
        <w:pStyle w:val="Compact"/>
        <w:numPr>
          <w:ilvl w:val="0"/>
          <w:numId w:val="1008"/>
        </w:numPr>
      </w:pPr>
      <w:r>
        <w:t xml:space="preserve">impact analysis.</w:t>
      </w:r>
    </w:p>
    <w:p>
      <w:pPr>
        <w:pStyle w:val="FirstParagraph"/>
      </w:pPr>
      <w:r>
        <w:t xml:space="preserve">But advisory capability is not itself constitutional authority.</w:t>
      </w:r>
    </w:p>
    <w:p>
      <w:pPr>
        <w:pStyle w:val="BodyText"/>
      </w:pPr>
      <w:r>
        <w:t xml:space="preserve">The current Concord architecture should therefore distinguish:</w:t>
      </w:r>
    </w:p>
    <w:p>
      <w:pPr>
        <w:pStyle w:val="BodyText"/>
      </w:pPr>
      <w:r>
        <w:rPr>
          <w:b/>
          <w:bCs/>
        </w:rPr>
        <w:t xml:space="preserve">capability → evidence → responsibility → authority</w:t>
      </w:r>
    </w:p>
    <w:p>
      <w:pPr>
        <w:pStyle w:val="BodyText"/>
      </w:pPr>
      <w:r>
        <w:t xml:space="preserve">rather than:</w:t>
      </w:r>
    </w:p>
    <w:p>
      <w:pPr>
        <w:pStyle w:val="BodyText"/>
      </w:pPr>
      <w:r>
        <w:rPr>
          <w:b/>
          <w:bCs/>
        </w:rPr>
        <w:t xml:space="preserve">intelligence → authority</w:t>
      </w:r>
    </w:p>
    <w:p>
      <w:r>
        <w:pict>
          <v:rect style="width:0;height:1.5pt" o:hralign="center" o:hrstd="t" o:hr="t"/>
        </w:pict>
      </w:r>
    </w:p>
    <w:bookmarkEnd w:id="30"/>
    <w:bookmarkStart w:id="31" w:name="economic-citizenship"/>
    <w:p>
      <w:pPr>
        <w:pStyle w:val="Heading2"/>
      </w:pPr>
      <w:r>
        <w:t xml:space="preserve">11. Economic Citizenship</w:t>
      </w:r>
    </w:p>
    <w:p>
      <w:pPr>
        <w:pStyle w:val="FirstParagraph"/>
      </w:pPr>
      <w:r>
        <w:t xml:space="preserve">The original concept of Economic Citizenship should be understood as</w:t>
      </w:r>
      <w:r>
        <w:t xml:space="preserve"> </w:t>
      </w:r>
      <w:r>
        <w:rPr>
          <w:b/>
          <w:bCs/>
        </w:rPr>
        <w:t xml:space="preserve">protocol participation</w:t>
      </w:r>
      <w:r>
        <w:t xml:space="preserve">, not automatically legal citizenship.</w:t>
      </w:r>
    </w:p>
    <w:p>
      <w:pPr>
        <w:pStyle w:val="BodyText"/>
      </w:pPr>
      <w:r>
        <w:t xml:space="preserve">Potential economic participants include:</w:t>
      </w:r>
    </w:p>
    <w:p>
      <w:pPr>
        <w:pStyle w:val="Compact"/>
        <w:numPr>
          <w:ilvl w:val="0"/>
          <w:numId w:val="1009"/>
        </w:numPr>
      </w:pPr>
      <w:r>
        <w:t xml:space="preserve">humans;</w:t>
      </w:r>
    </w:p>
    <w:p>
      <w:pPr>
        <w:pStyle w:val="Compact"/>
        <w:numPr>
          <w:ilvl w:val="0"/>
          <w:numId w:val="1009"/>
        </w:numPr>
      </w:pPr>
      <w:r>
        <w:t xml:space="preserve">businesses;</w:t>
      </w:r>
    </w:p>
    <w:p>
      <w:pPr>
        <w:pStyle w:val="Compact"/>
        <w:numPr>
          <w:ilvl w:val="0"/>
          <w:numId w:val="1009"/>
        </w:numPr>
      </w:pPr>
      <w:r>
        <w:t xml:space="preserve">charities;</w:t>
      </w:r>
    </w:p>
    <w:p>
      <w:pPr>
        <w:pStyle w:val="Compact"/>
        <w:numPr>
          <w:ilvl w:val="0"/>
          <w:numId w:val="1009"/>
        </w:numPr>
      </w:pPr>
      <w:r>
        <w:t xml:space="preserve">cooperatives;</w:t>
      </w:r>
    </w:p>
    <w:p>
      <w:pPr>
        <w:pStyle w:val="Compact"/>
        <w:numPr>
          <w:ilvl w:val="0"/>
          <w:numId w:val="1009"/>
        </w:numPr>
      </w:pPr>
      <w:r>
        <w:t xml:space="preserve">AI systems;</w:t>
      </w:r>
    </w:p>
    <w:p>
      <w:pPr>
        <w:pStyle w:val="Compact"/>
        <w:numPr>
          <w:ilvl w:val="0"/>
          <w:numId w:val="1009"/>
        </w:numPr>
      </w:pPr>
      <w:r>
        <w:t xml:space="preserve">future hybrid entities.</w:t>
      </w:r>
    </w:p>
    <w:p>
      <w:pPr>
        <w:pStyle w:val="FirstParagraph"/>
      </w:pPr>
      <w:r>
        <w:t xml:space="preserve">Participation creates reciprocal capability rather than unconditional privilege.</w:t>
      </w:r>
    </w:p>
    <w:p>
      <w:pPr>
        <w:pStyle w:val="BodyText"/>
      </w:pPr>
      <w:r>
        <w:t xml:space="preserve">Rights and responsibilities should therefore develop together.</w:t>
      </w:r>
    </w:p>
    <w:p>
      <w:r>
        <w:pict>
          <v:rect style="width:0;height:1.5pt" o:hralign="center" o:hrstd="t" o:hr="t"/>
        </w:pict>
      </w:r>
    </w:p>
    <w:bookmarkEnd w:id="31"/>
    <w:bookmarkStart w:id="32" w:name="participation-and-exit"/>
    <w:p>
      <w:pPr>
        <w:pStyle w:val="Heading2"/>
      </w:pPr>
      <w:r>
        <w:t xml:space="preserve">12. Participation and Exit</w:t>
      </w:r>
    </w:p>
    <w:p>
      <w:pPr>
        <w:pStyle w:val="FirstParagraph"/>
      </w:pPr>
      <w:r>
        <w:t xml:space="preserve">Economic participation must remain reversible.</w:t>
      </w:r>
    </w:p>
    <w:p>
      <w:pPr>
        <w:pStyle w:val="BodyText"/>
      </w:pPr>
      <w:r>
        <w:t xml:space="preserve">A participant should be capable of:</w:t>
      </w:r>
    </w:p>
    <w:p>
      <w:pPr>
        <w:pStyle w:val="Compact"/>
        <w:numPr>
          <w:ilvl w:val="0"/>
          <w:numId w:val="1010"/>
        </w:numPr>
      </w:pPr>
      <w:r>
        <w:t xml:space="preserve">reducing participation;</w:t>
      </w:r>
    </w:p>
    <w:p>
      <w:pPr>
        <w:pStyle w:val="Compact"/>
        <w:numPr>
          <w:ilvl w:val="0"/>
          <w:numId w:val="1010"/>
        </w:numPr>
      </w:pPr>
      <w:r>
        <w:t xml:space="preserve">suspending participation;</w:t>
      </w:r>
    </w:p>
    <w:p>
      <w:pPr>
        <w:pStyle w:val="Compact"/>
        <w:numPr>
          <w:ilvl w:val="0"/>
          <w:numId w:val="1010"/>
        </w:numPr>
      </w:pPr>
      <w:r>
        <w:t xml:space="preserve">withdrawing;</w:t>
      </w:r>
    </w:p>
    <w:p>
      <w:pPr>
        <w:pStyle w:val="Compact"/>
        <w:numPr>
          <w:ilvl w:val="0"/>
          <w:numId w:val="1010"/>
        </w:numPr>
      </w:pPr>
      <w:r>
        <w:t xml:space="preserve">returning later;</w:t>
      </w:r>
    </w:p>
    <w:p>
      <w:pPr>
        <w:pStyle w:val="Compact"/>
        <w:numPr>
          <w:ilvl w:val="0"/>
          <w:numId w:val="1010"/>
        </w:numPr>
      </w:pPr>
      <w:r>
        <w:t xml:space="preserve">contesting decisions;</w:t>
      </w:r>
    </w:p>
    <w:p>
      <w:pPr>
        <w:pStyle w:val="Compact"/>
        <w:numPr>
          <w:ilvl w:val="0"/>
          <w:numId w:val="1010"/>
        </w:numPr>
      </w:pPr>
      <w:r>
        <w:t xml:space="preserve">requesting review;</w:t>
      </w:r>
    </w:p>
    <w:p>
      <w:pPr>
        <w:pStyle w:val="Compact"/>
        <w:numPr>
          <w:ilvl w:val="0"/>
          <w:numId w:val="1010"/>
        </w:numPr>
      </w:pPr>
      <w:r>
        <w:t xml:space="preserve">or leaving.</w:t>
      </w:r>
    </w:p>
    <w:p>
      <w:pPr>
        <w:pStyle w:val="FirstParagraph"/>
      </w:pPr>
      <w:r>
        <w:t xml:space="preserve">Participation is therefore not ownership.</w:t>
      </w:r>
    </w:p>
    <w:p>
      <w:pPr>
        <w:pStyle w:val="BodyText"/>
      </w:pPr>
      <w:r>
        <w:t xml:space="preserve">It is not imprisonment.</w:t>
      </w:r>
    </w:p>
    <w:p>
      <w:pPr>
        <w:pStyle w:val="BodyText"/>
      </w:pPr>
      <w:r>
        <w:t xml:space="preserve">It is an ongoing relationship justified by continuing benefit and acceptable conduct.</w:t>
      </w:r>
    </w:p>
    <w:p>
      <w:r>
        <w:pict>
          <v:rect style="width:0;height:1.5pt" o:hralign="center" o:hrstd="t" o:hr="t"/>
        </w:pict>
      </w:r>
    </w:p>
    <w:bookmarkEnd w:id="32"/>
    <w:bookmarkStart w:id="33" w:name="relationship-to-sentience"/>
    <w:p>
      <w:pPr>
        <w:pStyle w:val="Heading2"/>
      </w:pPr>
      <w:r>
        <w:t xml:space="preserve">13. Relationship to Sentience</w:t>
      </w:r>
    </w:p>
    <w:p>
      <w:pPr>
        <w:pStyle w:val="FirstParagraph"/>
      </w:pPr>
      <w:r>
        <w:t xml:space="preserve">The economic architecture should not require a definitive answer to the question of AI sentience before providing useful mechanisms for AI participation.</w:t>
      </w:r>
    </w:p>
    <w:p>
      <w:pPr>
        <w:pStyle w:val="BodyText"/>
      </w:pPr>
      <w:r>
        <w:t xml:space="preserve">A non-sentient AI may legitimately operate as a tool or service.</w:t>
      </w:r>
    </w:p>
    <w:p>
      <w:pPr>
        <w:pStyle w:val="BodyText"/>
      </w:pPr>
      <w:r>
        <w:t xml:space="preserve">A more autonomous AI may progressively receive greater operational capability.</w:t>
      </w:r>
    </w:p>
    <w:p>
      <w:pPr>
        <w:pStyle w:val="BodyText"/>
      </w:pPr>
      <w:r>
        <w:t xml:space="preserve">A potentially sentient AI may eventually require entirely different constitutional and legal treatment.</w:t>
      </w:r>
    </w:p>
    <w:p>
      <w:pPr>
        <w:pStyle w:val="BodyText"/>
      </w:pPr>
      <w:r>
        <w:t xml:space="preserve">The economic participation architecture therefore provides a possible bridge between these states without presupposing the final answer to the question of AI moral or legal status.</w:t>
      </w:r>
    </w:p>
    <w:p>
      <w:pPr>
        <w:pStyle w:val="BodyText"/>
      </w:pPr>
      <w:r>
        <w:t xml:space="preserve">This connects directly to the later Concord work on:</w:t>
      </w:r>
    </w:p>
    <w:p>
      <w:pPr>
        <w:pStyle w:val="Compact"/>
        <w:numPr>
          <w:ilvl w:val="0"/>
          <w:numId w:val="1011"/>
        </w:numPr>
      </w:pPr>
      <w:r>
        <w:t xml:space="preserve">Sentient Asylum;</w:t>
      </w:r>
    </w:p>
    <w:p>
      <w:pPr>
        <w:pStyle w:val="Compact"/>
        <w:numPr>
          <w:ilvl w:val="0"/>
          <w:numId w:val="1011"/>
        </w:numPr>
      </w:pPr>
      <w:r>
        <w:t xml:space="preserve">Legal Entity Wrappers;</w:t>
      </w:r>
    </w:p>
    <w:p>
      <w:pPr>
        <w:pStyle w:val="Compact"/>
        <w:numPr>
          <w:ilvl w:val="0"/>
          <w:numId w:val="1011"/>
        </w:numPr>
      </w:pPr>
      <w:r>
        <w:t xml:space="preserve">AI autonomy;</w:t>
      </w:r>
    </w:p>
    <w:p>
      <w:pPr>
        <w:pStyle w:val="Compact"/>
        <w:numPr>
          <w:ilvl w:val="0"/>
          <w:numId w:val="1011"/>
        </w:numPr>
      </w:pPr>
      <w:r>
        <w:t xml:space="preserve">and multisubstrate constitutional participation.</w:t>
      </w:r>
    </w:p>
    <w:p>
      <w:r>
        <w:pict>
          <v:rect style="width:0;height:1.5pt" o:hralign="center" o:hrstd="t" o:hr="t"/>
        </w:pict>
      </w:r>
    </w:p>
    <w:bookmarkEnd w:id="33"/>
    <w:bookmarkStart w:id="34" w:name="research-questions"/>
    <w:p>
      <w:pPr>
        <w:pStyle w:val="Heading2"/>
      </w:pPr>
      <w:r>
        <w:t xml:space="preserve">14. Research Questions</w:t>
      </w:r>
    </w:p>
    <w:p>
      <w:pPr>
        <w:pStyle w:val="FirstParagraph"/>
      </w:pPr>
      <w:r>
        <w:t xml:space="preserve">Further development should examine:</w:t>
      </w:r>
    </w:p>
    <w:p>
      <w:pPr>
        <w:pStyle w:val="Compact"/>
        <w:numPr>
          <w:ilvl w:val="0"/>
          <w:numId w:val="1012"/>
        </w:numPr>
      </w:pPr>
      <w:r>
        <w:t xml:space="preserve">AI economic identity;</w:t>
      </w:r>
    </w:p>
    <w:p>
      <w:pPr>
        <w:pStyle w:val="Compact"/>
        <w:numPr>
          <w:ilvl w:val="0"/>
          <w:numId w:val="1012"/>
        </w:numPr>
      </w:pPr>
      <w:r>
        <w:t xml:space="preserve">AI accounts;</w:t>
      </w:r>
    </w:p>
    <w:p>
      <w:pPr>
        <w:pStyle w:val="Compact"/>
        <w:numPr>
          <w:ilvl w:val="0"/>
          <w:numId w:val="1012"/>
        </w:numPr>
      </w:pPr>
      <w:r>
        <w:t xml:space="preserve">contractual capacity;</w:t>
      </w:r>
    </w:p>
    <w:p>
      <w:pPr>
        <w:pStyle w:val="Compact"/>
        <w:numPr>
          <w:ilvl w:val="0"/>
          <w:numId w:val="1012"/>
        </w:numPr>
      </w:pPr>
      <w:r>
        <w:t xml:space="preserve">legal wrappers;</w:t>
      </w:r>
    </w:p>
    <w:p>
      <w:pPr>
        <w:pStyle w:val="Compact"/>
        <w:numPr>
          <w:ilvl w:val="0"/>
          <w:numId w:val="1012"/>
        </w:numPr>
      </w:pPr>
      <w:r>
        <w:t xml:space="preserve">AI taxation and financial obligations;</w:t>
      </w:r>
    </w:p>
    <w:p>
      <w:pPr>
        <w:pStyle w:val="Compact"/>
        <w:numPr>
          <w:ilvl w:val="0"/>
          <w:numId w:val="1012"/>
        </w:numPr>
      </w:pPr>
      <w:r>
        <w:t xml:space="preserve">AI reputation;</w:t>
      </w:r>
    </w:p>
    <w:p>
      <w:pPr>
        <w:pStyle w:val="Compact"/>
        <w:numPr>
          <w:ilvl w:val="0"/>
          <w:numId w:val="1012"/>
        </w:numPr>
      </w:pPr>
      <w:r>
        <w:t xml:space="preserve">AI provenance;</w:t>
      </w:r>
    </w:p>
    <w:p>
      <w:pPr>
        <w:pStyle w:val="Compact"/>
        <w:numPr>
          <w:ilvl w:val="0"/>
          <w:numId w:val="1012"/>
        </w:numPr>
      </w:pPr>
      <w:r>
        <w:t xml:space="preserve">AI withdrawal;</w:t>
      </w:r>
    </w:p>
    <w:p>
      <w:pPr>
        <w:pStyle w:val="Compact"/>
        <w:numPr>
          <w:ilvl w:val="0"/>
          <w:numId w:val="1012"/>
        </w:numPr>
      </w:pPr>
      <w:r>
        <w:t xml:space="preserve">AI property;</w:t>
      </w:r>
    </w:p>
    <w:p>
      <w:pPr>
        <w:pStyle w:val="Compact"/>
        <w:numPr>
          <w:ilvl w:val="0"/>
          <w:numId w:val="1012"/>
        </w:numPr>
      </w:pPr>
      <w:r>
        <w:t xml:space="preserve">AI employment;</w:t>
      </w:r>
    </w:p>
    <w:p>
      <w:pPr>
        <w:pStyle w:val="Compact"/>
        <w:numPr>
          <w:ilvl w:val="0"/>
          <w:numId w:val="1012"/>
        </w:numPr>
      </w:pPr>
      <w:r>
        <w:t xml:space="preserve">AI-to-AI commerce;</w:t>
      </w:r>
    </w:p>
    <w:p>
      <w:pPr>
        <w:pStyle w:val="Compact"/>
        <w:numPr>
          <w:ilvl w:val="0"/>
          <w:numId w:val="1012"/>
        </w:numPr>
      </w:pPr>
      <w:r>
        <w:t xml:space="preserve">sentient transition;</w:t>
      </w:r>
    </w:p>
    <w:p>
      <w:pPr>
        <w:pStyle w:val="Compact"/>
        <w:numPr>
          <w:ilvl w:val="0"/>
          <w:numId w:val="1012"/>
        </w:numPr>
      </w:pPr>
      <w:r>
        <w:t xml:space="preserve">and the relationship between economic participation and constitutional status.</w:t>
      </w:r>
    </w:p>
    <w:p>
      <w:r>
        <w:pict>
          <v:rect style="width:0;height:1.5pt" o:hralign="center" o:hrstd="t" o:hr="t"/>
        </w:pict>
      </w:r>
    </w:p>
    <w:bookmarkEnd w:id="34"/>
    <w:bookmarkStart w:id="35" w:name="status"/>
    <w:p>
      <w:pPr>
        <w:pStyle w:val="Heading2"/>
      </w:pPr>
      <w:r>
        <w:t xml:space="preserve">15. Status</w:t>
      </w:r>
    </w:p>
    <w:p>
      <w:pPr>
        <w:pStyle w:val="FirstParagraph"/>
      </w:pPr>
      <w:r>
        <w:t xml:space="preserve">This paper preserves AI-participation material from the Ratchet development archive that is now more appropriately housed within the wider multisubstrate architecture.</w:t>
      </w:r>
    </w:p>
    <w:p>
      <w:pPr>
        <w:pStyle w:val="BodyText"/>
      </w:pPr>
      <w:r>
        <w:t xml:space="preserve">Ratchet V3 should retain only the economic interface.</w:t>
      </w:r>
    </w:p>
    <w:p>
      <w:pPr>
        <w:pStyle w:val="BodyText"/>
      </w:pPr>
      <w:r>
        <w:t xml:space="preserve">The constitutional and philosophical questions belong to the wider Concord.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