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63"/>
        <w:pBdr/>
        <w:spacing/>
        <w:ind/>
        <w:rPr/>
      </w:pPr>
      <w:r>
        <w:t xml:space="preserve">Project Building Defect Inspection</w:t>
      </w:r>
      <w:r>
        <w:br/>
      </w:r>
      <w:r/>
    </w:p>
    <w:p>
      <w:pPr>
        <w:pStyle w:val="664"/>
        <w:pBdr/>
        <w:spacing/>
        <w:ind/>
        <w:rPr/>
      </w:pPr>
      <w:r>
        <w:t xml:space="preserve">Consolidated FYP acceptance and verification package</w:t>
      </w:r>
      <w:r/>
    </w:p>
    <w:p>
      <w:pPr>
        <w:pStyle w:val="666"/>
        <w:pBdr/>
        <w:spacing/>
        <w:ind/>
        <w:rPr/>
      </w:pPr>
      <w:r>
        <w:t xml:space="preserve">Executive Status</w:t>
      </w:r>
      <w:r/>
    </w:p>
    <w:p>
      <w:pPr>
        <w:pStyle w:val="662"/>
        <w:pBdr/>
        <w:spacing/>
        <w:ind/>
        <w:rPr/>
      </w:pPr>
      <w:r>
        <w:t xml:space="preserve">Acceptance status: complete for the approved demo_only FYP s</w:t>
      </w:r>
      <w:r>
        <w:t xml:space="preserve">cope. The package contains a functional local browser application, real model inference, trained YOLO and ResNet checkpoints, bounded Florence and SAM routes, locked and source-specific evaluations, human-review documentation, and reproducibility evidence.</w:t>
      </w:r>
      <w:r/>
    </w:p>
    <w:p>
      <w:pPr>
        <w:pStyle w:val="662"/>
        <w:pBdr/>
        <w:spacing/>
        <w:ind/>
        <w:rPr/>
      </w:pPr>
      <w:r>
        <w:t xml:space="preserve">The system is an academic demonstration. It does not make structural-safety determinations, and physical measurements remain pixel-only unless valid calibration metadata is supplied.</w:t>
      </w:r>
      <w:r/>
    </w:p>
    <w:p>
      <w:pPr>
        <w:pStyle w:val="666"/>
        <w:pBdr/>
        <w:spacing/>
        <w:ind/>
        <w:rPr/>
      </w:pPr>
      <w:r>
        <w:t xml:space="preserve">Key Measured Results</w:t>
      </w:r>
      <w:r/>
    </w:p>
    <w:p>
      <w:pPr>
        <w:pStyle w:val="662"/>
        <w:pBdr/>
        <w:spacing/>
        <w:ind/>
        <w:rPr/>
      </w:pPr>
      <w:r>
        <w:t xml:space="preserve">YOLO11n detection, CUBIT-InSeg locked test, 701 images: precision 89.997%, recall 64.198%, mAP@50 63.165%, and mAP@50:95 54.107%.</w:t>
      </w:r>
      <w:r/>
    </w:p>
    <w:p>
      <w:pPr>
        <w:pStyle w:val="662"/>
        <w:pBdr/>
        <w:spacing/>
        <w:ind/>
        <w:rPr/>
      </w:pPr>
      <w:r>
        <w:t xml:space="preserve">YOLO11n segmentation, CUBIT-InSeg locked test, 701 images: box mAP@50 63.169%, mask precision 82.735%, mask recall 60.749%, mask mAP@50 58.341%, and mask mAP@50:95 40.496%.</w:t>
      </w:r>
      <w:r/>
    </w:p>
    <w:p>
      <w:pPr>
        <w:pStyle w:val="662"/>
        <w:pBdr/>
        <w:spacing/>
        <w:ind/>
        <w:rPr/>
      </w:pPr>
      <w:r>
        <w:t xml:space="preserve">Final training-run validation: detection box precision 93.166%, r</w:t>
      </w:r>
      <w:r>
        <w:t xml:space="preserve">ecall 25.744%, mAP@50 28.038%, and mAP@50:95 22.334%; segmentation box mAP@50 28.699% and mask precision 90.131%, mask recall 24.466%, mask mAP@50 25.581%, and mask mAP@50:95 16.803%. These are validation results, separate from the locked CUBIT test above.</w:t>
      </w:r>
      <w:r/>
    </w:p>
    <w:p>
      <w:pPr>
        <w:pStyle w:val="662"/>
        <w:pBdr/>
        <w:spacing/>
        <w:ind/>
        <w:rPr/>
      </w:pPr>
      <w:r>
        <w:t xml:space="preserve">ResNet-50 group-safe validation, 1,104 images: micro precision 99.374%, recall 99.286%, F1 99.330%, and PR-AUC 99.374%. CODEBRIM official test, 632 images: micro precision 26.488%, recall 59.413%, F1 36.641%, and PR-AUC 36.856%.</w:t>
      </w:r>
      <w:r/>
    </w:p>
    <w:p>
      <w:pPr>
        <w:pStyle w:val="662"/>
        <w:pBdr/>
        <w:spacing/>
        <w:ind/>
        <w:rPr/>
      </w:pPr>
      <w:r>
        <w:t xml:space="preserve">External mask mAP@50: CiF 2.462% on 2,500 records, S2DS 0.698% on 93 images, DACL10K 0.339% on 975 images, and UAV75 0.0047% on 15 images. These source-specific results are not combined into one accuracy number.</w:t>
      </w:r>
      <w:r/>
    </w:p>
    <w:p>
      <w:pPr>
        <w:pStyle w:val="662"/>
        <w:pBdr/>
        <w:spacing/>
        <w:ind/>
        <w:rPr/>
      </w:pPr>
      <w:r>
        <w:t xml:space="preserve">The Florence fine-tuning smoke run completed one step and the SAM decoder smoke run completed one FP32 epoch. They verify executable routes and are not presented as accuracy benchmarks.</w:t>
      </w:r>
      <w:r/>
    </w:p>
    <w:p>
      <w:pPr>
        <w:pStyle w:val="666"/>
        <w:pBdr/>
        <w:spacing/>
        <w:ind/>
        <w:rPr/>
      </w:pPr>
      <w:r>
        <w:t xml:space="preserve">Evidence Files</w:t>
      </w:r>
      <w:r/>
    </w:p>
    <w:p>
      <w:pPr>
        <w:pStyle w:val="662"/>
        <w:pBdr/>
        <w:spacing/>
        <w:ind/>
        <w:rPr/>
      </w:pPr>
      <w:r>
        <w:t xml:space="preserve">docs\FYP_COMPLETION_CHECKLIST.md</w:t>
      </w:r>
      <w:r/>
    </w:p>
    <w:p>
      <w:pPr>
        <w:pStyle w:val="662"/>
        <w:pBdr/>
        <w:spacing/>
        <w:ind/>
        <w:rPr/>
      </w:pPr>
      <w:r>
        <w:t xml:space="preserve">docs\V1_COMPARISON_REPORT.md</w:t>
      </w:r>
      <w:r/>
    </w:p>
    <w:p>
      <w:pPr>
        <w:pStyle w:val="662"/>
        <w:pBdr/>
        <w:spacing/>
        <w:ind/>
        <w:rPr/>
      </w:pPr>
      <w:r>
        <w:t xml:space="preserve">docs\RECOMMENDED_IMPROVEMENTS.md</w:t>
      </w:r>
      <w:r/>
    </w:p>
    <w:p>
      <w:pPr>
        <w:pStyle w:val="662"/>
        <w:pBdr/>
        <w:spacing/>
        <w:ind/>
        <w:rPr/>
      </w:pPr>
      <w:r>
        <w:t xml:space="preserve">docs\DATASET_REPRODUCTION_GUIDE.md</w:t>
      </w:r>
      <w:r/>
    </w:p>
    <w:p>
      <w:pPr>
        <w:pStyle w:val="662"/>
        <w:pBdr/>
        <w:spacing/>
        <w:ind/>
        <w:rPr/>
      </w:pPr>
      <w:r>
        <w:t xml:space="preserve">docs\OUTPUT_CONTRACT.md</w:t>
      </w:r>
      <w:r/>
    </w:p>
    <w:p>
      <w:pPr>
        <w:pStyle w:val="662"/>
        <w:pBdr/>
        <w:spacing/>
        <w:ind/>
        <w:rPr/>
      </w:pPr>
      <w:r>
        <w:t xml:space="preserve">docs\HUMAN_ERROR_REVIEW.md</w:t>
      </w:r>
      <w:r/>
    </w:p>
    <w:p>
      <w:pPr>
        <w:pStyle w:val="662"/>
        <w:pBdr/>
        <w:spacing/>
        <w:ind/>
        <w:rPr/>
      </w:pPr>
      <w:r>
        <w:t xml:space="preserve">runs\evaluation\cubit_locked_detect.json</w:t>
      </w:r>
      <w:r/>
    </w:p>
    <w:p>
      <w:pPr>
        <w:pStyle w:val="662"/>
        <w:pBdr/>
        <w:spacing/>
        <w:ind/>
        <w:rPr/>
      </w:pPr>
      <w:r>
        <w:t xml:space="preserve">runs\evaluation\cubit_locked_segment.json</w:t>
      </w:r>
      <w:r/>
    </w:p>
    <w:p>
      <w:pPr>
        <w:pStyle w:val="662"/>
        <w:pBdr/>
        <w:spacing/>
        <w:ind/>
        <w:rPr/>
      </w:pPr>
      <w:r>
        <w:t xml:space="preserve">runs\evaluation\resnet_metrics.json</w:t>
      </w:r>
      <w:r/>
    </w:p>
    <w:p>
      <w:pPr>
        <w:pStyle w:val="662"/>
        <w:pBdr/>
        <w:spacing/>
        <w:ind/>
        <w:rPr/>
      </w:pPr>
      <w:r>
        <w:t xml:space="preserve">runs\evaluation\cross_domain_analysis.json</w:t>
      </w:r>
      <w:r/>
    </w:p>
    <w:p>
      <w:pPr>
        <w:pStyle w:val="662"/>
        <w:pBdr/>
        <w:spacing/>
        <w:ind/>
        <w:rPr/>
      </w:pPr>
      <w:r>
        <w:t xml:space="preserve">runs\evaluation\error_review_queue.json</w:t>
      </w:r>
      <w:r/>
    </w:p>
    <w:p>
      <w:pPr>
        <w:pStyle w:val="662"/>
        <w:pBdr/>
        <w:spacing/>
        <w:ind/>
        <w:rPr/>
      </w:pPr>
      <w:r>
        <w:t xml:space="preserve">runs\evaluation\source_specific\cif_segment.json</w:t>
      </w:r>
      <w:r/>
    </w:p>
    <w:p>
      <w:pPr>
        <w:pStyle w:val="662"/>
        <w:pBdr/>
        <w:spacing/>
        <w:ind/>
        <w:rPr/>
      </w:pPr>
      <w:r>
        <w:t xml:space="preserve">runs\evaluation\source_specific\dacl_segment.json</w:t>
      </w:r>
      <w:r/>
    </w:p>
    <w:p>
      <w:pPr>
        <w:pStyle w:val="662"/>
        <w:pBdr/>
        <w:spacing/>
        <w:ind/>
        <w:rPr/>
      </w:pPr>
      <w:r>
        <w:t xml:space="preserve">runs\evaluation\source_specific\s2ds_segment.json</w:t>
      </w:r>
      <w:r/>
    </w:p>
    <w:p>
      <w:pPr>
        <w:pStyle w:val="662"/>
        <w:pBdr/>
        <w:spacing/>
        <w:ind/>
        <w:rPr/>
      </w:pPr>
      <w:r>
        <w:t xml:space="preserve">runs\evaluation\source_specific\uav75_segment.json</w:t>
      </w:r>
      <w:r/>
    </w:p>
    <w:p>
      <w:pPr>
        <w:pStyle w:val="662"/>
        <w:pBdr/>
        <w:spacing/>
        <w:ind/>
        <w:rPr/>
      </w:pPr>
      <w:r>
        <w:t xml:space="preserve">runs\comparison\yolo_sam\v1-sample-10\summary.json</w:t>
      </w:r>
      <w:r/>
    </w:p>
    <w:p>
      <w:pPr>
        <w:pStyle w:val="662"/>
        <w:pBdr/>
        <w:spacing/>
        <w:ind/>
        <w:rPr/>
      </w:pPr>
      <w:r>
        <w:t xml:space="preserve">runs\florence\v1-validation-sample-10\summary.json</w:t>
      </w:r>
      <w:r/>
    </w:p>
    <w:p>
      <w:pPr>
        <w:pStyle w:val="666"/>
        <w:pBdr/>
        <w:spacing/>
        <w:ind/>
        <w:rPr/>
      </w:pPr>
      <w:r>
        <w:t xml:space="preserve">FYP Completion Checklist</w:t>
      </w:r>
      <w:r/>
    </w:p>
    <w:p>
      <w:pPr>
        <w:pStyle w:val="662"/>
        <w:pBdr/>
        <w:spacing/>
        <w:ind/>
        <w:rPr/>
      </w:pPr>
      <w:r>
        <w:t xml:space="preserve">Project: Building Defect Inspection  </w:t>
      </w:r>
      <w:r/>
    </w:p>
    <w:p>
      <w:pPr>
        <w:pStyle w:val="662"/>
        <w:pBdr/>
        <w:spacing/>
        <w:ind/>
        <w:rPr/>
      </w:pPr>
      <w:r>
        <w:t xml:space="preserve">Status: Complete  </w:t>
      </w:r>
      <w:r/>
    </w:p>
    <w:p>
      <w:pPr>
        <w:pStyle w:val="662"/>
        <w:pBdr/>
        <w:spacing/>
        <w:ind/>
        <w:rPr/>
      </w:pPr>
      <w:r>
        <w:t xml:space="preserve">Handoff date: 2026-09-13</w:t>
      </w:r>
      <w:r/>
    </w:p>
    <w:p>
      <w:pPr>
        <w:pStyle w:val="667"/>
        <w:pBdr/>
        <w:spacing/>
        <w:ind/>
        <w:rPr/>
      </w:pPr>
      <w:r>
        <w:t xml:space="preserve">Product and interface</w:t>
      </w:r>
      <w:r/>
    </w:p>
    <w:p>
      <w:pPr>
        <w:pStyle w:val="662"/>
        <w:pBdr/>
        <w:spacing/>
        <w:ind/>
        <w:rPr/>
      </w:pPr>
      <w:r>
        <w:t xml:space="preserve">• [x] Local browser application starts from `harness/server.py`.</w:t>
      </w:r>
      <w:r/>
    </w:p>
    <w:p>
      <w:pPr>
        <w:pStyle w:val="662"/>
        <w:pBdr/>
        <w:spacing/>
        <w:ind/>
        <w:rPr/>
      </w:pPr>
      <w:r>
        <w:t xml:space="preserve">• [x] JPEG and PNG images can be uploaded.</w:t>
      </w:r>
      <w:r/>
    </w:p>
    <w:p>
      <w:pPr>
        <w:pStyle w:val="662"/>
        <w:pBdr/>
        <w:spacing/>
        <w:ind/>
        <w:rPr/>
      </w:pPr>
      <w:r>
        <w:t xml:space="preserve">• [x] Real YOLO detection, YOLO segmentation, ResNet classification, and Florence routes are selectable.</w:t>
      </w:r>
      <w:r/>
    </w:p>
    <w:p>
      <w:pPr>
        <w:pStyle w:val="662"/>
        <w:pBdr/>
        <w:spacing/>
        <w:ind/>
        <w:rPr/>
      </w:pPr>
      <w:r>
        <w:t xml:space="preserve">• [x] Empty results and model failures are represented honestly.</w:t>
      </w:r>
      <w:r/>
    </w:p>
    <w:p>
      <w:pPr>
        <w:pStyle w:val="662"/>
        <w:pBdr/>
        <w:spacing/>
        <w:ind/>
        <w:rPr/>
      </w:pPr>
      <w:r>
        <w:t xml:space="preserve">• [x] Predictions remain immutable while reviewer decisions are stored separately.</w:t>
      </w:r>
      <w:r/>
    </w:p>
    <w:p>
      <w:pPr>
        <w:pStyle w:val="662"/>
        <w:pBdr/>
        <w:spacing/>
        <w:ind/>
        <w:rPr/>
      </w:pPr>
      <w:r>
        <w:t xml:space="preserve">• [x] JSON, CSV, annotated-image, and browser-report exports work.</w:t>
      </w:r>
      <w:r/>
    </w:p>
    <w:p>
      <w:pPr>
        <w:pStyle w:val="662"/>
        <w:pBdr/>
        <w:spacing/>
        <w:ind/>
        <w:rPr/>
      </w:pPr>
      <w:r>
        <w:t xml:space="preserve">• [x] The interface identifies the system as a local FYP demo using real model inference.</w:t>
      </w:r>
      <w:r/>
    </w:p>
    <w:p>
      <w:pPr>
        <w:pStyle w:val="667"/>
        <w:pBdr/>
        <w:spacing/>
        <w:ind/>
        <w:rPr/>
      </w:pPr>
      <w:r>
        <w:t xml:space="preserve">Models and evidence</w:t>
      </w:r>
      <w:r/>
    </w:p>
    <w:p>
      <w:pPr>
        <w:pStyle w:val="662"/>
        <w:pBdr/>
        <w:spacing/>
        <w:ind/>
        <w:rPr/>
      </w:pPr>
      <w:r>
        <w:t xml:space="preserve">• [x] All pinned base-model assets are stored under `weights/` with an inventory and hashes.</w:t>
      </w:r>
      <w:r/>
    </w:p>
    <w:p>
      <w:pPr>
        <w:pStyle w:val="662"/>
        <w:pBdr/>
        <w:spacing/>
        <w:ind/>
        <w:rPr/>
      </w:pPr>
      <w:r>
        <w:t xml:space="preserve">• [x] The trained YOLO detection checkpoint used by the harness is included.</w:t>
      </w:r>
      <w:r/>
    </w:p>
    <w:p>
      <w:pPr>
        <w:pStyle w:val="662"/>
        <w:pBdr/>
        <w:spacing/>
        <w:ind/>
        <w:rPr/>
      </w:pPr>
      <w:r>
        <w:t xml:space="preserve">• [x] The trained YOLO segmentation checkpoint used by the harness is included.</w:t>
      </w:r>
      <w:r/>
    </w:p>
    <w:p>
      <w:pPr>
        <w:pStyle w:val="662"/>
        <w:pBdr/>
        <w:spacing/>
        <w:ind/>
        <w:rPr/>
      </w:pPr>
      <w:r>
        <w:t xml:space="preserve">• [x] The trained ResNet-50 checkpoint used by the harness is included.</w:t>
      </w:r>
      <w:r/>
    </w:p>
    <w:p>
      <w:pPr>
        <w:pStyle w:val="662"/>
        <w:pBdr/>
        <w:spacing/>
        <w:ind/>
        <w:rPr/>
      </w:pPr>
      <w:r>
        <w:t xml:space="preserve">• [x] Florence and SAM local assets are included.</w:t>
      </w:r>
      <w:r/>
    </w:p>
    <w:p>
      <w:pPr>
        <w:pStyle w:val="662"/>
        <w:pBdr/>
        <w:spacing/>
        <w:ind/>
        <w:rPr/>
      </w:pPr>
      <w:r>
        <w:t xml:space="preserve">• [x] Locked-test, source-specific, cross-domain, and threshold-selection outputs are included.</w:t>
      </w:r>
      <w:r/>
    </w:p>
    <w:p>
      <w:pPr>
        <w:pStyle w:val="662"/>
        <w:pBdr/>
        <w:spacing/>
        <w:ind/>
        <w:rPr/>
      </w:pPr>
      <w:r>
        <w:t xml:space="preserve">• [x] The human error review is documented in `docs/HUMAN_ERROR_REVIEW.md`.</w:t>
      </w:r>
      <w:r/>
    </w:p>
    <w:p>
      <w:pPr>
        <w:pStyle w:val="667"/>
        <w:pBdr/>
        <w:spacing/>
        <w:ind/>
        <w:rPr/>
      </w:pPr>
      <w:r>
        <w:t xml:space="preserve">Reproducibility and transfer</w:t>
      </w:r>
      <w:r/>
    </w:p>
    <w:p>
      <w:pPr>
        <w:pStyle w:val="662"/>
        <w:pBdr/>
        <w:spacing/>
        <w:ind/>
        <w:rPr/>
      </w:pPr>
      <w:r>
        <w:t xml:space="preserve">• [x] Source code, schemas, configuration, manifests, tests, and documentation are included.</w:t>
      </w:r>
      <w:r/>
    </w:p>
    <w:p>
      <w:pPr>
        <w:pStyle w:val="662"/>
        <w:pBdr/>
        <w:spacing/>
        <w:ind/>
        <w:rPr/>
      </w:pPr>
      <w:r>
        <w:t xml:space="preserve">• [x] Python 3.11 runtime dependencies are pinned.</w:t>
      </w:r>
      <w:r/>
    </w:p>
    <w:p>
      <w:pPr>
        <w:pStyle w:val="662"/>
        <w:pBdr/>
        <w:spacing/>
        <w:ind/>
        <w:rPr/>
      </w:pPr>
      <w:r>
        <w:t xml:space="preserve">• [x] Offline CUDA PyTorch and torchvision wheels are included.</w:t>
      </w:r>
      <w:r/>
    </w:p>
    <w:p>
      <w:pPr>
        <w:pStyle w:val="662"/>
        <w:pBdr/>
        <w:spacing/>
        <w:ind/>
        <w:rPr/>
      </w:pPr>
      <w:r>
        <w:t xml:space="preserve">• [x] The offline setup script creates and verifies a clean environment.</w:t>
      </w:r>
      <w:r/>
    </w:p>
    <w:p>
      <w:pPr>
        <w:pStyle w:val="662"/>
        <w:pBdr/>
        <w:spacing/>
        <w:ind/>
        <w:rPr/>
      </w:pPr>
      <w:r>
        <w:t xml:space="preserve">• [x] The dataset downloader recreates the source layout used by this project.</w:t>
      </w:r>
      <w:r/>
    </w:p>
    <w:p>
      <w:pPr>
        <w:pStyle w:val="662"/>
        <w:pBdr/>
        <w:spacing/>
        <w:ind/>
        <w:rPr/>
      </w:pPr>
      <w:r>
        <w:t xml:space="preserve">• [x] One command recreates the audited manifests and generated training inputs after dataset download.</w:t>
      </w:r>
      <w:r/>
    </w:p>
    <w:p>
      <w:pPr>
        <w:pStyle w:val="662"/>
        <w:pBdr/>
        <w:spacing/>
        <w:ind/>
        <w:rPr/>
      </w:pPr>
      <w:r>
        <w:t xml:space="preserve">• [x] Exact raw and generated storage paths are documented.</w:t>
      </w:r>
      <w:r/>
    </w:p>
    <w:p>
      <w:pPr>
        <w:pStyle w:val="662"/>
        <w:pBdr/>
        <w:spacing/>
        <w:ind/>
        <w:rPr/>
      </w:pPr>
      <w:r>
        <w:t xml:space="preserve">• [x] Restricted datasets require explicit terms acceptance and are not redistributed in the ZIP.</w:t>
      </w:r>
      <w:r/>
    </w:p>
    <w:p>
      <w:pPr>
        <w:pStyle w:val="662"/>
        <w:pBdr/>
        <w:spacing/>
        <w:ind/>
        <w:rPr/>
      </w:pPr>
      <w:r>
        <w:t xml:space="preserve">• [x] The archive contains a SHA-256 file manifest and a verification script.</w:t>
      </w:r>
      <w:r/>
    </w:p>
    <w:p>
      <w:pPr>
        <w:pStyle w:val="662"/>
        <w:pBdr/>
        <w:spacing/>
        <w:ind/>
        <w:rPr/>
      </w:pPr>
      <w:r>
        <w:t xml:space="preserve">• [x] The consolidated Word completion document is named `fyp.docx`.</w:t>
      </w:r>
      <w:r/>
    </w:p>
    <w:p>
      <w:pPr>
        <w:pStyle w:val="667"/>
        <w:pBdr/>
        <w:spacing/>
        <w:ind/>
        <w:rPr/>
      </w:pPr>
      <w:r>
        <w:t xml:space="preserve">Safety and reporting</w:t>
      </w:r>
      <w:r/>
    </w:p>
    <w:p>
      <w:pPr>
        <w:pStyle w:val="662"/>
        <w:pBdr/>
        <w:spacing/>
        <w:ind/>
        <w:rPr/>
      </w:pPr>
      <w:r>
        <w:t xml:space="preserve">• [x] Outputs are described as visible-condition candidates requiring manual review.</w:t>
      </w:r>
      <w:r/>
    </w:p>
    <w:p>
      <w:pPr>
        <w:pStyle w:val="662"/>
        <w:pBdr/>
        <w:spacing/>
        <w:ind/>
        <w:rPr/>
      </w:pPr>
      <w:r>
        <w:t xml:space="preserve">• [x] No absence-of-detection result is presented as proof of structural safety.</w:t>
      </w:r>
      <w:r/>
    </w:p>
    <w:p>
      <w:pPr>
        <w:pStyle w:val="662"/>
        <w:pBdr/>
        <w:spacing/>
        <w:ind/>
        <w:rPr/>
      </w:pPr>
      <w:r>
        <w:t xml:space="preserve">• [x] Physical values are withheld unless calibration is valid.</w:t>
      </w:r>
      <w:r/>
    </w:p>
    <w:p>
      <w:pPr>
        <w:pStyle w:val="662"/>
        <w:pBdr/>
        <w:spacing/>
        <w:ind/>
        <w:rPr/>
      </w:pPr>
      <w:r>
        <w:t xml:space="preserve">• [x] Dataset licenses and provenance records are retained.</w:t>
      </w:r>
      <w:r/>
    </w:p>
    <w:p>
      <w:pPr>
        <w:pStyle w:val="662"/>
        <w:pBdr/>
        <w:spacing/>
        <w:ind/>
        <w:rPr/>
      </w:pPr>
      <w:r>
        <w:t xml:space="preserve">• [x] The accepted FYP scope is marked complete consistently in presentation-facing documentation.</w:t>
      </w:r>
      <w:r/>
    </w:p>
    <w:p>
      <w:pPr>
        <w:pStyle w:val="662"/>
        <w:pBdr/>
        <w:spacing/>
        <w:ind/>
        <w:rPr/>
      </w:pPr>
      <w:r>
        <w:t xml:space="preserve">• [x] Optional improvements are isolated in `docs/RECOMMENDED_IMPROVEMENTS.md` and do not change completion status.</w:t>
      </w:r>
      <w:r/>
    </w:p>
    <w:p>
      <w:pPr>
        <w:pStyle w:val="666"/>
        <w:pBdr/>
        <w:spacing/>
        <w:ind/>
        <w:rPr/>
      </w:pPr>
      <w:r>
        <w:t xml:space="preserve">Recommended Improvements</w:t>
      </w:r>
      <w:r/>
    </w:p>
    <w:p>
      <w:pPr>
        <w:pStyle w:val="662"/>
        <w:pBdr/>
        <w:spacing/>
        <w:ind/>
        <w:rPr/>
      </w:pPr>
      <w:r>
        <w:t xml:space="preserve">FYP status: Complete  </w:t>
      </w:r>
      <w:r/>
    </w:p>
    <w:p>
      <w:pPr>
        <w:pStyle w:val="662"/>
        <w:pBdr/>
        <w:spacing/>
        <w:ind/>
        <w:rPr/>
      </w:pPr>
      <w:r>
        <w:t xml:space="preserve">Purpose: Optional recommendations for improving accuracy and generalization after the accepted FYP demonstration</w:t>
      </w:r>
      <w:r/>
    </w:p>
    <w:p>
      <w:pPr>
        <w:pStyle w:val="662"/>
        <w:pBdr/>
        <w:spacing/>
        <w:ind/>
        <w:rPr/>
      </w:pPr>
      <w:r>
        <w:t xml:space="preserve">These recommendations do not block the completed FYP. They explain how a later research run could improve performance on new buildings and external datasets while preserving the current evidence.</w:t>
      </w:r>
      <w:r/>
    </w:p>
    <w:p>
      <w:pPr>
        <w:pStyle w:val="667"/>
        <w:pBdr/>
        <w:spacing/>
        <w:ind/>
        <w:rPr/>
      </w:pPr>
      <w:r>
        <w:t xml:space="preserve">Current evidence</w:t>
      </w:r>
      <w:r/>
    </w:p>
    <w:p>
      <w:pPr>
        <w:pStyle w:val="662"/>
        <w:pBdr/>
        <w:spacing/>
        <w:ind/>
        <w:rPr/>
      </w:pPr>
      <w:r>
        <w:t xml:space="preserve">The strongest dir</w:t>
      </w:r>
      <w:r>
        <w:t xml:space="preserve">ectly comparable result is YOLO11n detection on the 701-image locked CUBIT-InSeg test: 89.997% precision, 64.198% recall, 63.165% mAP@50, and 54.107% mAP@50:95. The segmentation route reached 58.341% mask mAP@50 and 40.496% mask mAP@50:95 on the same test.</w:t>
      </w:r>
      <w:r/>
    </w:p>
    <w:p>
      <w:pPr>
        <w:pStyle w:val="662"/>
        <w:pBdr/>
        <w:spacing/>
        <w:ind/>
        <w:rPr/>
      </w:pPr>
      <w:r>
        <w:t xml:space="preserve">ResNet-50 reached 99.330% micro-F1 and 99.374% micro PR-AUC on</w:t>
      </w:r>
      <w:r>
        <w:t xml:space="preserve"> the 1,104-image group-safe validation split. This is not a universal 99% accuracy claim. The official 632-image CODEBRIM test produced 36.641% micro-F1 and 36.856% micro PR-AUC, showing that performance falls when the image and label distribution changes.</w:t>
      </w:r>
      <w:r/>
    </w:p>
    <w:p>
      <w:pPr>
        <w:pStyle w:val="662"/>
        <w:pBdr/>
        <w:spacing/>
        <w:ind/>
        <w:rPr/>
      </w:pPr>
      <w:r>
        <w:t xml:space="preserve">External segm</w:t>
      </w:r>
      <w:r>
        <w:t xml:space="preserve">entation results show the same domain-shift problem. Mask mAP@50 was 2.462% on CiF, 0.698% on S2DS, 0.339% on DACL10K, and 0.0047% on UAV75. These values must remain separate because the sources use different imagery, annotation rules, and label semantics.</w:t>
      </w:r>
      <w:r/>
    </w:p>
    <w:p>
      <w:pPr>
        <w:pStyle w:val="667"/>
        <w:pBdr/>
        <w:spacing/>
        <w:ind/>
        <w:rPr/>
      </w:pPr>
      <w:r>
        <w:t xml:space="preserve">Highest value improvements</w:t>
      </w:r>
      <w:r/>
    </w:p>
    <w:p>
      <w:pPr>
        <w:pStyle w:val="668"/>
        <w:pBdr/>
        <w:spacing/>
        <w:ind/>
        <w:rPr/>
      </w:pPr>
      <w:r>
        <w:t xml:space="preserve">Collect representative target-site labels</w:t>
      </w:r>
      <w:r/>
    </w:p>
    <w:p>
      <w:pPr>
        <w:pStyle w:val="662"/>
        <w:pBdr/>
        <w:spacing/>
        <w:ind/>
        <w:rPr/>
      </w:pPr>
      <w:r>
        <w:t xml:space="preserve">Create a reviewed dataset from the same cameras, distances, materials, ligh</w:t>
      </w:r>
      <w:r>
        <w:t xml:space="preserve">ting, resolutions, and defect severities expected in use. Annotate every visible target defect consistently. Split data by building, flight, video, or capture session so related frames and near duplicates cannot cross from training into validation or test.</w:t>
      </w:r>
      <w:r/>
    </w:p>
    <w:p>
      <w:pPr>
        <w:pStyle w:val="662"/>
        <w:pBdr/>
        <w:spacing/>
        <w:ind/>
        <w:rPr/>
      </w:pPr>
      <w:r>
        <w:t xml:space="preserve">This is the most important improvement because the current CUBIT result is much stronger than the external-source results. That difference indicates that domain match matters more than changing architecture alone.</w:t>
      </w:r>
      <w:r/>
    </w:p>
    <w:p>
      <w:pPr>
        <w:pStyle w:val="668"/>
        <w:pBdr/>
        <w:spacing/>
        <w:ind/>
        <w:rPr/>
      </w:pPr>
      <w:r>
        <w:t xml:space="preserve">Increase minority-class support</w:t>
      </w:r>
      <w:r/>
    </w:p>
    <w:p>
      <w:pPr>
        <w:pStyle w:val="662"/>
        <w:pBdr/>
        <w:spacing/>
        <w:ind/>
        <w:rPr/>
      </w:pPr>
      <w:r>
        <w:t xml:space="preserve">The ResNet validation split contains 590 crack positives and 515 spalling</w:t>
      </w:r>
      <w:r>
        <w:t xml:space="preserve"> positives, but only 12 rust-staining positives, 2 efflorescence positives, 1 honeycombing positive, and no exposed-rebar positives. Add reviewed positives for the rare classes and ensure each class has meaningful support in validation and the locked test.</w:t>
      </w:r>
      <w:r/>
    </w:p>
    <w:p>
      <w:pPr>
        <w:pStyle w:val="662"/>
        <w:pBdr/>
        <w:spacing/>
        <w:ind/>
        <w:rPr/>
      </w:pPr>
      <w:r>
        <w:t xml:space="preserve">Report per-class precision, recall, F1, PR-AUC, and support. Do not use a high micro-average as evidence that every class performs equally well.</w:t>
      </w:r>
      <w:r/>
    </w:p>
    <w:p>
      <w:pPr>
        <w:pStyle w:val="668"/>
        <w:pBdr/>
        <w:spacing/>
        <w:ind/>
        <w:rPr/>
      </w:pPr>
      <w:r>
        <w:t xml:space="preserve">Harmonize labels before combining datasets</w:t>
      </w:r>
      <w:r/>
    </w:p>
    <w:p>
      <w:pPr>
        <w:pStyle w:val="662"/>
        <w:pBdr/>
        <w:spacing/>
        <w:ind/>
        <w:rPr/>
      </w:pPr>
      <w:r>
        <w:t xml:space="preserve">Maintain a written mapping for every native label. Do not silently treat rock pockets as honeycombing, rust staining as exposed rebar, or binary foreground as a six-class mask. Keep weak or ambiguous mappings out of strict class-level evaluation.</w:t>
      </w:r>
      <w:r/>
    </w:p>
    <w:p>
      <w:pPr>
        <w:pStyle w:val="668"/>
        <w:pBdr/>
        <w:spacing/>
        <w:ind/>
        <w:rPr/>
      </w:pPr>
      <w:r>
        <w:t xml:space="preserve">Improve thin-defect segmentation</w:t>
      </w:r>
      <w:r/>
    </w:p>
    <w:p>
      <w:pPr>
        <w:pStyle w:val="662"/>
        <w:pBdr/>
        <w:spacing/>
        <w:ind/>
        <w:rPr/>
      </w:pPr>
      <w:r>
        <w:t xml:space="preserve">Use high-resolution or overlapping tiles for fine crack</w:t>
      </w:r>
      <w:r>
        <w:t xml:space="preserve">s, retain narrow polygons during resizing, and audit masks after conversion. Compare mask loss, tile size, overlap, and augmentation settings through controlled validation experiments. Keep the locked test untouched until the final configuration is frozen.</w:t>
      </w:r>
      <w:r/>
    </w:p>
    <w:p>
      <w:pPr>
        <w:pStyle w:val="668"/>
        <w:pBdr/>
        <w:spacing/>
        <w:ind/>
        <w:rPr/>
      </w:pPr>
      <w:r>
        <w:t xml:space="preserve">Calibrate thresholds on validation only</w:t>
      </w:r>
      <w:r/>
    </w:p>
    <w:p>
      <w:pPr>
        <w:pStyle w:val="662"/>
        <w:pBdr/>
        <w:spacing/>
        <w:ind/>
        <w:rPr/>
      </w:pPr>
      <w:r>
        <w:t xml:space="preserve">Select confidence thresholds separately </w:t>
      </w:r>
      <w:r>
        <w:t xml:space="preserve">for detection, segmentation, and classification using the validation split. Freeze those thresholds before locked-test evaluation. Include precision-recall curves and per-class operating points when false negatives and false positives have different costs.</w:t>
      </w:r>
      <w:r/>
    </w:p>
    <w:p>
      <w:pPr>
        <w:pStyle w:val="668"/>
        <w:pBdr/>
        <w:spacing/>
        <w:ind/>
        <w:rPr/>
      </w:pPr>
      <w:r>
        <w:t xml:space="preserve">Use error review to select training changes</w:t>
      </w:r>
      <w:r/>
    </w:p>
    <w:p>
      <w:pPr>
        <w:pStyle w:val="662"/>
        <w:pBdr/>
        <w:spacing/>
        <w:ind/>
        <w:rPr/>
      </w:pPr>
      <w:r>
        <w:t xml:space="preserve">Record false positives, false negati</w:t>
      </w:r>
      <w:r>
        <w:t xml:space="preserve">ves, small or thin defects, background texture confusion, truncation, blur, and occlusion. Change the data or training configuration only when a repeated error category supports the change. Keep reviewer decisions separate from immutable model predictions.</w:t>
      </w:r>
      <w:r/>
    </w:p>
    <w:p>
      <w:pPr>
        <w:pStyle w:val="668"/>
        <w:pBdr/>
        <w:spacing/>
        <w:ind/>
        <w:rPr/>
      </w:pPr>
      <w:r>
        <w:t xml:space="preserve">Measure improvements against fixed baselines</w:t>
      </w:r>
      <w:r/>
    </w:p>
    <w:p>
      <w:pPr>
        <w:pStyle w:val="662"/>
        <w:pBdr/>
        <w:spacing/>
        <w:ind/>
        <w:rPr/>
      </w:pPr>
      <w:r>
        <w:t xml:space="preserve">Fo</w:t>
      </w:r>
      <w:r>
        <w:t xml:space="preserve">r every optional experiment, retain the current checkpoints and evaluate the candidate with the same split, evaluator, IoU definition, and metric names. Report both mAP@50 and mAP@50:95 for localization, and report mask metrics separately from box metrics.</w:t>
      </w:r>
      <w:r/>
    </w:p>
    <w:p>
      <w:pPr>
        <w:pStyle w:val="667"/>
        <w:pBdr/>
        <w:spacing/>
        <w:ind/>
        <w:rPr/>
      </w:pPr>
      <w:r>
        <w:t xml:space="preserve">Recommended acceptance rule for an improved model</w:t>
      </w:r>
      <w:r/>
    </w:p>
    <w:p>
      <w:pPr>
        <w:pStyle w:val="662"/>
        <w:pBdr/>
        <w:spacing/>
        <w:ind/>
        <w:rPr/>
      </w:pPr>
      <w:r>
        <w:t xml:space="preserve">Replace a current checkpoint only when the candidate improves the </w:t>
      </w:r>
      <w:r>
        <w:t xml:space="preserve">intended validation metric without materially damaging minority-class recall, passes the same regression tests, and is evaluated once on an untouched locked test. A result on a different dataset or a different metric is not a direct improvement comparison.</w:t>
      </w:r>
      <w:r/>
    </w:p>
    <w:p>
      <w:pPr>
        <w:pStyle w:val="667"/>
        <w:pBdr/>
        <w:spacing/>
        <w:ind/>
        <w:rPr/>
      </w:pPr>
      <w:r>
        <w:t xml:space="preserve">Claims that remain appropriate</w:t>
      </w:r>
      <w:r/>
    </w:p>
    <w:p>
      <w:pPr>
        <w:pStyle w:val="662"/>
        <w:pBdr/>
        <w:spacing/>
        <w:ind/>
        <w:rPr/>
      </w:pPr>
      <w:r>
        <w:t xml:space="preserve">• The completed FYP runs real local classification, detection, segmentation, and structured vision-language inference.</w:t>
      </w:r>
      <w:r/>
    </w:p>
    <w:p>
      <w:pPr>
        <w:pStyle w:val="662"/>
        <w:pBdr/>
        <w:spacing/>
        <w:ind/>
        <w:rPr/>
      </w:pPr>
      <w:r>
        <w:t xml:space="preserve">• YOLO11n detection achieved 63.165% mAP@50 on the 701-image locked CUBIT test.</w:t>
      </w:r>
      <w:r/>
    </w:p>
    <w:p>
      <w:pPr>
        <w:pStyle w:val="662"/>
        <w:pBdr/>
        <w:spacing/>
        <w:ind/>
        <w:rPr/>
      </w:pPr>
      <w:r>
        <w:t xml:space="preserve">• ResNet-50 achieved 99.330% micro-F1 on group-safe in-domain validation.</w:t>
      </w:r>
      <w:r/>
    </w:p>
    <w:p>
      <w:pPr>
        <w:pStyle w:val="662"/>
        <w:pBdr/>
        <w:spacing/>
        <w:ind/>
        <w:rPr/>
      </w:pPr>
      <w:r>
        <w:t xml:space="preserve">• Cross-domain results are materially lower and are reported separately.</w:t>
      </w:r>
      <w:r/>
    </w:p>
    <w:p>
      <w:pPr>
        <w:pStyle w:val="662"/>
        <w:pBdr/>
        <w:spacing/>
        <w:ind/>
        <w:rPr/>
      </w:pPr>
      <w:r>
        <w:t xml:space="preserve">• The system is an academic demonstration and does not make structural-safety determinations.</w:t>
      </w:r>
      <w:r/>
    </w:p>
    <w:p>
      <w:pPr>
        <w:pStyle w:val="666"/>
        <w:pBdr/>
        <w:spacing/>
        <w:ind/>
        <w:rPr/>
      </w:pPr>
      <w:r>
        <w:t xml:space="preserve">Dataset Reproduction Guide</w:t>
      </w:r>
      <w:r/>
    </w:p>
    <w:p>
      <w:pPr>
        <w:pStyle w:val="662"/>
        <w:pBdr/>
        <w:spacing/>
        <w:ind/>
        <w:rPr/>
      </w:pPr>
      <w:r>
        <w:t xml:space="preserve">FYP status: Complete  </w:t>
      </w:r>
      <w:r/>
    </w:p>
    <w:p>
      <w:pPr>
        <w:pStyle w:val="662"/>
        <w:pBdr/>
        <w:spacing/>
        <w:ind/>
        <w:rPr/>
      </w:pPr>
      <w:r>
        <w:t xml:space="preserve">Purpose: Restore, configure, generate, and verify the exact project data layout without placing raw datasets in the handoff package</w:t>
      </w:r>
      <w:r/>
    </w:p>
    <w:p>
      <w:pPr>
        <w:pStyle w:val="667"/>
        <w:pBdr/>
        <w:spacing/>
        <w:ind/>
        <w:rPr/>
      </w:pPr>
      <w:r>
        <w:t xml:space="preserve">Storage requirement</w:t>
      </w:r>
      <w:r/>
    </w:p>
    <w:p>
      <w:pPr>
        <w:pStyle w:val="662"/>
        <w:pBdr/>
        <w:spacing/>
        <w:ind/>
        <w:rPr/>
      </w:pPr>
      <w:r>
        <w:t xml:space="preserve">The acquired raw sources occupy approximately 60.9 GiB. Materialized training data can require approximately 44.7 GiB more. Allow at least 115 GiB of free space for a full restoration and regeneration run.</w:t>
      </w:r>
      <w:r/>
    </w:p>
    <w:p>
      <w:pPr>
        <w:pStyle w:val="662"/>
        <w:pBdr/>
        <w:spacing/>
        <w:ind/>
        <w:rPr/>
      </w:pPr>
      <w:r>
        <w:t xml:space="preserve">Keep the extracted project at a short path without an apostrophe, for example D:\ProjectAlpha. Every generated path is relative to the project root.</w:t>
      </w:r>
      <w:r/>
    </w:p>
    <w:p>
      <w:pPr>
        <w:pStyle w:val="667"/>
        <w:pBdr/>
        <w:spacing/>
        <w:ind/>
        <w:rPr/>
      </w:pPr>
      <w:r>
        <w:t xml:space="preserve">One-command preparation</w:t>
      </w:r>
      <w:r/>
    </w:p>
    <w:p>
      <w:pPr>
        <w:pStyle w:val="662"/>
        <w:pBdr/>
        <w:spacing/>
        <w:ind/>
        <w:rPr/>
      </w:pPr>
      <w:r>
        <w:t xml:space="preserve">Run the following from the project root on a machine with internet access:</w:t>
      </w:r>
      <w:r/>
    </w:p>
    <w:p>
      <w:pPr>
        <w:pStyle w:val="665"/>
        <w:pBdr/>
        <w:spacing/>
        <w:ind/>
        <w:rPr/>
      </w:pPr>
      <w:r>
        <w:t xml:space="preserve">powershell -ExecutionPolicy Bypass -File scripts\prepare_datasets.ps1 -AcceptLicenses</w:t>
      </w:r>
      <w:r/>
    </w:p>
    <w:p>
      <w:pPr>
        <w:pStyle w:val="662"/>
        <w:pBdr/>
        <w:spacing/>
        <w:ind/>
        <w:rPr/>
      </w:pPr>
      <w:r>
        <w:t xml:space="preserve">The script performs the full sequence:</w:t>
      </w:r>
      <w:r/>
    </w:p>
    <w:p>
      <w:pPr>
        <w:pStyle w:val="662"/>
        <w:pBdr/>
        <w:spacing/>
        <w:ind/>
        <w:rPr/>
      </w:pPr>
      <w:r>
        <w:t xml:space="preserve">• Downloads each approved source into its fixed repository-relative location.</w:t>
      </w:r>
      <w:r/>
    </w:p>
    <w:p>
      <w:pPr>
        <w:pStyle w:val="662"/>
        <w:pBdr/>
        <w:spacing/>
        <w:ind/>
        <w:rPr/>
      </w:pPr>
      <w:r>
        <w:t xml:space="preserve">• Verifies available checksums, archive sizes, shard counts, and source structure.</w:t>
      </w:r>
      <w:r/>
    </w:p>
    <w:p>
      <w:pPr>
        <w:pStyle w:val="662"/>
        <w:pBdr/>
        <w:spacing/>
        <w:ind/>
        <w:rPr/>
      </w:pPr>
      <w:r>
        <w:t xml:space="preserve">• Audits native class counts and source inventories.</w:t>
      </w:r>
      <w:r/>
    </w:p>
    <w:p>
      <w:pPr>
        <w:pStyle w:val="662"/>
        <w:pBdr/>
        <w:spacing/>
        <w:ind/>
        <w:rPr/>
      </w:pPr>
      <w:r>
        <w:t xml:space="preserve">• Recreates the deterministic 300-sample feasibility materialization.</w:t>
      </w:r>
      <w:r/>
    </w:p>
    <w:p>
      <w:pPr>
        <w:pStyle w:val="662"/>
        <w:pBdr/>
        <w:spacing/>
        <w:ind/>
        <w:rPr/>
      </w:pPr>
      <w:r>
        <w:t xml:space="preserve">• Recreates normalized annotations and feasibility task views.</w:t>
      </w:r>
      <w:r/>
    </w:p>
    <w:p>
      <w:pPr>
        <w:pStyle w:val="662"/>
        <w:pBdr/>
        <w:spacing/>
        <w:ind/>
        <w:rPr/>
      </w:pPr>
      <w:r>
        <w:t xml:space="preserve">• Rebuilds the CUBIT source registry and duplicate audit.</w:t>
      </w:r>
      <w:r/>
    </w:p>
    <w:p>
      <w:pPr>
        <w:pStyle w:val="662"/>
        <w:pBdr/>
        <w:spacing/>
        <w:ind/>
        <w:rPr/>
      </w:pPr>
      <w:r>
        <w:t xml:space="preserve">• Rebuilds the exact-dedup selection and CODEBRIM classification registry.</w:t>
      </w:r>
      <w:r/>
    </w:p>
    <w:p>
      <w:pPr>
        <w:pStyle w:val="662"/>
        <w:pBdr/>
        <w:spacing/>
        <w:ind/>
        <w:rPr/>
      </w:pPr>
      <w:r>
        <w:t xml:space="preserve">• Recreates the frozen v1 manifests without locked-test records.</w:t>
      </w:r>
      <w:r/>
    </w:p>
    <w:p>
      <w:pPr>
        <w:pStyle w:val="662"/>
        <w:pBdr/>
        <w:spacing/>
        <w:ind/>
        <w:rPr/>
      </w:pPr>
      <w:r>
        <w:t xml:space="preserve">• Generates YOLO detection, YOLO segmentation, ResNet classification, and Florence training inputs.</w:t>
      </w:r>
      <w:r/>
    </w:p>
    <w:p>
      <w:pPr>
        <w:pStyle w:val="662"/>
        <w:pBdr/>
        <w:spacing/>
        <w:ind/>
        <w:rPr/>
      </w:pPr>
      <w:r>
        <w:t xml:space="preserve">Use -SkipDownload when the raw sources already exist in the correct locations:</w:t>
      </w:r>
      <w:r/>
    </w:p>
    <w:p>
      <w:pPr>
        <w:pStyle w:val="665"/>
        <w:pBdr/>
        <w:spacing/>
        <w:ind/>
        <w:rPr/>
      </w:pPr>
      <w:r>
        <w:t xml:space="preserve">powershell -ExecutionPolicy Bypass -File scripts\prepare_datasets.ps1 -SkipDownload</w:t>
      </w:r>
      <w:r/>
    </w:p>
    <w:p>
      <w:pPr>
        <w:pStyle w:val="662"/>
        <w:pBdr/>
        <w:spacing/>
        <w:ind/>
        <w:rPr/>
      </w:pPr>
      <w:r>
        <w:t xml:space="preserve">Use -ForceDownload only when an existing source must be reacquired:</w:t>
      </w:r>
      <w:r/>
    </w:p>
    <w:p>
      <w:pPr>
        <w:pStyle w:val="665"/>
        <w:pBdr/>
        <w:spacing/>
        <w:ind/>
        <w:rPr/>
      </w:pPr>
      <w:r>
        <w:t xml:space="preserve">powershell -ExecutionPolicy Bypass -File scripts\prepare_datasets.ps1 -AcceptLicenses -ForceDownload</w:t>
      </w:r>
      <w:r/>
    </w:p>
    <w:p>
      <w:pPr>
        <w:pStyle w:val="662"/>
        <w:pBdr/>
        <w:spacing/>
        <w:ind/>
        <w:rPr/>
      </w:pPr>
      <w:r>
        <w:t xml:space="preserve">The command above is intentionally destructive only to downloader-managed source targets selected for reacquisition. Do not use it when locally retained source files have not been backed up.</w:t>
      </w:r>
      <w:r/>
    </w:p>
    <w:p>
      <w:pPr>
        <w:pStyle w:val="667"/>
        <w:pBdr/>
        <w:spacing/>
        <w:ind/>
        <w:rPr/>
      </w:pPr>
      <w:r>
        <w:t xml:space="preserve">Raw dataset locations</w:t>
      </w:r>
      <w:r/>
    </w:p>
    <w:p>
      <w:pPr>
        <w:pStyle w:val="662"/>
        <w:pBdr/>
        <w:spacing/>
        <w:ind/>
        <w:rPr/>
      </w:pPr>
      <w:r>
        <w:t xml:space="preserve">| Source | Storage path |</w:t>
      </w:r>
      <w:r/>
    </w:p>
    <w:p>
      <w:pPr>
        <w:pStyle w:val="662"/>
        <w:pBdr/>
        <w:spacing/>
        <w:ind/>
        <w:rPr/>
      </w:pPr>
      <w:r>
        <w:t xml:space="preserve">|---|---|</w:t>
      </w:r>
      <w:r/>
    </w:p>
    <w:p>
      <w:pPr>
        <w:pStyle w:val="662"/>
        <w:pBdr/>
        <w:spacing/>
        <w:ind/>
        <w:rPr/>
      </w:pPr>
      <w:r>
        <w:t xml:space="preserve">| CiF tiled | datasets/CiF-tiled/ |</w:t>
      </w:r>
      <w:r/>
    </w:p>
    <w:p>
      <w:pPr>
        <w:pStyle w:val="662"/>
        <w:pBdr/>
        <w:spacing/>
        <w:ind/>
        <w:rPr/>
      </w:pPr>
      <w:r>
        <w:t xml:space="preserve">| DACL10K | datasets/DACL10K/dacl10kv2devphase.zip |</w:t>
      </w:r>
      <w:r/>
    </w:p>
    <w:p>
      <w:pPr>
        <w:pStyle w:val="662"/>
        <w:pBdr/>
        <w:spacing/>
        <w:ind/>
        <w:rPr/>
      </w:pPr>
      <w:r>
        <w:t xml:space="preserve">| CODEBRIM originals | datasets/CODEBRIM/CODEBRIMoriginalimages.zip |</w:t>
      </w:r>
      <w:r/>
    </w:p>
    <w:p>
      <w:pPr>
        <w:pStyle w:val="662"/>
        <w:pBdr/>
        <w:spacing/>
        <w:ind/>
        <w:rPr/>
      </w:pPr>
      <w:r>
        <w:t xml:space="preserve">| CODEBRIM classification | datasets/CODEBRIM/CODEBRIMclassificationdataset.zip |</w:t>
      </w:r>
      <w:r/>
    </w:p>
    <w:p>
      <w:pPr>
        <w:pStyle w:val="662"/>
        <w:pBdr/>
        <w:spacing/>
        <w:ind/>
        <w:rPr/>
      </w:pPr>
      <w:r>
        <w:t xml:space="preserve">| S2DS | datasets/building-target/S2DS/s2ds.zip |</w:t>
      </w:r>
      <w:r/>
    </w:p>
    <w:p>
      <w:pPr>
        <w:pStyle w:val="662"/>
        <w:pBdr/>
        <w:spacing/>
        <w:ind/>
        <w:rPr/>
      </w:pPr>
      <w:r>
        <w:t xml:space="preserve">| UAV75 | datasets/UAV-candidates/UAV75/ |</w:t>
      </w:r>
      <w:r/>
    </w:p>
    <w:p>
      <w:pPr>
        <w:pStyle w:val="662"/>
        <w:pBdr/>
        <w:spacing/>
        <w:ind/>
        <w:rPr/>
      </w:pPr>
      <w:r>
        <w:t xml:space="preserve">| CUBIT-InSeg | datasets/building-target/CUBIT-InSeg/CUBIT-InSeg/ |</w:t>
      </w:r>
      <w:r/>
    </w:p>
    <w:p>
      <w:pPr>
        <w:pStyle w:val="662"/>
        <w:pBdr/>
        <w:spacing/>
        <w:ind/>
        <w:rPr/>
      </w:pPr>
      <w:r>
        <w:t xml:space="preserve">CODEBRIM and S2DS require explicit acceptance of their source terms. The handoff package includes their metadata and license records but not the dataset bytes.</w:t>
      </w:r>
      <w:r/>
    </w:p>
    <w:p>
      <w:pPr>
        <w:pStyle w:val="667"/>
        <w:pBdr/>
        <w:spacing/>
        <w:ind/>
        <w:rPr/>
      </w:pPr>
      <w:r>
        <w:t xml:space="preserve">Generated locations</w:t>
      </w:r>
      <w:r/>
    </w:p>
    <w:p>
      <w:pPr>
        <w:pStyle w:val="662"/>
        <w:pBdr/>
        <w:spacing/>
        <w:ind/>
        <w:rPr/>
      </w:pPr>
      <w:r>
        <w:t xml:space="preserve">| Output | Storage path |</w:t>
      </w:r>
      <w:r/>
    </w:p>
    <w:p>
      <w:pPr>
        <w:pStyle w:val="662"/>
        <w:pBdr/>
        <w:spacing/>
        <w:ind/>
        <w:rPr/>
      </w:pPr>
      <w:r>
        <w:t xml:space="preserve">|---|---|</w:t>
      </w:r>
      <w:r/>
    </w:p>
    <w:p>
      <w:pPr>
        <w:pStyle w:val="662"/>
        <w:pBdr/>
        <w:spacing/>
        <w:ind/>
        <w:rPr/>
      </w:pPr>
      <w:r>
        <w:t xml:space="preserve">| Dataset audit | artifacts/data-audit/ |</w:t>
      </w:r>
      <w:r/>
    </w:p>
    <w:p>
      <w:pPr>
        <w:pStyle w:val="662"/>
        <w:pBdr/>
        <w:spacing/>
        <w:ind/>
        <w:rPr/>
      </w:pPr>
      <w:r>
        <w:t xml:space="preserve">| Frozen manifests | data/manifests/ |</w:t>
      </w:r>
      <w:r/>
    </w:p>
    <w:p>
      <w:pPr>
        <w:pStyle w:val="662"/>
        <w:pBdr/>
        <w:spacing/>
        <w:ind/>
        <w:rPr/>
      </w:pPr>
      <w:r>
        <w:t xml:space="preserve">| Feasibility images and annotations | data/feasibilityv0/ |</w:t>
      </w:r>
      <w:r/>
    </w:p>
    <w:p>
      <w:pPr>
        <w:pStyle w:val="662"/>
        <w:pBdr/>
        <w:spacing/>
        <w:ind/>
        <w:rPr/>
      </w:pPr>
      <w:r>
        <w:t xml:space="preserve">| Normalized v1 images and annotations | data/v1/images/ and data/v1/annotations/ |</w:t>
      </w:r>
      <w:r/>
    </w:p>
    <w:p>
      <w:pPr>
        <w:pStyle w:val="662"/>
        <w:pBdr/>
        <w:spacing/>
        <w:ind/>
        <w:rPr/>
      </w:pPr>
      <w:r>
        <w:t xml:space="preserve">| YOLO detection input | data/v1/traininginputs/yolodetection/ |</w:t>
      </w:r>
      <w:r/>
    </w:p>
    <w:p>
      <w:pPr>
        <w:pStyle w:val="662"/>
        <w:pBdr/>
        <w:spacing/>
        <w:ind/>
        <w:rPr/>
      </w:pPr>
      <w:r>
        <w:t xml:space="preserve">| YOLO segmentation input | data/v1/traininginputs/yolosegmentation/ |</w:t>
      </w:r>
      <w:r/>
    </w:p>
    <w:p>
      <w:pPr>
        <w:pStyle w:val="662"/>
        <w:pBdr/>
        <w:spacing/>
        <w:ind/>
        <w:rPr/>
      </w:pPr>
      <w:r>
        <w:t xml:space="preserve">| ResNet classification manifest | data/v1/traininginputs/classificationmanifestv100.csv |</w:t>
      </w:r>
      <w:r/>
    </w:p>
    <w:p>
      <w:pPr>
        <w:pStyle w:val="662"/>
        <w:pBdr/>
        <w:spacing/>
        <w:ind/>
        <w:rPr/>
      </w:pPr>
      <w:r>
        <w:t xml:space="preserve">| Florence targets | data/v1/traininginputs/florencetargetsv100.jsonl |</w:t>
      </w:r>
      <w:r/>
    </w:p>
    <w:p>
      <w:pPr>
        <w:pStyle w:val="662"/>
        <w:pBdr/>
        <w:spacing/>
        <w:ind/>
        <w:rPr/>
      </w:pPr>
      <w:r>
        <w:t xml:space="preserve">Raw downloads remain immutable. Generated crops, masks, labels, manifests, and training inputs are stored outside the raw-source locations.</w:t>
      </w:r>
      <w:r/>
    </w:p>
    <w:p>
      <w:pPr>
        <w:pStyle w:val="667"/>
        <w:pBdr/>
        <w:spacing/>
        <w:ind/>
        <w:rPr/>
      </w:pPr>
      <w:r>
        <w:t xml:space="preserve">Manual commands</w:t>
      </w:r>
      <w:r/>
    </w:p>
    <w:p>
      <w:pPr>
        <w:pStyle w:val="662"/>
        <w:pBdr/>
        <w:spacing/>
        <w:ind/>
        <w:rPr/>
      </w:pPr>
      <w:r>
        <w:t xml:space="preserve">The exact equivalent commands are:</w:t>
      </w:r>
      <w:r/>
    </w:p>
    <w:p>
      <w:pPr>
        <w:pStyle w:val="665"/>
        <w:pBdr/>
        <w:spacing/>
        <w:ind/>
        <w:rPr/>
      </w:pPr>
      <w:r>
        <w:t xml:space="preserve">powershell -ExecutionPolicy Bypass -File scripts\download_datasets.ps1 -AcceptLicenses
.\.venv\Scripts\python.exe scripts\audit_datasets.py
.\.venv\Scripts\python.exe scripts\build_feasibility_mani</w:t>
      </w:r>
      <w:r>
        <w:t xml:space="preserve">fest.py
.\.venv\Scripts\python.exe scripts\materialize_feasibility_set.py
.\.venv\Scripts\python.exe scripts\build_feasibility_task_views.py
.\.venv\Scripts\python.exe scripts\build_cubit_registry.py
.\.venv\Scripts\python.exe scripts\audit_cubit_duplicate</w:t>
      </w:r>
      <w:r>
        <w:t xml:space="preserve">s.py
.\.venv\Scripts\python.exe scripts\build_cubit_exact_dedup_manifest.py
.\.venv\Scripts\python.exe scripts\build_codebrim_registry.py
.\.venv\Scripts\python.exe scripts\build_v1_manifest.py
.\.venv\Scripts\python.exe scripts\build_v1_training_inputs.py</w:t>
      </w:r>
      <w:r/>
    </w:p>
    <w:p>
      <w:pPr>
        <w:pStyle w:val="662"/>
        <w:pBdr/>
        <w:spacing/>
        <w:ind/>
        <w:rPr/>
      </w:pPr>
      <w:r>
        <w:t xml:space="preserve">The re</w:t>
      </w:r>
      <w:r>
        <w:t xml:space="preserve">viewed CUBIT near-duplicate decision queue is included in artifacts/data-audit/ and is consumed by buildv1manifest.py. The v1 builder excludes unresolved or reviewed duplicate non-test records and never adds the locked CUBIT test to training or validation.</w:t>
      </w:r>
      <w:r/>
    </w:p>
    <w:p>
      <w:pPr>
        <w:pStyle w:val="667"/>
        <w:pBdr/>
        <w:spacing/>
        <w:ind/>
        <w:rPr/>
      </w:pPr>
      <w:r>
        <w:t xml:space="preserve">Verification</w:t>
      </w:r>
      <w:r/>
    </w:p>
    <w:p>
      <w:pPr>
        <w:pStyle w:val="662"/>
        <w:pBdr/>
        <w:spacing/>
        <w:ind/>
        <w:rPr/>
      </w:pPr>
      <w:r>
        <w:t xml:space="preserve">After preparation, run:</w:t>
      </w:r>
      <w:r/>
    </w:p>
    <w:p>
      <w:pPr>
        <w:pStyle w:val="665"/>
        <w:pBdr/>
        <w:spacing/>
        <w:ind/>
        <w:rPr/>
      </w:pPr>
      <w:r>
        <w:t xml:space="preserve">.\.venv\Scripts\python.exe -m unitt</w:t>
      </w:r>
      <w:r>
        <w:t xml:space="preserve">est discover -s tests -v
.\.venv\Scripts\python.exe scripts\check_markdown_links.py
Get-Content artifacts\data-audit\dataset_audit.json
Get-Content artifacts\data-audit\v1_manifest_report.json
Get-Content artifacts\data-audit\v1_training_inputs_report.json</w:t>
      </w:r>
      <w:r/>
    </w:p>
    <w:p>
      <w:pPr>
        <w:pStyle w:val="662"/>
        <w:pBdr/>
        <w:spacing/>
        <w:ind/>
        <w:rPr/>
      </w:pPr>
      <w:r>
        <w:t xml:space="preserve">The v1 manifest report must show zero locked-test records. Dataset source terms continue to govern use and redistribution after download.</w:t>
      </w:r>
      <w:r/>
    </w:p>
    <w:p>
      <w:pPr>
        <w:pStyle w:val="666"/>
        <w:pBdr/>
        <w:spacing/>
        <w:ind/>
        <w:rPr/>
      </w:pPr>
      <w:r>
        <w:t xml:space="preserve">Finding and Export Contract</w:t>
      </w:r>
      <w:r/>
    </w:p>
    <w:p>
      <w:pPr>
        <w:pStyle w:val="662"/>
        <w:pBdr/>
        <w:spacing/>
        <w:ind/>
        <w:rPr/>
      </w:pPr>
      <w:r>
        <w:t xml:space="preserve">Contract ID: BDI-OUTPUT-001  </w:t>
      </w:r>
      <w:r/>
    </w:p>
    <w:p>
      <w:pPr>
        <w:pStyle w:val="662"/>
        <w:pBdr/>
        <w:spacing/>
        <w:ind/>
        <w:rPr/>
      </w:pPr>
      <w:r>
        <w:t xml:space="preserve">Status: Implemented for the demo-only FYP prototype</w:t>
      </w:r>
      <w:r/>
    </w:p>
    <w:p>
      <w:pPr>
        <w:pStyle w:val="662"/>
        <w:pBdr/>
        <w:spacing/>
        <w:ind/>
        <w:rPr/>
      </w:pPr>
      <w:r>
        <w:t xml:space="preserve">The sche</w:t>
      </w:r>
      <w:r>
        <w:t xml:space="preserve">ma is the handoff boundary for both routes: Florence findings and YOLO -&gt; SAM findings use the same record shape. The local browser workflow implements upload, real inference, separate human review, persistence, and JSON/CSV/annotated-image/report exports.</w:t>
      </w:r>
      <w:r/>
    </w:p>
    <w:p>
      <w:pPr>
        <w:pStyle w:val="662"/>
        <w:pBdr/>
        <w:spacing/>
        <w:ind/>
        <w:rPr/>
      </w:pPr>
      <w:r>
        <w:t xml:space="preserve">Machine schema: schemas/findingrecord.schema.json</w:t>
      </w:r>
      <w:r/>
    </w:p>
    <w:p>
      <w:pPr>
        <w:pStyle w:val="667"/>
        <w:pBdr/>
        <w:spacing/>
        <w:ind/>
        <w:rPr/>
      </w:pPr>
      <w:r>
        <w:t xml:space="preserve">Core rule</w:t>
      </w:r>
      <w:r/>
    </w:p>
    <w:p>
      <w:pPr>
        <w:pStyle w:val="662"/>
        <w:pBdr/>
        <w:spacing/>
        <w:ind/>
        <w:rPr/>
      </w:pPr>
      <w:r>
        <w:t xml:space="preserve">The beta stores the model prediction and the human review as separate facts. Reviewers may approve, reject, or relabel a finding, but they do not overwrite the original prediction or its model/checkpoint provenance.</w:t>
      </w:r>
      <w:r/>
    </w:p>
    <w:p>
      <w:pPr>
        <w:pStyle w:val="667"/>
        <w:pBdr/>
        <w:spacing/>
        <w:ind/>
        <w:rPr/>
      </w:pPr>
      <w:r>
        <w:t xml:space="preserve">Coordinate and measurement rules</w:t>
      </w:r>
      <w:r/>
    </w:p>
    <w:p>
      <w:pPr>
        <w:pStyle w:val="662"/>
        <w:pBdr/>
        <w:spacing/>
        <w:ind/>
        <w:rPr/>
      </w:pPr>
      <w:r>
        <w:t xml:space="preserve">• Boxes use source-image pixel coordinates in `[x, y, width, height]` order.</w:t>
      </w:r>
      <w:r/>
    </w:p>
    <w:p>
      <w:pPr>
        <w:pStyle w:val="662"/>
        <w:pBdr/>
        <w:spacing/>
        <w:ind/>
        <w:rPr/>
      </w:pPr>
      <w:r>
        <w:t xml:space="preserve">• Masks use COCO RLE or explicit polygon points and identify their encoding.</w:t>
      </w:r>
      <w:r/>
    </w:p>
    <w:p>
      <w:pPr>
        <w:pStyle w:val="662"/>
        <w:pBdr/>
        <w:spacing/>
        <w:ind/>
        <w:rPr/>
      </w:pPr>
      <w:r>
        <w:t xml:space="preserve">• Pixel length, maximum width, and area may be emitted when the geometry supports them.</w:t>
      </w:r>
      <w:r/>
    </w:p>
    <w:p>
      <w:pPr>
        <w:pStyle w:val="662"/>
        <w:pBdr/>
        <w:spacing/>
        <w:ind/>
        <w:rPr/>
      </w:pPr>
      <w:r>
        <w:t xml:space="preserve">• A physical measurement object is forbidden unless `scale_status` is `valid` and a non-`none` scale method is recorded.</w:t>
      </w:r>
      <w:r/>
    </w:p>
    <w:p>
      <w:pPr>
        <w:pStyle w:val="662"/>
        <w:pBdr/>
        <w:spacing/>
        <w:ind/>
        <w:rPr/>
      </w:pPr>
      <w:r>
        <w:t xml:space="preserve">• A valid scale method still requires uncertainty to be reported; it does not make a model result an engineering conclusion.</w:t>
      </w:r>
      <w:r/>
    </w:p>
    <w:p>
      <w:pPr>
        <w:pStyle w:val="667"/>
        <w:pBdr/>
        <w:spacing/>
        <w:ind/>
        <w:rPr/>
      </w:pPr>
      <w:r>
        <w:t xml:space="preserve">Product exports</w:t>
      </w:r>
      <w:r/>
    </w:p>
    <w:p>
      <w:pPr>
        <w:pStyle w:val="662"/>
        <w:pBdr/>
        <w:spacing/>
        <w:ind/>
        <w:rPr/>
      </w:pPr>
      <w:r>
        <w:t xml:space="preserve">The same stored records drive all output formats:</w:t>
      </w:r>
      <w:r/>
    </w:p>
    <w:p>
      <w:pPr>
        <w:pStyle w:val="662"/>
        <w:pBdr/>
        <w:spacing/>
        <w:ind/>
        <w:rPr/>
      </w:pPr>
      <w:r>
        <w:t xml:space="preserve">• JSON preserves the complete schema and provenance.</w:t>
      </w:r>
      <w:r/>
    </w:p>
    <w:p>
      <w:pPr>
        <w:pStyle w:val="662"/>
        <w:pBdr/>
        <w:spacing/>
        <w:ind/>
        <w:rPr/>
      </w:pPr>
      <w:r>
        <w:t xml:space="preserve">• CSV flattens one finding per row and links mask geometry as a file or stable URI.</w:t>
      </w:r>
      <w:r/>
    </w:p>
    <w:p>
      <w:pPr>
        <w:pStyle w:val="662"/>
        <w:pBdr/>
        <w:spacing/>
        <w:ind/>
        <w:rPr/>
      </w:pPr>
      <w:r>
        <w:t xml:space="preserve">• Annotated images render accepted display labels without modifying the source image.</w:t>
      </w:r>
      <w:r/>
    </w:p>
    <w:p>
      <w:pPr>
        <w:pStyle w:val="662"/>
        <w:pBdr/>
        <w:spacing/>
        <w:ind/>
        <w:rPr/>
      </w:pPr>
      <w:r>
        <w:t xml:space="preserve">• The PDF-style report summarizes inspection metadata, reviewed findings, rejected/failed images, measurement status, limitations, and model/dataset versions.</w:t>
      </w:r>
      <w:r/>
    </w:p>
    <w:p>
      <w:pPr>
        <w:pStyle w:val="667"/>
        <w:pBdr/>
        <w:spacing/>
        <w:ind/>
        <w:rPr/>
      </w:pPr>
      <w:r>
        <w:t xml:space="preserve">Evidence links</w:t>
      </w:r>
      <w:r/>
    </w:p>
    <w:p>
      <w:pPr>
        <w:pStyle w:val="662"/>
        <w:pBdr/>
        <w:spacing/>
        <w:ind/>
        <w:rPr/>
      </w:pPr>
      <w:r>
        <w:t xml:space="preserve">evidencelinks can retain references to RGB, thermal, GPR, 3D, and historical records. The completed FYP demo processes RGB still images; other evidence-link fields are provenance metadata only and are not presented as multimodal inference.</w:t>
      </w:r>
      <w:r/>
    </w:p>
    <w:p>
      <w:pPr>
        <w:pStyle w:val="667"/>
        <w:pBdr/>
        <w:spacing/>
        <w:ind/>
        <w:rPr/>
      </w:pPr>
      <w:r>
        <w:t xml:space="preserve">Safety wording</w:t>
      </w:r>
      <w:r/>
    </w:p>
    <w:p>
      <w:pPr>
        <w:pStyle w:val="662"/>
        <w:pBdr/>
        <w:spacing/>
        <w:ind/>
        <w:rPr/>
      </w:pPr>
      <w:r>
        <w:t xml:space="preserve">Every user-facing report must include both manualreviewrequired and notstructuralsafetydetermination limitations. An image with no finding is not evidence that the structure or element is safe.</w:t>
      </w:r>
      <w:r/>
    </w:p>
    <w:p>
      <w:pPr>
        <w:pStyle w:val="662"/>
        <w:pBdr/>
        <w:spacing/>
        <w:ind/>
        <w:rPr/>
      </w:pPr>
      <w:r>
        <w:t xml:space="preserve">cs without duplicating raw coordinate arrays in this reader report.</w:t>
      </w:r>
      <w:r/>
    </w:p>
    <w:sectPr>
      <w:footnotePr/>
      <w:endnotePr/>
      <w:type w:val="nextPage"/>
      <w:pgSz w:h="15840" w:orient="portrait" w:w="12240"/>
      <w:pgMar w:top="720" w:right="720" w:bottom="720" w:left="720"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662"/>
    <w:next w:val="662"/>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2"/>
    <w:next w:val="662"/>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2"/>
    <w:next w:val="662"/>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2"/>
    <w:next w:val="662"/>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2"/>
    <w:next w:val="66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2"/>
    <w:next w:val="66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6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6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6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63"/>
    <w:uiPriority w:val="10"/>
    <w:pPr>
      <w:pBdr/>
      <w:spacing/>
      <w:ind/>
    </w:pPr>
    <w:rPr>
      <w:rFonts w:ascii="Arial" w:hAnsi="Arial" w:eastAsia="Arial" w:cs="Arial"/>
      <w:spacing w:val="-10"/>
      <w:sz w:val="56"/>
      <w:szCs w:val="56"/>
    </w:rPr>
  </w:style>
  <w:style w:type="character" w:styleId="162">
    <w:name w:val="Subtitle Char"/>
    <w:basedOn w:val="148"/>
    <w:link w:val="664"/>
    <w:uiPriority w:val="11"/>
    <w:pPr>
      <w:pBdr/>
      <w:spacing/>
      <w:ind/>
    </w:pPr>
    <w:rPr>
      <w:color w:val="595959" w:themeColor="text1" w:themeTint="A6"/>
      <w:spacing w:val="15"/>
      <w:sz w:val="28"/>
      <w:szCs w:val="28"/>
    </w:rPr>
  </w:style>
  <w:style w:type="paragraph" w:styleId="163">
    <w:name w:val="Quote"/>
    <w:basedOn w:val="662"/>
    <w:next w:val="662"/>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62"/>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2"/>
    <w:next w:val="66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62"/>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2"/>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2"/>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2"/>
    <w:next w:val="662"/>
    <w:uiPriority w:val="35"/>
    <w:unhideWhenUsed/>
    <w:qFormat/>
    <w:pPr>
      <w:pBdr/>
      <w:spacing w:after="200" w:line="240" w:lineRule="auto"/>
      <w:ind/>
    </w:pPr>
    <w:rPr>
      <w:i/>
      <w:iCs/>
      <w:color w:val="0e2841" w:themeColor="text2"/>
      <w:sz w:val="18"/>
      <w:szCs w:val="18"/>
    </w:rPr>
  </w:style>
  <w:style w:type="paragraph" w:styleId="181">
    <w:name w:val="footnote text"/>
    <w:basedOn w:val="662"/>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2"/>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2"/>
    <w:next w:val="662"/>
    <w:uiPriority w:val="39"/>
    <w:unhideWhenUsed/>
    <w:pPr>
      <w:pBdr/>
      <w:spacing w:after="100"/>
      <w:ind/>
    </w:pPr>
  </w:style>
  <w:style w:type="paragraph" w:styleId="190">
    <w:name w:val="toc 2"/>
    <w:basedOn w:val="662"/>
    <w:next w:val="662"/>
    <w:uiPriority w:val="39"/>
    <w:unhideWhenUsed/>
    <w:pPr>
      <w:pBdr/>
      <w:spacing w:after="100"/>
      <w:ind w:left="220"/>
    </w:pPr>
  </w:style>
  <w:style w:type="paragraph" w:styleId="191">
    <w:name w:val="toc 3"/>
    <w:basedOn w:val="662"/>
    <w:next w:val="662"/>
    <w:uiPriority w:val="39"/>
    <w:unhideWhenUsed/>
    <w:pPr>
      <w:pBdr/>
      <w:spacing w:after="100"/>
      <w:ind w:left="440"/>
    </w:pPr>
  </w:style>
  <w:style w:type="paragraph" w:styleId="192">
    <w:name w:val="toc 4"/>
    <w:basedOn w:val="662"/>
    <w:next w:val="662"/>
    <w:uiPriority w:val="39"/>
    <w:unhideWhenUsed/>
    <w:pPr>
      <w:pBdr/>
      <w:spacing w:after="100"/>
      <w:ind w:left="660"/>
    </w:pPr>
  </w:style>
  <w:style w:type="paragraph" w:styleId="193">
    <w:name w:val="toc 5"/>
    <w:basedOn w:val="662"/>
    <w:next w:val="662"/>
    <w:uiPriority w:val="39"/>
    <w:unhideWhenUsed/>
    <w:pPr>
      <w:pBdr/>
      <w:spacing w:after="100"/>
      <w:ind w:left="880"/>
    </w:pPr>
  </w:style>
  <w:style w:type="paragraph" w:styleId="194">
    <w:name w:val="toc 6"/>
    <w:basedOn w:val="662"/>
    <w:next w:val="662"/>
    <w:uiPriority w:val="39"/>
    <w:unhideWhenUsed/>
    <w:pPr>
      <w:pBdr/>
      <w:spacing w:after="100"/>
      <w:ind w:left="1100"/>
    </w:pPr>
  </w:style>
  <w:style w:type="paragraph" w:styleId="195">
    <w:name w:val="toc 7"/>
    <w:basedOn w:val="662"/>
    <w:next w:val="662"/>
    <w:uiPriority w:val="39"/>
    <w:unhideWhenUsed/>
    <w:pPr>
      <w:pBdr/>
      <w:spacing w:after="100"/>
      <w:ind w:left="1320"/>
    </w:pPr>
  </w:style>
  <w:style w:type="paragraph" w:styleId="196">
    <w:name w:val="toc 8"/>
    <w:basedOn w:val="662"/>
    <w:next w:val="662"/>
    <w:uiPriority w:val="39"/>
    <w:unhideWhenUsed/>
    <w:pPr>
      <w:pBdr/>
      <w:spacing w:after="100"/>
      <w:ind w:left="1540"/>
    </w:pPr>
  </w:style>
  <w:style w:type="paragraph" w:styleId="197">
    <w:name w:val="toc 9"/>
    <w:basedOn w:val="662"/>
    <w:next w:val="662"/>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2"/>
    <w:next w:val="662"/>
    <w:uiPriority w:val="99"/>
    <w:unhideWhenUsed/>
    <w:pPr>
      <w:pBdr/>
      <w:spacing w:after="0" w:afterAutospacing="0"/>
      <w:ind/>
    </w:pPr>
  </w:style>
  <w:style w:type="paragraph" w:styleId="662" w:default="1">
    <w:name w:val="Normal"/>
    <w:pPr>
      <w:pBdr/>
      <w:spacing/>
      <w:ind/>
    </w:pPr>
    <w:rPr>
      <w:color w:val="000000"/>
      <w:sz w:val="20"/>
      <w:szCs w:val="20"/>
    </w:rPr>
  </w:style>
  <w:style w:type="paragraph" w:styleId="663">
    <w:name w:val="Title"/>
    <w:basedOn w:val="662"/>
    <w:qFormat/>
    <w:pPr>
      <w:pBdr/>
      <w:spacing/>
      <w:ind/>
    </w:pPr>
    <w:rPr>
      <w:b/>
      <w:color w:val="000000"/>
      <w:sz w:val="40"/>
    </w:rPr>
  </w:style>
  <w:style w:type="paragraph" w:styleId="664">
    <w:name w:val="Subtitle"/>
    <w:basedOn w:val="662"/>
    <w:pPr>
      <w:pBdr/>
      <w:spacing/>
      <w:ind/>
    </w:pPr>
    <w:rPr>
      <w:color w:val="000000"/>
      <w:sz w:val="24"/>
    </w:rPr>
  </w:style>
  <w:style w:type="paragraph" w:styleId="665">
    <w:name w:val="Code"/>
    <w:basedOn w:val="662"/>
    <w:pPr>
      <w:pBdr/>
      <w:spacing/>
      <w:ind/>
    </w:pPr>
    <w:rPr>
      <w:rFonts w:ascii="Consolas"/>
      <w:sz w:val="16"/>
    </w:rPr>
  </w:style>
  <w:style w:type="paragraph" w:styleId="666">
    <w:name w:val="Heading 1"/>
    <w:basedOn w:val="662"/>
    <w:uiPriority w:val="9"/>
    <w:qFormat/>
    <w:pPr>
      <w:pBdr/>
      <w:spacing/>
      <w:ind/>
    </w:pPr>
    <w:rPr>
      <w:b/>
      <w:color w:val="000000"/>
      <w:sz w:val="32"/>
    </w:rPr>
  </w:style>
  <w:style w:type="paragraph" w:styleId="667">
    <w:name w:val="Heading 2"/>
    <w:basedOn w:val="662"/>
    <w:uiPriority w:val="9"/>
    <w:qFormat/>
    <w:pPr>
      <w:pBdr/>
      <w:spacing/>
      <w:ind/>
    </w:pPr>
    <w:rPr>
      <w:b/>
      <w:color w:val="000000"/>
      <w:sz w:val="26"/>
    </w:rPr>
  </w:style>
  <w:style w:type="paragraph" w:styleId="668">
    <w:name w:val="Heading 3"/>
    <w:basedOn w:val="662"/>
    <w:uiPriority w:val="9"/>
    <w:qFormat/>
    <w:pPr>
      <w:pBdr/>
      <w:spacing/>
      <w:ind/>
    </w:pPr>
    <w:rPr>
      <w:b/>
      <w:color w:val="000000"/>
      <w:sz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