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before="1000"/>
        <w:jc w:val="center"/>
      </w:pPr>
      <w:r>
        <w:rPr>
          <w:sz w:val="144"/>
          <w:szCs w:val="144"/>
        </w:rPr>
        <w:t xml:space="preserve">🎮</w:t>
      </w:r>
    </w:p>
    <w:p>
      <w:pPr>
        <w:pStyle w:val="Title"/>
      </w:pPr>
      <w:r>
        <w:t xml:space="preserve">IDIOT GAMES</w:t>
      </w:r>
    </w:p>
    <w:p>
      <w:pPr>
        <w:spacing w:before="200"/>
        <w:jc w:val="center"/>
      </w:pPr>
      <w:r>
        <w:rPr>
          <w:rFonts w:ascii="Times New Roman" w:cs="Times New Roman" w:eastAsia="Times New Roman" w:hAnsi="Times New Roman"/>
          <w:color w:val="64748B"/>
          <w:sz w:val="32"/>
          <w:szCs w:val="32"/>
        </w:rPr>
        <w:t xml:space="preserve">Plateforme de Mini-Jeux Viraux</w:t>
      </w:r>
    </w:p>
    <w:p>
      <w:pPr>
        <w:spacing w:before="2000"/>
      </w:pPr>
    </w:p>
    <w:p>
      <w:pPr>
        <w:jc w:val="center"/>
      </w:pPr>
      <w:r>
        <w:rPr>
          <w:color w:val="1E293B"/>
          <w:sz w:val="24"/>
          <w:szCs w:val="24"/>
        </w:rPr>
        <w:t xml:space="preserve">Document de Conception</w:t>
      </w:r>
    </w:p>
    <w:p>
      <w:pPr>
        <w:spacing w:before="100"/>
        <w:jc w:val="center"/>
      </w:pPr>
      <w:r>
        <w:rPr>
          <w:color w:val="64748B"/>
          <w:sz w:val="22"/>
          <w:szCs w:val="22"/>
        </w:rPr>
        <w:t xml:space="preserve">3 mars 2026</w:t>
      </w:r>
    </w:p>
    <w:p>
      <w:pPr>
        <w:sectPr>
          <w:pgSz w:w="11906" w:h="16838" w:orient="portrait"/>
          <w:pgMar w:top="0" w:right="0" w:bottom="0" w:left="0" w:header="708" w:footer="708" w:gutter="0"/>
          <w:pgNumType/>
          <w:docGrid w:linePitch="360"/>
        </w:sectPr>
      </w:pPr>
    </w:p>
    <w:p>
      <w:pPr>
        <w:pStyle w:val="Heading1"/>
      </w:pPr>
      <w:r>
        <w:t xml:space="preserve">1. Résumé Exécutif</w:t>
      </w:r>
    </w:p>
    <w:p>
      <w:pPr>
        <w:spacing w:after="200"/>
      </w:pPr>
      <w:r>
        <w:rPr>
          <w:sz w:val="22"/>
          <w:szCs w:val="22"/>
        </w:rPr>
        <w:t xml:space="preserve">Idiot Games est une plateforme web regroupant plusieurs mini-jeux simples, addictifs et viraux. Le concept repose sur un principe éprouvé : plus c'est idiot, plus les gens aiment. Chaque jeu est conçu pour être compris en une seconde, joué en quelques clics, et partagé massivement sur les réseaux sociaux.</w:t>
      </w:r>
    </w:p>
    <w:p>
      <w:pPr>
        <w:spacing w:after="200"/>
      </w:pPr>
      <w:r>
        <w:rPr>
          <w:sz w:val="22"/>
          <w:szCs w:val="22"/>
        </w:rPr>
        <w:t xml:space="preserve">La monétisation repose sur un modèle hybride : publicités regardées pour effectuer des actions dans les jeux, couplé à une option premium sans publicité. Les jeux se réinitialisent toutes les 48 heures pour créer un sentiment d'urgence et inciter les joueurs à revenir régulièrement.</w:t>
      </w:r>
    </w:p>
    <w:p>
      <w:pPr>
        <w:pStyle w:val="Heading1"/>
      </w:pPr>
      <w:r>
        <w:t xml:space="preserve">2. Concept Global</w:t>
      </w:r>
    </w:p>
    <w:p>
      <w:pPr>
        <w:pStyle w:val="Heading2"/>
      </w:pPr>
      <w:r>
        <w:t xml:space="preserve">2.1 Philosophie du Projet</w:t>
      </w:r>
    </w:p>
    <w:p>
      <w:pPr>
        <w:spacing w:after="200"/>
      </w:pPr>
      <w:r>
        <w:rPr>
          <w:sz w:val="22"/>
          <w:szCs w:val="22"/>
        </w:rPr>
        <w:t xml:space="preserve">Dans un monde où les gens paient pour des jeux qui ne rapportent rien (loot boxes, skins, microtransactions), Idiot Games propose une approche radicalement simple : des jeux immédiatement compréhensibles, sans barrière à l'entrée, où le seul investissement demandé est de regarder une courte publicité. Cette approche élimine la friction tout en garantissant une monétisation stable.</w:t>
      </w:r>
    </w:p>
    <w:p>
      <w:pPr>
        <w:pStyle w:val="Heading2"/>
      </w:pPr>
      <w:r>
        <w:t xml:space="preserve">2.2 Architecture de la Plateforme</w:t>
      </w:r>
    </w:p>
    <w:p>
      <w:pPr>
        <w:spacing w:after="100"/>
      </w:pPr>
      <w:r>
        <w:rPr>
          <w:sz w:val="22"/>
          <w:szCs w:val="22"/>
        </w:rPr>
        <w:t xml:space="preserve">Un seul site web hébergeant plusieurs mini-jeux indépendants mais interconnectés par un système commun de Hall of Fame. Cette architecture permet d'attirer différents types de joueurs tout en maximisant le temps passé sur la plateforme.</w:t>
      </w:r>
    </w:p>
    <w:p>
      <w:pPr>
        <w:pStyle w:val="Heading1"/>
      </w:pPr>
      <w:r>
        <w:t xml:space="preserve">3. Les Trois Jeux du MVP</w:t>
      </w:r>
    </w:p>
    <w:p>
      <w:pPr>
        <w:pStyle w:val="Heading2"/>
      </w:pPr>
      <w:r>
        <w:t xml:space="preserve">3.1 Team Vote - Sondages Battles</w:t>
      </w:r>
    </w:p>
    <w:p>
      <w:pPr>
        <w:spacing w:after="100"/>
      </w:pPr>
      <w:r>
        <w:rPr>
          <w:b/>
          <w:bCs/>
        </w:rPr>
        <w:t xml:space="preserve">Principe : </w:t>
      </w:r>
      <w:r>
        <w:rPr>
          <w:sz w:val="22"/>
          <w:szCs w:val="22"/>
        </w:rPr>
        <w:t xml:space="preserve">Les utilisateurs votent pour leur équipe préférée parmi des duels iconiques. Aucun commentaire, juste un pourcentage en temps réel. Pour valider son vote, il faut regarder une publicité de quelques secondes.</w:t>
      </w:r>
    </w:p>
    <w:p>
      <w:pPr>
        <w:spacing w:after="100"/>
      </w:pPr>
      <w:r>
        <w:rPr>
          <w:b/>
          <w:bCs/>
        </w:rPr>
        <w:t xml:space="preserve">Exemples de battles :</w:t>
      </w:r>
    </w:p>
    <w:p>
      <w:pPr>
        <w:pStyle w:val="ListParagraph"/>
        <w:numPr>
          <w:ilvl w:val="0"/>
          <w:numId w:val="2"/>
        </w:numPr>
      </w:pPr>
      <w:r>
        <w:t xml:space="preserve">iOS vs Android</w:t>
      </w:r>
    </w:p>
    <w:p>
      <w:pPr>
        <w:pStyle w:val="ListParagraph"/>
        <w:numPr>
          <w:ilvl w:val="0"/>
          <w:numId w:val="2"/>
        </w:numPr>
      </w:pPr>
      <w:r>
        <w:t xml:space="preserve">McDonald's vs Burger King</w:t>
      </w:r>
    </w:p>
    <w:p>
      <w:pPr>
        <w:pStyle w:val="ListParagraph"/>
        <w:numPr>
          <w:ilvl w:val="0"/>
          <w:numId w:val="2"/>
        </w:numPr>
      </w:pPr>
      <w:r>
        <w:t xml:space="preserve">Chat vs Chien</w:t>
      </w:r>
    </w:p>
    <w:p>
      <w:pPr>
        <w:pStyle w:val="ListParagraph"/>
        <w:numPr>
          <w:ilvl w:val="0"/>
          <w:numId w:val="2"/>
        </w:numPr>
      </w:pPr>
      <w:r>
        <w:t xml:space="preserve">Café vs Thé</w:t>
      </w:r>
    </w:p>
    <w:p>
      <w:pPr>
        <w:pStyle w:val="ListParagraph"/>
        <w:numPr>
          <w:ilvl w:val="0"/>
          <w:numId w:val="2"/>
        </w:numPr>
      </w:pPr>
      <w:r>
        <w:t xml:space="preserve">PlayStation vs Xbox</w:t>
      </w:r>
    </w:p>
    <w:p>
      <w:pPr>
        <w:spacing w:after="200" w:before="150"/>
      </w:pPr>
      <w:r>
        <w:rPr>
          <w:b/>
          <w:bCs/>
        </w:rPr>
        <w:t xml:space="preserve">Pourquoi ça marche : </w:t>
      </w:r>
      <w:r>
        <w:rPr>
          <w:sz w:val="22"/>
          <w:szCs w:val="22"/>
        </w:rPr>
        <w:t xml:space="preserve">Les gens adorent affirmer leur appartenance à une "team". Le format sans commentaire évite les débats toxiques tout en permettant l'expression d'une préférence. Les résultats en temps réel créent un effet FOMO (Fear Of Missing Out).</w:t>
      </w:r>
    </w:p>
    <w:p>
      <w:pPr>
        <w:pStyle w:val="Heading2"/>
      </w:pPr>
      <w:r>
        <w:t xml:space="preserve">3.2 Balle Lune - Jeu de Progression</w:t>
      </w:r>
    </w:p>
    <w:p>
      <w:pPr>
        <w:spacing w:after="100"/>
      </w:pPr>
      <w:r>
        <w:rPr>
          <w:b/>
          <w:bCs/>
        </w:rPr>
        <w:t xml:space="preserve">Principe : </w:t>
      </w:r>
      <w:r>
        <w:rPr>
          <w:sz w:val="22"/>
          <w:szCs w:val="22"/>
        </w:rPr>
        <w:t xml:space="preserve">Une balle part de la Terre vers la Lune. Chaque publicité regardée fait monter la balle. Les joueurs peuvent aussi regarder une pub pour la faire redescendre. Le but ? Atteindre la Lune collectivement ou individuellement.</w:t>
      </w:r>
    </w:p>
    <w:p>
      <w:pPr>
        <w:spacing w:after="100"/>
      </w:pPr>
      <w:r>
        <w:rPr>
          <w:b/>
          <w:bCs/>
        </w:rPr>
        <w:t xml:space="preserve">Mécanique de jeu :</w:t>
      </w:r>
    </w:p>
    <w:p>
      <w:pPr>
        <w:pStyle w:val="ListParagraph"/>
        <w:numPr>
          <w:ilvl w:val="0"/>
          <w:numId w:val="2"/>
        </w:numPr>
      </w:pPr>
      <w:r>
        <w:t xml:space="preserve">1 pub regardée = Balle monte d'un cran</w:t>
      </w:r>
    </w:p>
    <w:p>
      <w:pPr>
        <w:pStyle w:val="ListParagraph"/>
        <w:numPr>
          <w:ilvl w:val="0"/>
          <w:numId w:val="2"/>
        </w:numPr>
      </w:pPr>
      <w:r>
        <w:t xml:space="preserve">1 pub regardée (option descente) = Balle descend d'un cran</w:t>
      </w:r>
    </w:p>
    <w:p>
      <w:pPr>
        <w:pStyle w:val="ListParagraph"/>
        <w:numPr>
          <w:ilvl w:val="0"/>
          <w:numId w:val="2"/>
        </w:numPr>
      </w:pPr>
      <w:r>
        <w:t xml:space="preserve">Animation visuelle satisfaisante à chaque action</w:t>
      </w:r>
    </w:p>
    <w:p>
      <w:pPr>
        <w:spacing w:after="200" w:before="150"/>
      </w:pPr>
      <w:r>
        <w:rPr>
          <w:b/>
          <w:bCs/>
        </w:rPr>
        <w:t xml:space="preserve">Pourquoi ça marche : </w:t>
      </w:r>
      <w:r>
        <w:rPr>
          <w:sz w:val="22"/>
          <w:szCs w:val="22"/>
        </w:rPr>
        <w:t xml:space="preserve">L'absurdité du concept le rend mémorable et partageable. La progression visuelle donne un sentiment d'accomplissement immédiat. La dimension collective crée une communauté de joueurs.</w:t>
      </w:r>
    </w:p>
    <w:p>
      <w:pPr>
        <w:pStyle w:val="Heading2"/>
      </w:pPr>
      <w:r>
        <w:t xml:space="preserve">3.3 Trouve le Meme - Jeu de Hasard</w:t>
      </w:r>
    </w:p>
    <w:p>
      <w:pPr>
        <w:spacing w:after="100"/>
      </w:pPr>
      <w:r>
        <w:rPr>
          <w:b/>
          <w:bCs/>
        </w:rPr>
        <w:t xml:space="preserve">Principe : </w:t>
      </w:r>
      <w:r>
        <w:rPr>
          <w:sz w:val="22"/>
          <w:szCs w:val="22"/>
        </w:rPr>
        <w:t xml:space="preserve">Une grille de cases blanches cache un meme (ex: Elon Musk, un chat drôle, un personnage culte). Pour révéler une case, le joueur doit regarder une publicité. Celui qui trouve le meme gagne le titre de Winner dans le tableau d'honneur.</w:t>
      </w:r>
    </w:p>
    <w:p>
      <w:pPr>
        <w:spacing w:after="100"/>
      </w:pPr>
      <w:r>
        <w:rPr>
          <w:b/>
          <w:bCs/>
        </w:rPr>
        <w:t xml:space="preserve">Déroulement d'une partie :</w:t>
      </w:r>
    </w:p>
    <w:p>
      <w:pPr>
        <w:pStyle w:val="ListParagraph"/>
        <w:numPr>
          <w:ilvl w:val="0"/>
          <w:numId w:val="3"/>
        </w:numPr>
      </w:pPr>
      <w:r>
        <w:t xml:space="preserve">Le joueur arrive sur une grille de 50-100 cases</w:t>
      </w:r>
    </w:p>
    <w:p>
      <w:pPr>
        <w:pStyle w:val="ListParagraph"/>
        <w:numPr>
          <w:ilvl w:val="0"/>
          <w:numId w:val="3"/>
        </w:numPr>
      </w:pPr>
      <w:r>
        <w:t xml:space="preserve">Il clique sur une case → publicité → case révélée</w:t>
      </w:r>
    </w:p>
    <w:p>
      <w:pPr>
        <w:pStyle w:val="ListParagraph"/>
        <w:numPr>
          <w:ilvl w:val="0"/>
          <w:numId w:val="3"/>
        </w:numPr>
      </w:pPr>
      <w:r>
        <w:t xml:space="preserve">S'il trouve le meme : WINNER ! Entrée dans le Hall of Fame</w:t>
      </w:r>
    </w:p>
    <w:p>
      <w:pPr>
        <w:pStyle w:val="ListParagraph"/>
        <w:numPr>
          <w:ilvl w:val="0"/>
          <w:numId w:val="3"/>
        </w:numPr>
      </w:pPr>
      <w:r>
        <w:t xml:space="preserve">Le meme change toutes les 48 heures</w:t>
      </w:r>
    </w:p>
    <w:p>
      <w:pPr>
        <w:spacing w:after="200" w:before="150"/>
      </w:pPr>
      <w:r>
        <w:rPr>
          <w:b/>
          <w:bCs/>
        </w:rPr>
        <w:t xml:space="preserve">Pourquoi ça marche : </w:t>
      </w:r>
      <w:r>
        <w:rPr>
          <w:sz w:val="22"/>
          <w:szCs w:val="22"/>
        </w:rPr>
        <w:t xml:space="preserve">Le hasard crée un effet "peut-être cette fois" très addictif. Les memes sont culturellement pertinents et drôles. Le Hall of Fame satisfait l'égo des gagnants et incite au partage.</w:t>
      </w:r>
    </w:p>
    <w:p>
      <w:pPr>
        <w:pStyle w:val="Heading1"/>
      </w:pPr>
      <w:r>
        <w:t xml:space="preserve">4. Système de Réinitialisation</w:t>
      </w:r>
    </w:p>
    <w:p>
      <w:pPr>
        <w:pStyle w:val="Heading2"/>
      </w:pPr>
      <w:r>
        <w:t xml:space="preserve">4.1 Reset Temporel (48h)</w:t>
      </w:r>
    </w:p>
    <w:p>
      <w:pPr>
        <w:spacing w:after="200"/>
      </w:pPr>
      <w:r>
        <w:rPr>
          <w:sz w:val="22"/>
          <w:szCs w:val="22"/>
        </w:rPr>
        <w:t xml:space="preserve">Tous les jeux se réinitialisent automatiquement toutes les 48 heures. Cette mécanique est centrale à la rétention des utilisateurs et crée un cycle prévisible que les joueurs peuvent anticiper.</w:t>
      </w:r>
    </w:p>
    <w:p>
      <w:pPr>
        <w:pStyle w:val="Heading2"/>
      </w:pPr>
      <w:r>
        <w:t xml:space="preserve">4.2 Reset Anticipé (Événementiel)</w:t>
      </w:r>
    </w:p>
    <w:p>
      <w:pPr>
        <w:spacing w:after="100"/>
      </w:pPr>
      <w:r>
        <w:rPr>
          <w:sz w:val="22"/>
          <w:szCs w:val="22"/>
        </w:rPr>
        <w:t xml:space="preserve">Certains jeux peuvent se réinitialiser plus tôt si un objectif est atteint rapidement. Le timer de 48h continue cependant son compte à rebours pour le cycle suivant.</w:t>
      </w:r>
    </w:p>
    <w:p>
      <w:pPr>
        <w:spacing w:after="100"/>
      </w:pPr>
      <w:r>
        <w:rPr>
          <w:b/>
          <w:bCs/>
        </w:rPr>
        <w:t xml:space="preserve">Conditions de reset anticipé :</w:t>
      </w:r>
    </w:p>
    <w:p>
      <w:pPr>
        <w:pStyle w:val="ListParagraph"/>
        <w:numPr>
          <w:ilvl w:val="0"/>
          <w:numId w:val="2"/>
        </w:numPr>
      </w:pPr>
      <w:r>
        <w:rPr>
          <w:b/>
          <w:bCs/>
        </w:rPr>
        <w:t xml:space="preserve">Trouve le Meme : </w:t>
      </w:r>
      <w:r>
        <w:t xml:space="preserve">Reset immédiat dès qu'un joueur trouve le meme caché</w:t>
      </w:r>
    </w:p>
    <w:p>
      <w:pPr>
        <w:pStyle w:val="ListParagraph"/>
        <w:numPr>
          <w:ilvl w:val="0"/>
          <w:numId w:val="2"/>
        </w:numPr>
      </w:pPr>
      <w:r>
        <w:rPr>
          <w:b/>
          <w:bCs/>
        </w:rPr>
        <w:t xml:space="preserve">Balle Lune : </w:t>
      </w:r>
      <w:r>
        <w:t xml:space="preserve">Reset si la balle atteint la Lune avant les 48h</w:t>
      </w:r>
    </w:p>
    <w:p>
      <w:pPr>
        <w:pStyle w:val="ListParagraph"/>
        <w:numPr>
          <w:ilvl w:val="0"/>
          <w:numId w:val="2"/>
        </w:numPr>
      </w:pPr>
      <w:r>
        <w:rPr>
          <w:b/>
          <w:bCs/>
        </w:rPr>
        <w:t xml:space="preserve">Team Vote : </w:t>
      </w:r>
      <w:r>
        <w:t xml:space="preserve">Pas de reset anticipé (les votes s'accumulent jusqu'au timer)</w:t>
      </w:r>
    </w:p>
    <w:p>
      <w:pPr>
        <w:spacing w:after="200" w:before="150"/>
      </w:pPr>
      <w:r>
        <w:rPr>
          <w:sz w:val="22"/>
          <w:szCs w:val="22"/>
        </w:rPr>
        <w:t xml:space="preserve">Ce système crée un double effet : l'excitation de la victoire rapide ET la stabilité du cycle temporel. Les joueurs savent qu'il y aura toujours un nouveau jeu à un moment fixe, même si quelqu'un a gagné entre-temps.</w:t>
      </w:r>
    </w:p>
    <w:p>
      <w:pPr>
        <w:pStyle w:val="Heading2"/>
      </w:pPr>
      <w:r>
        <w:t xml:space="preserve">4.3 Bénéfices du Reset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3000"/>
        <w:gridCol w:w="6000"/>
      </w:tblGrid>
      <w:tr>
        <w:trPr>
          <w:tblHeader/>
        </w:trPr>
        <w:tc>
          <w:tcPr>
            <w:tcW w:type="dxa" w:w="3000"/>
            <w:tcBorders>
              <w:top w:val="single" w:color="94A3B8" w:sz="1"/>
              <w:left w:val="single" w:color="94A3B8" w:sz="1"/>
              <w:bottom w:val="single" w:color="94A3B8" w:sz="1"/>
              <w:right w:val="single" w:color="94A3B8" w:sz="1"/>
            </w:tcBorders>
            <w:shd w:fill="F8FAFC" w:val="clear"/>
            <w:vAlign w:val="center"/>
          </w:tcPr>
          <w:p>
            <w:pPr>
              <w:jc w:val="center"/>
            </w:pPr>
            <w:r>
              <w:rPr>
                <w:b/>
                <w:bCs/>
                <w:sz w:val="22"/>
                <w:szCs w:val="22"/>
              </w:rPr>
              <w:t xml:space="preserve">Effet</w:t>
            </w:r>
          </w:p>
        </w:tc>
        <w:tc>
          <w:tcPr>
            <w:tcW w:type="dxa" w:w="6000"/>
            <w:tcBorders>
              <w:top w:val="single" w:color="94A3B8" w:sz="1"/>
              <w:left w:val="single" w:color="94A3B8" w:sz="1"/>
              <w:bottom w:val="single" w:color="94A3B8" w:sz="1"/>
              <w:right w:val="single" w:color="94A3B8" w:sz="1"/>
            </w:tcBorders>
            <w:shd w:fill="F8FAFC" w:val="clear"/>
            <w:vAlign w:val="center"/>
          </w:tcPr>
          <w:p>
            <w:pPr>
              <w:jc w:val="center"/>
            </w:pPr>
            <w:r>
              <w:rPr>
                <w:b/>
                <w:bCs/>
                <w:sz w:val="22"/>
                <w:szCs w:val="22"/>
              </w:rPr>
              <w:t xml:space="preserve">Description</w:t>
            </w:r>
          </w:p>
        </w:tc>
      </w:tr>
      <w:tr>
        <w:tc>
          <w:tcPr>
            <w:tcW w:type="dxa" w:w="3000"/>
            <w:tcBorders>
              <w:top w:val="single" w:color="94A3B8" w:sz="1"/>
              <w:left w:val="single" w:color="94A3B8" w:sz="1"/>
              <w:bottom w:val="single" w:color="94A3B8" w:sz="1"/>
              <w:right w:val="single" w:color="94A3B8" w:sz="1"/>
            </w:tcBorders>
            <w:vAlign w:val="center"/>
          </w:tcPr>
          <w:p>
            <w:r>
              <w:rPr>
                <w:sz w:val="22"/>
                <w:szCs w:val="22"/>
              </w:rPr>
              <w:t xml:space="preserve">Urgence</w:t>
            </w:r>
          </w:p>
        </w:tc>
        <w:tc>
          <w:tcPr>
            <w:tcW w:type="dxa" w:w="6000"/>
            <w:tcBorders>
              <w:top w:val="single" w:color="94A3B8" w:sz="1"/>
              <w:left w:val="single" w:color="94A3B8" w:sz="1"/>
              <w:bottom w:val="single" w:color="94A3B8" w:sz="1"/>
              <w:right w:val="single" w:color="94A3B8" w:sz="1"/>
            </w:tcBorders>
            <w:vAlign w:val="center"/>
          </w:tcPr>
          <w:p>
            <w:r>
              <w:rPr>
                <w:sz w:val="22"/>
                <w:szCs w:val="22"/>
              </w:rPr>
              <w:t xml:space="preserve">"Vite, avant le reset !" - Les joueurs reviennent avant la fin du cycle</w:t>
            </w:r>
          </w:p>
        </w:tc>
      </w:tr>
      <w:tr>
        <w:tc>
          <w:tcPr>
            <w:tcW w:type="dxa" w:w="3000"/>
            <w:tcBorders>
              <w:top w:val="single" w:color="94A3B8" w:sz="1"/>
              <w:left w:val="single" w:color="94A3B8" w:sz="1"/>
              <w:bottom w:val="single" w:color="94A3B8" w:sz="1"/>
              <w:right w:val="single" w:color="94A3B8" w:sz="1"/>
            </w:tcBorders>
            <w:vAlign w:val="center"/>
          </w:tcPr>
          <w:p>
            <w:r>
              <w:rPr>
                <w:sz w:val="22"/>
                <w:szCs w:val="22"/>
              </w:rPr>
              <w:t xml:space="preserve">Renouveau</w:t>
            </w:r>
          </w:p>
        </w:tc>
        <w:tc>
          <w:tcPr>
            <w:tcW w:type="dxa" w:w="6000"/>
            <w:tcBorders>
              <w:top w:val="single" w:color="94A3B8" w:sz="1"/>
              <w:left w:val="single" w:color="94A3B8" w:sz="1"/>
              <w:bottom w:val="single" w:color="94A3B8" w:sz="1"/>
              <w:right w:val="single" w:color="94A3B8" w:sz="1"/>
            </w:tcBorders>
            <w:vAlign w:val="center"/>
          </w:tcPr>
          <w:p>
            <w:r>
              <w:rPr>
                <w:sz w:val="22"/>
                <w:szCs w:val="22"/>
              </w:rPr>
              <w:t xml:space="preserve">Nouveau meme, nouvelles battles - Le contenu reste frais</w:t>
            </w:r>
          </w:p>
        </w:tc>
      </w:tr>
      <w:tr>
        <w:tc>
          <w:tcPr>
            <w:tcW w:type="dxa" w:w="3000"/>
            <w:tcBorders>
              <w:top w:val="single" w:color="94A3B8" w:sz="1"/>
              <w:left w:val="single" w:color="94A3B8" w:sz="1"/>
              <w:bottom w:val="single" w:color="94A3B8" w:sz="1"/>
              <w:right w:val="single" w:color="94A3B8" w:sz="1"/>
            </w:tcBorders>
            <w:vAlign w:val="center"/>
          </w:tcPr>
          <w:p>
            <w:r>
              <w:rPr>
                <w:sz w:val="22"/>
                <w:szCs w:val="22"/>
              </w:rPr>
              <w:t xml:space="preserve">Équité</w:t>
            </w:r>
          </w:p>
        </w:tc>
        <w:tc>
          <w:tcPr>
            <w:tcW w:type="dxa" w:w="6000"/>
            <w:tcBorders>
              <w:top w:val="single" w:color="94A3B8" w:sz="1"/>
              <w:left w:val="single" w:color="94A3B8" w:sz="1"/>
              <w:bottom w:val="single" w:color="94A3B8" w:sz="1"/>
              <w:right w:val="single" w:color="94A3B8" w:sz="1"/>
            </w:tcBorders>
            <w:vAlign w:val="center"/>
          </w:tcPr>
          <w:p>
            <w:r>
              <w:rPr>
                <w:sz w:val="22"/>
                <w:szCs w:val="22"/>
              </w:rPr>
              <w:t xml:space="preserve">Nouveaux joueurs = mêmes chances que les anciens</w:t>
            </w:r>
          </w:p>
        </w:tc>
      </w:tr>
      <w:tr>
        <w:tc>
          <w:tcPr>
            <w:tcW w:type="dxa" w:w="3000"/>
            <w:tcBorders>
              <w:top w:val="single" w:color="94A3B8" w:sz="1"/>
              <w:left w:val="single" w:color="94A3B8" w:sz="1"/>
              <w:bottom w:val="single" w:color="94A3B8" w:sz="1"/>
              <w:right w:val="single" w:color="94A3B8" w:sz="1"/>
            </w:tcBorders>
            <w:vAlign w:val="center"/>
          </w:tcPr>
          <w:p>
            <w:r>
              <w:rPr>
                <w:sz w:val="22"/>
                <w:szCs w:val="22"/>
              </w:rPr>
              <w:t xml:space="preserve">Habitude</w:t>
            </w:r>
          </w:p>
        </w:tc>
        <w:tc>
          <w:tcPr>
            <w:tcW w:type="dxa" w:w="6000"/>
            <w:tcBorders>
              <w:top w:val="single" w:color="94A3B8" w:sz="1"/>
              <w:left w:val="single" w:color="94A3B8" w:sz="1"/>
              <w:bottom w:val="single" w:color="94A3B8" w:sz="1"/>
              <w:right w:val="single" w:color="94A3B8" w:sz="1"/>
            </w:tcBorders>
            <w:vAlign w:val="center"/>
          </w:tcPr>
          <w:p>
            <w:r>
              <w:rPr>
                <w:sz w:val="22"/>
                <w:szCs w:val="22"/>
              </w:rPr>
              <w:t xml:space="preserve">Crée une routine de jeu régulière</w:t>
            </w:r>
          </w:p>
        </w:tc>
      </w:tr>
    </w:tbl>
    <w:p>
      <w:pPr>
        <w:spacing w:after="100"/>
      </w:pPr>
    </w:p>
    <w:p>
      <w:pPr>
        <w:pStyle w:val="Heading1"/>
      </w:pPr>
      <w:r>
        <w:t xml:space="preserve">5. Modèle Économique</w:t>
      </w:r>
    </w:p>
    <w:p>
      <w:pPr>
        <w:pStyle w:val="Heading2"/>
      </w:pPr>
      <w:r>
        <w:t xml:space="preserve">5.1 Sources de Revenus</w:t>
      </w:r>
    </w:p>
    <w:p>
      <w:pPr>
        <w:pStyle w:val="Heading3"/>
      </w:pPr>
      <w:r>
        <w:t xml:space="preserve">Publicités Vidéo</w:t>
      </w:r>
    </w:p>
    <w:p>
      <w:pPr>
        <w:spacing w:after="200"/>
      </w:pPr>
      <w:r>
        <w:rPr>
          <w:sz w:val="22"/>
          <w:szCs w:val="22"/>
        </w:rPr>
        <w:t xml:space="preserve">Chaque action dans un jeu (voter, révéler une case, monter/descendre la balle) nécessite le visionnage d'une publicité de 5-30 secondes. Les réseaux publicitaires comme Google AdMob, Unity Ads ou ironSource paient typiquement entre $0.01 et $0.05 par publicité regardée selon la géographie de l'utilisateur et le taux d'engagement.</w:t>
      </w:r>
    </w:p>
    <w:p>
      <w:pPr>
        <w:pStyle w:val="Heading3"/>
      </w:pPr>
      <w:r>
        <w:t xml:space="preserve">Abonnement Premium</w:t>
      </w:r>
    </w:p>
    <w:p>
      <w:pPr>
        <w:spacing w:after="100"/>
      </w:pPr>
      <w:r>
        <w:rPr>
          <w:sz w:val="22"/>
          <w:szCs w:val="22"/>
        </w:rPr>
        <w:t xml:space="preserve">Une option premium permet de jouer sans publicité, proposée à deux tarifs :</w:t>
      </w:r>
    </w:p>
    <w:p>
      <w:pPr>
        <w:pStyle w:val="ListParagraph"/>
        <w:numPr>
          <w:ilvl w:val="0"/>
          <w:numId w:val="2"/>
        </w:numPr>
      </w:pPr>
      <w:r>
        <w:t xml:space="preserve">Mensuel : $2.99/mois</w:t>
      </w:r>
    </w:p>
    <w:p>
      <w:pPr>
        <w:pStyle w:val="ListParagraph"/>
        <w:numPr>
          <w:ilvl w:val="0"/>
          <w:numId w:val="2"/>
        </w:numPr>
      </w:pPr>
      <w:r>
        <w:t xml:space="preserve">Annuel : $19.99/an (économie de 44%)</w:t>
      </w:r>
    </w:p>
    <w:p>
      <w:pPr>
        <w:spacing w:after="200" w:before="150"/>
      </w:pPr>
      <w:r>
        <w:rPr>
          <w:sz w:val="22"/>
          <w:szCs w:val="22"/>
        </w:rPr>
        <w:t xml:space="preserve">Cette option s'adresse aux joueurs réguliers qui préfèrent payer plutôt que subir les publicités. Elle constitue un revenu récurrent prévisible.</w:t>
      </w:r>
    </w:p>
    <w:p>
      <w:pPr>
        <w:pStyle w:val="Heading2"/>
      </w:pPr>
      <w:r>
        <w:t xml:space="preserve">5.2 Estimation des Revenus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3500"/>
        <w:gridCol w:w="2500"/>
        <w:gridCol w:w="3000"/>
      </w:tblGrid>
      <w:tr>
        <w:trPr>
          <w:tblHeader/>
        </w:trPr>
        <w:tc>
          <w:tcPr>
            <w:tcW w:type="dxa" w:w="3500"/>
            <w:tcBorders>
              <w:top w:val="single" w:color="94A3B8" w:sz="1"/>
              <w:left w:val="single" w:color="94A3B8" w:sz="1"/>
              <w:bottom w:val="single" w:color="94A3B8" w:sz="1"/>
              <w:right w:val="single" w:color="94A3B8" w:sz="1"/>
            </w:tcBorders>
            <w:shd w:fill="F8FAFC" w:val="clear"/>
            <w:vAlign w:val="center"/>
          </w:tcPr>
          <w:p>
            <w:pPr>
              <w:jc w:val="center"/>
            </w:pPr>
            <w:r>
              <w:rPr>
                <w:b/>
                <w:bCs/>
                <w:sz w:val="22"/>
                <w:szCs w:val="22"/>
              </w:rPr>
              <w:t xml:space="preserve">Scénario</w:t>
            </w:r>
          </w:p>
        </w:tc>
        <w:tc>
          <w:tcPr>
            <w:tcW w:type="dxa" w:w="2500"/>
            <w:tcBorders>
              <w:top w:val="single" w:color="94A3B8" w:sz="1"/>
              <w:left w:val="single" w:color="94A3B8" w:sz="1"/>
              <w:bottom w:val="single" w:color="94A3B8" w:sz="1"/>
              <w:right w:val="single" w:color="94A3B8" w:sz="1"/>
            </w:tcBorders>
            <w:shd w:fill="F8FAFC" w:val="clear"/>
            <w:vAlign w:val="center"/>
          </w:tcPr>
          <w:p>
            <w:pPr>
              <w:jc w:val="center"/>
            </w:pPr>
            <w:r>
              <w:rPr>
                <w:b/>
                <w:bCs/>
                <w:sz w:val="22"/>
                <w:szCs w:val="22"/>
              </w:rPr>
              <w:t xml:space="preserve">Joueurs/jour</w:t>
            </w:r>
          </w:p>
        </w:tc>
        <w:tc>
          <w:tcPr>
            <w:tcW w:type="dxa" w:w="3000"/>
            <w:tcBorders>
              <w:top w:val="single" w:color="94A3B8" w:sz="1"/>
              <w:left w:val="single" w:color="94A3B8" w:sz="1"/>
              <w:bottom w:val="single" w:color="94A3B8" w:sz="1"/>
              <w:right w:val="single" w:color="94A3B8" w:sz="1"/>
            </w:tcBorders>
            <w:shd w:fill="F8FAFC" w:val="clear"/>
            <w:vAlign w:val="center"/>
          </w:tcPr>
          <w:p>
            <w:pPr>
              <w:jc w:val="center"/>
            </w:pPr>
            <w:r>
              <w:rPr>
                <w:b/>
                <w:bCs/>
                <w:sz w:val="22"/>
                <w:szCs w:val="22"/>
              </w:rPr>
              <w:t xml:space="preserve">Revenus/mois</w:t>
            </w:r>
          </w:p>
        </w:tc>
      </w:tr>
      <w:tr>
        <w:tc>
          <w:tcPr>
            <w:tcW w:type="dxa" w:w="3500"/>
            <w:tcBorders>
              <w:top w:val="single" w:color="94A3B8" w:sz="1"/>
              <w:left w:val="single" w:color="94A3B8" w:sz="1"/>
              <w:bottom w:val="single" w:color="94A3B8" w:sz="1"/>
              <w:right w:val="single" w:color="94A3B8" w:sz="1"/>
            </w:tcBorders>
            <w:vAlign w:val="center"/>
          </w:tcPr>
          <w:p>
            <w:r>
              <w:rPr>
                <w:sz w:val="22"/>
                <w:szCs w:val="22"/>
              </w:rPr>
              <w:t xml:space="preserve">Lancement modeste</w:t>
            </w:r>
          </w:p>
        </w:tc>
        <w:tc>
          <w:tcPr>
            <w:tcW w:type="dxa" w:w="2500"/>
            <w:tcBorders>
              <w:top w:val="single" w:color="94A3B8" w:sz="1"/>
              <w:left w:val="single" w:color="94A3B8" w:sz="1"/>
              <w:bottom w:val="single" w:color="94A3B8" w:sz="1"/>
              <w:right w:val="single" w:color="94A3B8" w:sz="1"/>
            </w:tcBorders>
            <w:vAlign w:val="center"/>
          </w:tcPr>
          <w:p>
            <w:pPr>
              <w:jc w:val="center"/>
            </w:pPr>
            <w:r>
              <w:rPr>
                <w:sz w:val="22"/>
                <w:szCs w:val="22"/>
              </w:rPr>
              <w:t xml:space="preserve">100</w:t>
            </w:r>
          </w:p>
        </w:tc>
        <w:tc>
          <w:tcPr>
            <w:tcW w:type="dxa" w:w="3000"/>
            <w:tcBorders>
              <w:top w:val="single" w:color="94A3B8" w:sz="1"/>
              <w:left w:val="single" w:color="94A3B8" w:sz="1"/>
              <w:bottom w:val="single" w:color="94A3B8" w:sz="1"/>
              <w:right w:val="single" w:color="94A3B8" w:sz="1"/>
            </w:tcBorders>
            <w:vAlign w:val="center"/>
          </w:tcPr>
          <w:p>
            <w:pPr>
              <w:jc w:val="center"/>
            </w:pPr>
            <w:r>
              <w:rPr>
                <w:sz w:val="22"/>
                <w:szCs w:val="22"/>
              </w:rPr>
              <w:t xml:space="preserve">$150 - $300</w:t>
            </w:r>
          </w:p>
        </w:tc>
      </w:tr>
      <w:tr>
        <w:tc>
          <w:tcPr>
            <w:tcW w:type="dxa" w:w="3500"/>
            <w:tcBorders>
              <w:top w:val="single" w:color="94A3B8" w:sz="1"/>
              <w:left w:val="single" w:color="94A3B8" w:sz="1"/>
              <w:bottom w:val="single" w:color="94A3B8" w:sz="1"/>
              <w:right w:val="single" w:color="94A3B8" w:sz="1"/>
            </w:tcBorders>
            <w:vAlign w:val="center"/>
          </w:tcPr>
          <w:p>
            <w:r>
              <w:rPr>
                <w:sz w:val="22"/>
                <w:szCs w:val="22"/>
              </w:rPr>
              <w:t xml:space="preserve">Croissance normale</w:t>
            </w:r>
          </w:p>
        </w:tc>
        <w:tc>
          <w:tcPr>
            <w:tcW w:type="dxa" w:w="2500"/>
            <w:tcBorders>
              <w:top w:val="single" w:color="94A3B8" w:sz="1"/>
              <w:left w:val="single" w:color="94A3B8" w:sz="1"/>
              <w:bottom w:val="single" w:color="94A3B8" w:sz="1"/>
              <w:right w:val="single" w:color="94A3B8" w:sz="1"/>
            </w:tcBorders>
            <w:vAlign w:val="center"/>
          </w:tcPr>
          <w:p>
            <w:pPr>
              <w:jc w:val="center"/>
            </w:pPr>
            <w:r>
              <w:rPr>
                <w:sz w:val="22"/>
                <w:szCs w:val="22"/>
              </w:rPr>
              <w:t xml:space="preserve">1 000</w:t>
            </w:r>
          </w:p>
        </w:tc>
        <w:tc>
          <w:tcPr>
            <w:tcW w:type="dxa" w:w="3000"/>
            <w:tcBorders>
              <w:top w:val="single" w:color="94A3B8" w:sz="1"/>
              <w:left w:val="single" w:color="94A3B8" w:sz="1"/>
              <w:bottom w:val="single" w:color="94A3B8" w:sz="1"/>
              <w:right w:val="single" w:color="94A3B8" w:sz="1"/>
            </w:tcBorders>
            <w:vAlign w:val="center"/>
          </w:tcPr>
          <w:p>
            <w:pPr>
              <w:jc w:val="center"/>
            </w:pPr>
            <w:r>
              <w:rPr>
                <w:sz w:val="22"/>
                <w:szCs w:val="22"/>
              </w:rPr>
              <w:t xml:space="preserve">$1 500 - $3 000</w:t>
            </w:r>
          </w:p>
        </w:tc>
      </w:tr>
      <w:tr>
        <w:tc>
          <w:tcPr>
            <w:tcW w:type="dxa" w:w="3500"/>
            <w:tcBorders>
              <w:top w:val="single" w:color="94A3B8" w:sz="1"/>
              <w:left w:val="single" w:color="94A3B8" w:sz="1"/>
              <w:bottom w:val="single" w:color="94A3B8" w:sz="1"/>
              <w:right w:val="single" w:color="94A3B8" w:sz="1"/>
            </w:tcBorders>
            <w:vAlign w:val="center"/>
          </w:tcPr>
          <w:p>
            <w:r>
              <w:rPr>
                <w:sz w:val="22"/>
                <w:szCs w:val="22"/>
              </w:rPr>
              <w:t xml:space="preserve">Effet viral</w:t>
            </w:r>
          </w:p>
        </w:tc>
        <w:tc>
          <w:tcPr>
            <w:tcW w:type="dxa" w:w="2500"/>
            <w:tcBorders>
              <w:top w:val="single" w:color="94A3B8" w:sz="1"/>
              <w:left w:val="single" w:color="94A3B8" w:sz="1"/>
              <w:bottom w:val="single" w:color="94A3B8" w:sz="1"/>
              <w:right w:val="single" w:color="94A3B8" w:sz="1"/>
            </w:tcBorders>
            <w:vAlign w:val="center"/>
          </w:tcPr>
          <w:p>
            <w:pPr>
              <w:jc w:val="center"/>
            </w:pPr>
            <w:r>
              <w:rPr>
                <w:sz w:val="22"/>
                <w:szCs w:val="22"/>
              </w:rPr>
              <w:t xml:space="preserve">10 000</w:t>
            </w:r>
          </w:p>
        </w:tc>
        <w:tc>
          <w:tcPr>
            <w:tcW w:type="dxa" w:w="3000"/>
            <w:tcBorders>
              <w:top w:val="single" w:color="94A3B8" w:sz="1"/>
              <w:left w:val="single" w:color="94A3B8" w:sz="1"/>
              <w:bottom w:val="single" w:color="94A3B8" w:sz="1"/>
              <w:right w:val="single" w:color="94A3B8" w:sz="1"/>
            </w:tcBorders>
            <w:vAlign w:val="center"/>
          </w:tcPr>
          <w:p>
            <w:pPr>
              <w:jc w:val="center"/>
            </w:pPr>
            <w:r>
              <w:rPr>
                <w:sz w:val="22"/>
                <w:szCs w:val="22"/>
              </w:rPr>
              <w:t xml:space="preserve">$15 000 - $30 000</w:t>
            </w:r>
          </w:p>
        </w:tc>
      </w:tr>
    </w:tbl>
    <w:p>
      <w:pPr>
        <w:spacing w:after="200" w:before="100"/>
      </w:pPr>
      <w:r>
        <w:rPr>
          <w:i/>
          <w:iCs/>
          <w:color w:val="64748B"/>
          <w:sz w:val="20"/>
          <w:szCs w:val="20"/>
        </w:rPr>
        <w:t xml:space="preserve">Note : Ces estimations sont basées sur une moyenne de 10 actions/joueur/jour et un RPM (Revenue Per Mille) de $10-20.</w:t>
      </w:r>
    </w:p>
    <w:p>
      <w:pPr>
        <w:pStyle w:val="Heading1"/>
      </w:pPr>
      <w:r>
        <w:t xml:space="preserve">6. Roadmap de Développement</w:t>
      </w:r>
    </w:p>
    <w:p>
      <w:pPr>
        <w:pStyle w:val="Heading2"/>
      </w:pPr>
      <w:r>
        <w:t xml:space="preserve">6.1 Phase 1 - MVP (1-2 semaines)</w:t>
      </w:r>
    </w:p>
    <w:p>
      <w:pPr>
        <w:pStyle w:val="ListParagraph"/>
        <w:numPr>
          <w:ilvl w:val="0"/>
          <w:numId w:val="2"/>
        </w:numPr>
      </w:pPr>
      <w:r>
        <w:t xml:space="preserve">Développement des 3 jeux de base</w:t>
      </w:r>
    </w:p>
    <w:p>
      <w:pPr>
        <w:pStyle w:val="ListParagraph"/>
        <w:numPr>
          <w:ilvl w:val="0"/>
          <w:numId w:val="2"/>
        </w:numPr>
      </w:pPr>
      <w:r>
        <w:t xml:space="preserve">Système de publicités intégré</w:t>
      </w:r>
    </w:p>
    <w:p>
      <w:pPr>
        <w:pStyle w:val="ListParagraph"/>
        <w:numPr>
          <w:ilvl w:val="0"/>
          <w:numId w:val="2"/>
        </w:numPr>
      </w:pPr>
      <w:r>
        <w:t xml:space="preserve">Système de reset 48h automatisé</w:t>
      </w:r>
    </w:p>
    <w:p>
      <w:pPr>
        <w:pStyle w:val="ListParagraph"/>
        <w:numPr>
          <w:ilvl w:val="0"/>
          <w:numId w:val="2"/>
        </w:numPr>
      </w:pPr>
      <w:r>
        <w:t xml:space="preserve">Hall of Fame basique</w:t>
      </w:r>
    </w:p>
    <w:p>
      <w:pPr>
        <w:pStyle w:val="ListParagraph"/>
        <w:numPr>
          <w:ilvl w:val="0"/>
          <w:numId w:val="2"/>
        </w:numPr>
      </w:pPr>
      <w:r>
        <w:t xml:space="preserve">Déploiement sur Vercel</w:t>
      </w:r>
    </w:p>
    <w:p>
      <w:pPr>
        <w:pStyle w:val="Heading2"/>
        <w:spacing w:before="200"/>
      </w:pPr>
      <w:r>
        <w:t xml:space="preserve">6.2 Phase 2 - Croissance (1 mois)</w:t>
      </w:r>
    </w:p>
    <w:p>
      <w:pPr>
        <w:pStyle w:val="ListParagraph"/>
        <w:numPr>
          <w:ilvl w:val="0"/>
          <w:numId w:val="2"/>
        </w:numPr>
      </w:pPr>
      <w:r>
        <w:t xml:space="preserve">Système Premium (abonnement sans pub)</w:t>
      </w:r>
    </w:p>
    <w:p>
      <w:pPr>
        <w:pStyle w:val="ListParagraph"/>
        <w:numPr>
          <w:ilvl w:val="0"/>
          <w:numId w:val="2"/>
        </w:numPr>
      </w:pPr>
      <w:r>
        <w:t xml:space="preserve">Partage sur réseaux sociaux optimisé</w:t>
      </w:r>
    </w:p>
    <w:p>
      <w:pPr>
        <w:pStyle w:val="ListParagraph"/>
        <w:numPr>
          <w:ilvl w:val="0"/>
          <w:numId w:val="2"/>
        </w:numPr>
      </w:pPr>
      <w:r>
        <w:t xml:space="preserve">Analytics et tracking</w:t>
      </w:r>
    </w:p>
    <w:p>
      <w:pPr>
        <w:pStyle w:val="ListParagraph"/>
        <w:numPr>
          <w:ilvl w:val="0"/>
          <w:numId w:val="2"/>
        </w:numPr>
      </w:pPr>
      <w:r>
        <w:t xml:space="preserve">Optimisation mobile</w:t>
      </w:r>
    </w:p>
    <w:p>
      <w:pPr>
        <w:pStyle w:val="Heading2"/>
        <w:spacing w:before="200"/>
      </w:pPr>
      <w:r>
        <w:t xml:space="preserve">6.3 Phase 3 - Expansion (continu)</w:t>
      </w:r>
    </w:p>
    <w:p>
      <w:pPr>
        <w:pStyle w:val="ListParagraph"/>
        <w:numPr>
          <w:ilvl w:val="0"/>
          <w:numId w:val="2"/>
        </w:numPr>
      </w:pPr>
      <w:r>
        <w:t xml:space="preserve">Ajout de nouveaux mini-jeux selon tendances</w:t>
      </w:r>
    </w:p>
    <w:p>
      <w:pPr>
        <w:pStyle w:val="ListParagraph"/>
        <w:numPr>
          <w:ilvl w:val="0"/>
          <w:numId w:val="2"/>
        </w:numPr>
      </w:pPr>
      <w:r>
        <w:t xml:space="preserve">Système de badges et achievements</w:t>
      </w:r>
    </w:p>
    <w:p>
      <w:pPr>
        <w:pStyle w:val="ListParagraph"/>
        <w:numPr>
          <w:ilvl w:val="0"/>
          <w:numId w:val="2"/>
        </w:numPr>
      </w:pPr>
      <w:r>
        <w:t xml:space="preserve">Classements mondiaux</w:t>
      </w:r>
    </w:p>
    <w:p>
      <w:pPr>
        <w:pStyle w:val="ListParagraph"/>
        <w:numPr>
          <w:ilvl w:val="0"/>
          <w:numId w:val="2"/>
        </w:numPr>
      </w:pPr>
      <w:r>
        <w:t xml:space="preserve">Battles personnalisées par les utilisateurs</w:t>
      </w:r>
    </w:p>
    <w:p>
      <w:pPr>
        <w:pStyle w:val="Heading1"/>
      </w:pPr>
      <w:r>
        <w:t xml:space="preserve">7. Points Clés du Succès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500"/>
        <w:gridCol w:w="6500"/>
      </w:tblGrid>
      <w:tr>
        <w:trPr>
          <w:tblHeader/>
        </w:trPr>
        <w:tc>
          <w:tcPr>
            <w:tcW w:type="dxa" w:w="2500"/>
            <w:tcBorders>
              <w:top w:val="single" w:color="94A3B8" w:sz="1"/>
              <w:left w:val="single" w:color="94A3B8" w:sz="1"/>
              <w:bottom w:val="single" w:color="94A3B8" w:sz="1"/>
              <w:right w:val="single" w:color="94A3B8" w:sz="1"/>
            </w:tcBorders>
            <w:shd w:fill="F8FAFC" w:val="clear"/>
            <w:vAlign w:val="center"/>
          </w:tcPr>
          <w:p>
            <w:pPr>
              <w:jc w:val="center"/>
            </w:pPr>
            <w:r>
              <w:rPr>
                <w:b/>
                <w:bCs/>
                <w:sz w:val="22"/>
                <w:szCs w:val="22"/>
              </w:rPr>
              <w:t xml:space="preserve">Facteur</w:t>
            </w:r>
          </w:p>
        </w:tc>
        <w:tc>
          <w:tcPr>
            <w:tcW w:type="dxa" w:w="6500"/>
            <w:tcBorders>
              <w:top w:val="single" w:color="94A3B8" w:sz="1"/>
              <w:left w:val="single" w:color="94A3B8" w:sz="1"/>
              <w:bottom w:val="single" w:color="94A3B8" w:sz="1"/>
              <w:right w:val="single" w:color="94A3B8" w:sz="1"/>
            </w:tcBorders>
            <w:shd w:fill="F8FAFC" w:val="clear"/>
            <w:vAlign w:val="center"/>
          </w:tcPr>
          <w:p>
            <w:pPr>
              <w:jc w:val="center"/>
            </w:pPr>
            <w:r>
              <w:rPr>
                <w:b/>
                <w:bCs/>
                <w:sz w:val="22"/>
                <w:szCs w:val="22"/>
              </w:rPr>
              <w:t xml:space="preserve">Implémentation</w:t>
            </w:r>
          </w:p>
        </w:tc>
      </w:tr>
      <w:tr>
        <w:tc>
          <w:tcPr>
            <w:tcW w:type="dxa" w:w="2500"/>
            <w:tcBorders>
              <w:top w:val="single" w:color="94A3B8" w:sz="1"/>
              <w:left w:val="single" w:color="94A3B8" w:sz="1"/>
              <w:bottom w:val="single" w:color="94A3B8" w:sz="1"/>
              <w:right w:val="single" w:color="94A3B8" w:sz="1"/>
            </w:tcBorders>
            <w:vAlign w:val="center"/>
          </w:tcPr>
          <w:p>
            <w:r>
              <w:rPr>
                <w:sz w:val="22"/>
                <w:szCs w:val="22"/>
              </w:rPr>
              <w:t xml:space="preserve">Simplicité</w:t>
            </w:r>
          </w:p>
        </w:tc>
        <w:tc>
          <w:tcPr>
            <w:tcW w:type="dxa" w:w="6500"/>
            <w:tcBorders>
              <w:top w:val="single" w:color="94A3B8" w:sz="1"/>
              <w:left w:val="single" w:color="94A3B8" w:sz="1"/>
              <w:bottom w:val="single" w:color="94A3B8" w:sz="1"/>
              <w:right w:val="single" w:color="94A3B8" w:sz="1"/>
            </w:tcBorders>
            <w:vAlign w:val="center"/>
          </w:tcPr>
          <w:p>
            <w:r>
              <w:rPr>
                <w:sz w:val="22"/>
                <w:szCs w:val="22"/>
              </w:rPr>
              <w:t xml:space="preserve">Concept compréhensible en 1 seconde, aucun tutoriel nécessaire</w:t>
            </w:r>
          </w:p>
        </w:tc>
      </w:tr>
      <w:tr>
        <w:tc>
          <w:tcPr>
            <w:tcW w:type="dxa" w:w="2500"/>
            <w:tcBorders>
              <w:top w:val="single" w:color="94A3B8" w:sz="1"/>
              <w:left w:val="single" w:color="94A3B8" w:sz="1"/>
              <w:bottom w:val="single" w:color="94A3B8" w:sz="1"/>
              <w:right w:val="single" w:color="94A3B8" w:sz="1"/>
            </w:tcBorders>
            <w:vAlign w:val="center"/>
          </w:tcPr>
          <w:p>
            <w:r>
              <w:rPr>
                <w:sz w:val="22"/>
                <w:szCs w:val="22"/>
              </w:rPr>
              <w:t xml:space="preserve">Addiction</w:t>
            </w:r>
          </w:p>
        </w:tc>
        <w:tc>
          <w:tcPr>
            <w:tcW w:type="dxa" w:w="6500"/>
            <w:tcBorders>
              <w:top w:val="single" w:color="94A3B8" w:sz="1"/>
              <w:left w:val="single" w:color="94A3B8" w:sz="1"/>
              <w:bottom w:val="single" w:color="94A3B8" w:sz="1"/>
              <w:right w:val="single" w:color="94A3B8" w:sz="1"/>
            </w:tcBorders>
            <w:vAlign w:val="center"/>
          </w:tcPr>
          <w:p>
            <w:r>
              <w:rPr>
                <w:sz w:val="22"/>
                <w:szCs w:val="22"/>
              </w:rPr>
              <w:t xml:space="preserve">Boucle de jeu courte, récompense immédiate, envie de rejouer</w:t>
            </w:r>
          </w:p>
        </w:tc>
      </w:tr>
      <w:tr>
        <w:tc>
          <w:tcPr>
            <w:tcW w:type="dxa" w:w="2500"/>
            <w:tcBorders>
              <w:top w:val="single" w:color="94A3B8" w:sz="1"/>
              <w:left w:val="single" w:color="94A3B8" w:sz="1"/>
              <w:bottom w:val="single" w:color="94A3B8" w:sz="1"/>
              <w:right w:val="single" w:color="94A3B8" w:sz="1"/>
            </w:tcBorders>
            <w:vAlign w:val="center"/>
          </w:tcPr>
          <w:p>
            <w:r>
              <w:rPr>
                <w:sz w:val="22"/>
                <w:szCs w:val="22"/>
              </w:rPr>
              <w:t xml:space="preserve">Viralité</w:t>
            </w:r>
          </w:p>
        </w:tc>
        <w:tc>
          <w:tcPr>
            <w:tcW w:type="dxa" w:w="6500"/>
            <w:tcBorders>
              <w:top w:val="single" w:color="94A3B8" w:sz="1"/>
              <w:left w:val="single" w:color="94A3B8" w:sz="1"/>
              <w:bottom w:val="single" w:color="94A3B8" w:sz="1"/>
              <w:right w:val="single" w:color="94A3B8" w:sz="1"/>
            </w:tcBorders>
            <w:vAlign w:val="center"/>
          </w:tcPr>
          <w:p>
            <w:r>
              <w:rPr>
                <w:sz w:val="22"/>
                <w:szCs w:val="22"/>
              </w:rPr>
              <w:t xml:space="preserve">Contenu drôle et partageable, battles controversées naturellement</w:t>
            </w:r>
          </w:p>
        </w:tc>
      </w:tr>
      <w:tr>
        <w:tc>
          <w:tcPr>
            <w:tcW w:type="dxa" w:w="2500"/>
            <w:tcBorders>
              <w:top w:val="single" w:color="94A3B8" w:sz="1"/>
              <w:left w:val="single" w:color="94A3B8" w:sz="1"/>
              <w:bottom w:val="single" w:color="94A3B8" w:sz="1"/>
              <w:right w:val="single" w:color="94A3B8" w:sz="1"/>
            </w:tcBorders>
            <w:vAlign w:val="center"/>
          </w:tcPr>
          <w:p>
            <w:r>
              <w:rPr>
                <w:sz w:val="22"/>
                <w:szCs w:val="22"/>
              </w:rPr>
              <w:t xml:space="preserve">Rétention</w:t>
            </w:r>
          </w:p>
        </w:tc>
        <w:tc>
          <w:tcPr>
            <w:tcW w:type="dxa" w:w="6500"/>
            <w:tcBorders>
              <w:top w:val="single" w:color="94A3B8" w:sz="1"/>
              <w:left w:val="single" w:color="94A3B8" w:sz="1"/>
              <w:bottom w:val="single" w:color="94A3B8" w:sz="1"/>
              <w:right w:val="single" w:color="94A3B8" w:sz="1"/>
            </w:tcBorders>
            <w:vAlign w:val="center"/>
          </w:tcPr>
          <w:p>
            <w:r>
              <w:rPr>
                <w:sz w:val="22"/>
                <w:szCs w:val="22"/>
              </w:rPr>
              <w:t xml:space="preserve">Reset 48h, Hall of Fame, nouveautés régulières</w:t>
            </w:r>
          </w:p>
        </w:tc>
      </w:tr>
      <w:tr>
        <w:tc>
          <w:tcPr>
            <w:tcW w:type="dxa" w:w="2500"/>
            <w:tcBorders>
              <w:top w:val="single" w:color="94A3B8" w:sz="1"/>
              <w:left w:val="single" w:color="94A3B8" w:sz="1"/>
              <w:bottom w:val="single" w:color="94A3B8" w:sz="1"/>
              <w:right w:val="single" w:color="94A3B8" w:sz="1"/>
            </w:tcBorders>
            <w:vAlign w:val="center"/>
          </w:tcPr>
          <w:p>
            <w:r>
              <w:rPr>
                <w:sz w:val="22"/>
                <w:szCs w:val="22"/>
              </w:rPr>
              <w:t xml:space="preserve">Monétisation</w:t>
            </w:r>
          </w:p>
        </w:tc>
        <w:tc>
          <w:tcPr>
            <w:tcW w:type="dxa" w:w="6500"/>
            <w:tcBorders>
              <w:top w:val="single" w:color="94A3B8" w:sz="1"/>
              <w:left w:val="single" w:color="94A3B8" w:sz="1"/>
              <w:bottom w:val="single" w:color="94A3B8" w:sz="1"/>
              <w:right w:val="single" w:color="94A3B8" w:sz="1"/>
            </w:tcBorders>
            <w:vAlign w:val="center"/>
          </w:tcPr>
          <w:p>
            <w:r>
              <w:rPr>
                <w:sz w:val="22"/>
                <w:szCs w:val="22"/>
              </w:rPr>
              <w:t xml:space="preserve">Pubs non intrusives, premium optionnel, modèle hybride stable</w:t>
            </w:r>
          </w:p>
        </w:tc>
      </w:tr>
    </w:tbl>
    <w:p>
      <w:pPr>
        <w:spacing w:after="300"/>
      </w:pPr>
    </w:p>
    <w:p>
      <w:pPr>
        <w:pStyle w:val="Heading1"/>
      </w:pPr>
      <w:r>
        <w:t xml:space="preserve">8. Conclusion</w:t>
      </w:r>
    </w:p>
    <w:p>
      <w:pPr>
        <w:spacing w:after="200"/>
      </w:pPr>
      <w:r>
        <w:rPr>
          <w:sz w:val="22"/>
          <w:szCs w:val="22"/>
        </w:rPr>
        <w:t xml:space="preserve">Idiot Games représente une opportunité de créer un projet web simple, potentiellement viral et monétisable rapidement. Le concept s'appuie sur des mécaniques psychologiques éprouvées : l'appartenance à une équipe, le hasard gratifiant, la progression visuelle et l'urgence temporelle.</w:t>
      </w:r>
    </w:p>
    <w:p>
      <w:pPr>
        <w:spacing w:after="200"/>
      </w:pPr>
      <w:r>
        <w:rPr>
          <w:sz w:val="22"/>
          <w:szCs w:val="22"/>
        </w:rPr>
        <w:t xml:space="preserve">La roadmap proposée permet un lancement rapide avec un MVP fonctionnel en 1-2 semaines, puis une itération basée sur les retours utilisateurs et les données d'utilisation. L'architecture modulaire permet d'ajouter facilement de nouveaux mini-jeux sans refonte du système.</w:t>
      </w:r>
    </w:p>
    <w:p>
      <w:pPr>
        <w:spacing w:after="200"/>
      </w:pPr>
      <w:r>
        <w:rPr>
          <w:sz w:val="22"/>
          <w:szCs w:val="22"/>
        </w:rPr>
        <w:t xml:space="preserve">Ce projet est particulièrement pertinent dans le contexte actuel où les gens cherchent des divertissements simples et gratuits, acceptant de payer par leur attention (publicités) plutôt que par leur portefeuille.</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 </w:t>
    </w:r>
    <w:r>
      <w:rPr>
        <w:sz w:val="20"/>
        <w:szCs w:val="20"/>
      </w:rPr>
      <w:fldChar w:fldCharType="begin"/>
      <w:instrText xml:space="preserve">PAGE</w:instrText>
      <w:fldChar w:fldCharType="separate"/>
      <w:fldChar w:fldCharType="end"/>
    </w:r>
    <w:r>
      <w:rPr>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8"/>
        <w:szCs w:val="18"/>
      </w:rPr>
      <w:t xml:space="preserve">Idiot Games - Document de Conception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0"/>
      <w:jc w:val="center"/>
    </w:pPr>
    <w:rPr>
      <w:rFonts w:ascii="Times New Roman" w:cs="Times New Roman" w:eastAsia="Times New Roman" w:hAnsi="Times New Roman"/>
      <w:b/>
      <w:bCs/>
      <w:color w:val="020617"/>
      <w:sz w:val="72"/>
      <w:szCs w:val="72"/>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1E293B"/>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2026-03-03T17:52:47.782Z</dcterms:created>
  <dcterms:modified xsi:type="dcterms:W3CDTF">2026-03-03T17:52:47.782Z</dcterms:modified>
</cp:coreProperties>
</file>

<file path=docProps/custom.xml><?xml version="1.0" encoding="utf-8"?>
<Properties xmlns="http://schemas.openxmlformats.org/officeDocument/2006/custom-properties" xmlns:vt="http://schemas.openxmlformats.org/officeDocument/2006/docPropsVTypes"/>
</file>