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ECDAT Project Architecture and Technical Reference</w:t>
      </w:r>
    </w:p>
    <w:p>
      <w:pPr>
        <w:spacing w:after="360"/>
      </w:pPr>
      <w:r>
        <w:rPr>
          <w:rFonts w:ascii="Arial" w:hAnsi="Arial"/>
          <w:color w:val="596370"/>
          <w:sz w:val="30"/>
        </w:rPr>
        <w:t>Technical overview of the review build</w:t>
      </w:r>
    </w:p>
    <w:p>
      <w:pPr>
        <w:spacing w:after="280"/>
      </w:pPr>
      <w:r>
        <w:rPr>
          <w:color w:val="181F2A"/>
          <w:sz w:val="23"/>
        </w:rPr>
        <w:t>This document explains the project objective, architecture, module responsibilities, technology stack, implemented result, limitations, and future direction. It gives developers and reviewers enough context to understand the system without requiring a file by file walkthrough.</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2088"/>
            <w:tcMar>
              <w:top w:w="95" w:type="dxa"/>
              <w:start w:w="110" w:type="dxa"/>
              <w:bottom w:w="95" w:type="dxa"/>
              <w:end w:w="110" w:type="dxa"/>
            </w:tcMar>
            <w:vAlign w:val="center"/>
            <w:shd w:fill="FFFFFF"/>
          </w:tcPr>
          <w:p>
            <w:r>
              <w:rPr>
                <w:b/>
              </w:rPr>
              <w:t>Project</w:t>
            </w:r>
          </w:p>
        </w:tc>
        <w:tc>
          <w:tcPr>
            <w:tcW w:type="dxa" w:w="7488"/>
            <w:tcMar>
              <w:top w:w="95" w:type="dxa"/>
              <w:start w:w="110" w:type="dxa"/>
              <w:bottom w:w="95" w:type="dxa"/>
              <w:end w:w="110" w:type="dxa"/>
            </w:tcMar>
            <w:vAlign w:val="center"/>
            <w:shd w:fill="FFFFFF"/>
          </w:tcPr>
          <w:p>
            <w:r>
              <w:t>Enterprise Cryptographic Discovery and Analysis Tool</w:t>
            </w:r>
          </w:p>
        </w:tc>
      </w:tr>
      <w:tr>
        <w:tc>
          <w:tcPr>
            <w:tcW w:type="dxa" w:w="2088"/>
            <w:tcMar>
              <w:top w:w="95" w:type="dxa"/>
              <w:start w:w="110" w:type="dxa"/>
              <w:bottom w:w="95" w:type="dxa"/>
              <w:end w:w="110" w:type="dxa"/>
            </w:tcMar>
            <w:vAlign w:val="center"/>
            <w:shd w:fill="F4F7FA"/>
          </w:tcPr>
          <w:p>
            <w:r>
              <w:rPr>
                <w:b/>
              </w:rPr>
              <w:t>Review branch</w:t>
            </w:r>
          </w:p>
        </w:tc>
        <w:tc>
          <w:tcPr>
            <w:tcW w:type="dxa" w:w="7488"/>
            <w:tcMar>
              <w:top w:w="95" w:type="dxa"/>
              <w:start w:w="110" w:type="dxa"/>
              <w:bottom w:w="95" w:type="dxa"/>
              <w:end w:w="110" w:type="dxa"/>
            </w:tcMar>
            <w:vAlign w:val="center"/>
            <w:shd w:fill="F4F7FA"/>
          </w:tcPr>
          <w:p>
            <w:r>
              <w:t>improve/integration-ui</w:t>
            </w:r>
          </w:p>
        </w:tc>
      </w:tr>
      <w:tr>
        <w:tc>
          <w:tcPr>
            <w:tcW w:type="dxa" w:w="2088"/>
            <w:tcMar>
              <w:top w:w="95" w:type="dxa"/>
              <w:start w:w="110" w:type="dxa"/>
              <w:bottom w:w="95" w:type="dxa"/>
              <w:end w:w="110" w:type="dxa"/>
            </w:tcMar>
            <w:vAlign w:val="center"/>
            <w:shd w:fill="FFFFFF"/>
          </w:tcPr>
          <w:p>
            <w:r>
              <w:rPr>
                <w:b/>
              </w:rPr>
              <w:t>Source baseline</w:t>
            </w:r>
          </w:p>
        </w:tc>
        <w:tc>
          <w:tcPr>
            <w:tcW w:type="dxa" w:w="7488"/>
            <w:tcMar>
              <w:top w:w="95" w:type="dxa"/>
              <w:start w:w="110" w:type="dxa"/>
              <w:bottom w:w="95" w:type="dxa"/>
              <w:end w:w="110" w:type="dxa"/>
            </w:tcMar>
            <w:vAlign w:val="center"/>
            <w:shd w:fill="FFFFFF"/>
          </w:tcPr>
          <w:p>
            <w:r>
              <w:t>Git commit 398f8f1</w:t>
            </w:r>
          </w:p>
        </w:tc>
      </w:tr>
      <w:tr>
        <w:tc>
          <w:tcPr>
            <w:tcW w:type="dxa" w:w="2088"/>
            <w:tcMar>
              <w:top w:w="95" w:type="dxa"/>
              <w:start w:w="110" w:type="dxa"/>
              <w:bottom w:w="95" w:type="dxa"/>
              <w:end w:w="110" w:type="dxa"/>
            </w:tcMar>
            <w:vAlign w:val="center"/>
            <w:shd w:fill="F4F7FA"/>
          </w:tcPr>
          <w:p>
            <w:r>
              <w:rPr>
                <w:b/>
              </w:rPr>
              <w:t>Document date</w:t>
            </w:r>
          </w:p>
        </w:tc>
        <w:tc>
          <w:tcPr>
            <w:tcW w:type="dxa" w:w="7488"/>
            <w:tcMar>
              <w:top w:w="95" w:type="dxa"/>
              <w:start w:w="110" w:type="dxa"/>
              <w:bottom w:w="95" w:type="dxa"/>
              <w:end w:w="110" w:type="dxa"/>
            </w:tcMar>
            <w:vAlign w:val="center"/>
            <w:shd w:fill="F4F7FA"/>
          </w:tcPr>
          <w:p>
            <w:r>
              <w:t>08 September 2026</w:t>
            </w:r>
          </w:p>
        </w:tc>
      </w:tr>
    </w:tbl>
    <w:p/>
    <w:p>
      <w:pPr>
        <w:spacing w:before="280"/>
      </w:pPr>
      <w:r>
        <w:rPr>
          <w:i/>
          <w:color w:val="596370"/>
        </w:rPr>
        <w:t>Prepared for local review before any upstream pull request or merge.</w:t>
      </w:r>
    </w:p>
    <w:p>
      <w:r>
        <w:br w:type="page"/>
      </w:r>
    </w:p>
    <w:p>
      <w:pPr>
        <w:pStyle w:val="Heading1"/>
      </w:pPr>
      <w:r>
        <w:t>Project Summary</w:t>
      </w:r>
    </w:p>
    <w:p>
      <w:r>
        <w:t>ECDAT inventories cryptographic usage across software and deployment artifacts, converts scanner evidence into a common asset model, estimates post quantum migration urgency, and presents the result through an interactive dashboard and reports. Its practical purpose is to answer three questions: what cryptography exists, which items deserve attention first, and what migration action should be reviewed.</w:t>
      </w:r>
    </w:p>
    <w:p>
      <w:r>
        <w:t>The review branch is a working local application. It accepts local paths, public HTTPS Git repositories, file or ZIP uploads, and container package evidence. It runs the three discovery families through one pipeline, persists results, and exposes them through a redesigned React interface. It is suitable for demonstration and controlled analysis; it is not an enterprise compliance product.</w:t>
      </w:r>
    </w:p>
    <w:p>
      <w:pPr>
        <w:pStyle w:val="Heading1"/>
      </w:pPr>
      <w:r>
        <w:t>Implemented Outcome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944"/>
            <w:shd w:fill="17243B"/>
            <w:vAlign w:val="center"/>
            <w:tcMar>
              <w:top w:w="105" w:type="dxa"/>
              <w:start w:w="110" w:type="dxa"/>
              <w:bottom w:w="105" w:type="dxa"/>
              <w:end w:w="110" w:type="dxa"/>
            </w:tcMar>
          </w:tcPr>
          <w:p>
            <w:r>
              <w:rPr>
                <w:rFonts w:ascii="Arial" w:hAnsi="Arial"/>
                <w:b/>
                <w:color w:val="FFFFFF"/>
                <w:sz w:val="17"/>
              </w:rPr>
              <w:t>Area</w:t>
            </w:r>
          </w:p>
        </w:tc>
        <w:tc>
          <w:tcPr>
            <w:tcW w:type="dxa" w:w="6624"/>
            <w:shd w:fill="17243B"/>
            <w:vAlign w:val="center"/>
            <w:tcMar>
              <w:top w:w="105" w:type="dxa"/>
              <w:start w:w="110" w:type="dxa"/>
              <w:bottom w:w="105" w:type="dxa"/>
              <w:end w:w="110" w:type="dxa"/>
            </w:tcMar>
          </w:tcPr>
          <w:p>
            <w:r>
              <w:rPr>
                <w:rFonts w:ascii="Arial" w:hAnsi="Arial"/>
                <w:b/>
                <w:color w:val="FFFFFF"/>
                <w:sz w:val="17"/>
              </w:rPr>
              <w:t>Current result</w:t>
            </w:r>
          </w:p>
        </w:tc>
        <w:tc>
          <w:tcPr>
            <w:tcW w:type="dxa" w:w="1584"/>
            <w:shd w:fill="17243B"/>
            <w:vAlign w:val="center"/>
            <w:tcMar>
              <w:top w:w="105" w:type="dxa"/>
              <w:start w:w="110" w:type="dxa"/>
              <w:bottom w:w="105" w:type="dxa"/>
              <w:end w:w="110" w:type="dxa"/>
            </w:tcMar>
          </w:tcPr>
          <w:p>
            <w:r>
              <w:rPr>
                <w:rFonts w:ascii="Arial" w:hAnsi="Arial"/>
                <w:b/>
                <w:color w:val="FFFFFF"/>
                <w:sz w:val="17"/>
              </w:rPr>
              <w:t>Status</w:t>
            </w:r>
          </w:p>
        </w:tc>
      </w:tr>
      <w:tr>
        <w:trPr>
          <w:cantSplit/>
        </w:trPr>
        <w:tc>
          <w:tcPr>
            <w:tcW w:type="dxa" w:w="1944"/>
            <w:vAlign w:val="center"/>
            <w:tcMar>
              <w:top w:w="95" w:type="dxa"/>
              <w:start w:w="110" w:type="dxa"/>
              <w:bottom w:w="95" w:type="dxa"/>
              <w:end w:w="110" w:type="dxa"/>
            </w:tcMar>
          </w:tcPr>
          <w:p>
            <w:pPr>
              <w:spacing w:after="0" w:line="252" w:lineRule="auto"/>
            </w:pPr>
            <w:r>
              <w:rPr>
                <w:rFonts w:ascii="Arial" w:hAnsi="Arial"/>
                <w:sz w:val="17"/>
              </w:rPr>
              <w:t>Input handling</w:t>
            </w:r>
          </w:p>
        </w:tc>
        <w:tc>
          <w:tcPr>
            <w:tcW w:type="dxa" w:w="6624"/>
            <w:vAlign w:val="center"/>
            <w:tcMar>
              <w:top w:w="95" w:type="dxa"/>
              <w:start w:w="110" w:type="dxa"/>
              <w:bottom w:w="95" w:type="dxa"/>
              <w:end w:w="110" w:type="dxa"/>
            </w:tcMar>
          </w:tcPr>
          <w:p>
            <w:pPr>
              <w:spacing w:after="0" w:line="252" w:lineRule="auto"/>
            </w:pPr>
            <w:r>
              <w:rPr>
                <w:rFonts w:ascii="Arial" w:hAnsi="Arial"/>
                <w:sz w:val="17"/>
              </w:rPr>
              <w:t>Path, HTTPS Git, file, ZIP, offline image inventory, and optional live image input</w:t>
            </w:r>
          </w:p>
        </w:tc>
        <w:tc>
          <w:tcPr>
            <w:tcW w:type="dxa" w:w="1584"/>
            <w:vAlign w:val="center"/>
            <w:tcMar>
              <w:top w:w="95" w:type="dxa"/>
              <w:start w:w="110" w:type="dxa"/>
              <w:bottom w:w="95" w:type="dxa"/>
              <w:end w:w="110" w:type="dxa"/>
            </w:tcMar>
          </w:tcPr>
          <w:p>
            <w:pPr>
              <w:spacing w:after="0" w:line="252" w:lineRule="auto"/>
            </w:pPr>
            <w:r>
              <w:rPr>
                <w:rFonts w:ascii="Arial" w:hAnsi="Arial"/>
                <w:sz w:val="17"/>
              </w:rPr>
              <w:t>Implemented</w:t>
            </w:r>
          </w:p>
        </w:tc>
      </w:tr>
      <w:tr>
        <w:trPr>
          <w:cantSplit/>
        </w:trPr>
        <w:tc>
          <w:tcPr>
            <w:tcW w:type="dxa" w:w="1944"/>
            <w:vAlign w:val="center"/>
            <w:tcMar>
              <w:top w:w="95" w:type="dxa"/>
              <w:start w:w="110" w:type="dxa"/>
              <w:bottom w:w="95" w:type="dxa"/>
              <w:end w:w="110" w:type="dxa"/>
            </w:tcMar>
            <w:shd w:fill="F4F7FA"/>
          </w:tcPr>
          <w:p>
            <w:pPr>
              <w:spacing w:after="0" w:line="252" w:lineRule="auto"/>
            </w:pPr>
            <w:r>
              <w:rPr>
                <w:rFonts w:ascii="Arial" w:hAnsi="Arial"/>
                <w:sz w:val="17"/>
              </w:rPr>
              <w:t>Discovery</w:t>
            </w:r>
          </w:p>
        </w:tc>
        <w:tc>
          <w:tcPr>
            <w:tcW w:type="dxa" w:w="6624"/>
            <w:vAlign w:val="center"/>
            <w:tcMar>
              <w:top w:w="95" w:type="dxa"/>
              <w:start w:w="110" w:type="dxa"/>
              <w:bottom w:w="95" w:type="dxa"/>
              <w:end w:w="110" w:type="dxa"/>
            </w:tcMar>
            <w:shd w:fill="F4F7FA"/>
          </w:tcPr>
          <w:p>
            <w:pPr>
              <w:spacing w:after="0" w:line="252" w:lineRule="auto"/>
            </w:pPr>
            <w:r>
              <w:rPr>
                <w:rFonts w:ascii="Arial" w:hAnsi="Arial"/>
                <w:sz w:val="17"/>
              </w:rPr>
              <w:t>Source, dependency and binary, configuration, IaC, certificate, and package evidence</w:t>
            </w:r>
          </w:p>
        </w:tc>
        <w:tc>
          <w:tcPr>
            <w:tcW w:type="dxa" w:w="1584"/>
            <w:vAlign w:val="center"/>
            <w:tcMar>
              <w:top w:w="95" w:type="dxa"/>
              <w:start w:w="110" w:type="dxa"/>
              <w:bottom w:w="95" w:type="dxa"/>
              <w:end w:w="110" w:type="dxa"/>
            </w:tcMar>
            <w:shd w:fill="F4F7FA"/>
          </w:tcPr>
          <w:p>
            <w:pPr>
              <w:spacing w:after="0" w:line="252" w:lineRule="auto"/>
            </w:pPr>
            <w:r>
              <w:rPr>
                <w:rFonts w:ascii="Arial" w:hAnsi="Arial"/>
                <w:sz w:val="17"/>
              </w:rPr>
              <w:t>Implemented</w:t>
            </w:r>
          </w:p>
        </w:tc>
      </w:tr>
      <w:tr>
        <w:trPr>
          <w:cantSplit/>
        </w:trPr>
        <w:tc>
          <w:tcPr>
            <w:tcW w:type="dxa" w:w="1944"/>
            <w:vAlign w:val="center"/>
            <w:tcMar>
              <w:top w:w="95" w:type="dxa"/>
              <w:start w:w="110" w:type="dxa"/>
              <w:bottom w:w="95" w:type="dxa"/>
              <w:end w:w="110" w:type="dxa"/>
            </w:tcMar>
          </w:tcPr>
          <w:p>
            <w:pPr>
              <w:spacing w:after="0" w:line="252" w:lineRule="auto"/>
            </w:pPr>
            <w:r>
              <w:rPr>
                <w:rFonts w:ascii="Arial" w:hAnsi="Arial"/>
                <w:sz w:val="17"/>
              </w:rPr>
              <w:t>Analysis</w:t>
            </w:r>
          </w:p>
        </w:tc>
        <w:tc>
          <w:tcPr>
            <w:tcW w:type="dxa" w:w="6624"/>
            <w:vAlign w:val="center"/>
            <w:tcMar>
              <w:top w:w="95" w:type="dxa"/>
              <w:start w:w="110" w:type="dxa"/>
              <w:bottom w:w="95" w:type="dxa"/>
              <w:end w:w="110" w:type="dxa"/>
            </w:tcMar>
          </w:tcPr>
          <w:p>
            <w:pPr>
              <w:spacing w:after="0" w:line="252" w:lineRule="auto"/>
            </w:pPr>
            <w:r>
              <w:rPr>
                <w:rFonts w:ascii="Arial" w:hAnsi="Arial"/>
                <w:sz w:val="17"/>
              </w:rPr>
              <w:t>Normalization, Mosca urgency, composite risk, and migration guidance</w:t>
            </w:r>
          </w:p>
        </w:tc>
        <w:tc>
          <w:tcPr>
            <w:tcW w:type="dxa" w:w="1584"/>
            <w:vAlign w:val="center"/>
            <w:tcMar>
              <w:top w:w="95" w:type="dxa"/>
              <w:start w:w="110" w:type="dxa"/>
              <w:bottom w:w="95" w:type="dxa"/>
              <w:end w:w="110" w:type="dxa"/>
            </w:tcMar>
          </w:tcPr>
          <w:p>
            <w:pPr>
              <w:spacing w:after="0" w:line="252" w:lineRule="auto"/>
            </w:pPr>
            <w:r>
              <w:rPr>
                <w:rFonts w:ascii="Arial" w:hAnsi="Arial"/>
                <w:sz w:val="17"/>
              </w:rPr>
              <w:t>Implemented</w:t>
            </w:r>
          </w:p>
        </w:tc>
      </w:tr>
      <w:tr>
        <w:trPr>
          <w:cantSplit/>
        </w:trPr>
        <w:tc>
          <w:tcPr>
            <w:tcW w:type="dxa" w:w="1944"/>
            <w:vAlign w:val="center"/>
            <w:tcMar>
              <w:top w:w="95" w:type="dxa"/>
              <w:start w:w="110" w:type="dxa"/>
              <w:bottom w:w="95" w:type="dxa"/>
              <w:end w:w="110" w:type="dxa"/>
            </w:tcMar>
            <w:shd w:fill="F4F7FA"/>
          </w:tcPr>
          <w:p>
            <w:pPr>
              <w:spacing w:after="0" w:line="252" w:lineRule="auto"/>
            </w:pPr>
            <w:r>
              <w:rPr>
                <w:rFonts w:ascii="Arial" w:hAnsi="Arial"/>
                <w:sz w:val="17"/>
              </w:rPr>
              <w:t>Experience</w:t>
            </w:r>
          </w:p>
        </w:tc>
        <w:tc>
          <w:tcPr>
            <w:tcW w:type="dxa" w:w="6624"/>
            <w:vAlign w:val="center"/>
            <w:tcMar>
              <w:top w:w="95" w:type="dxa"/>
              <w:start w:w="110" w:type="dxa"/>
              <w:bottom w:w="95" w:type="dxa"/>
              <w:end w:w="110" w:type="dxa"/>
            </w:tcMar>
            <w:shd w:fill="F4F7FA"/>
          </w:tcPr>
          <w:p>
            <w:pPr>
              <w:spacing w:after="0" w:line="252" w:lineRule="auto"/>
            </w:pPr>
            <w:r>
              <w:rPr>
                <w:rFonts w:ascii="Arial" w:hAnsi="Arial"/>
                <w:sz w:val="17"/>
              </w:rPr>
              <w:t>Responsive overview, inventory, detail, heatmap, recommendations, and history</w:t>
            </w:r>
          </w:p>
        </w:tc>
        <w:tc>
          <w:tcPr>
            <w:tcW w:type="dxa" w:w="1584"/>
            <w:vAlign w:val="center"/>
            <w:tcMar>
              <w:top w:w="95" w:type="dxa"/>
              <w:start w:w="110" w:type="dxa"/>
              <w:bottom w:w="95" w:type="dxa"/>
              <w:end w:w="110" w:type="dxa"/>
            </w:tcMar>
            <w:shd w:fill="F4F7FA"/>
          </w:tcPr>
          <w:p>
            <w:pPr>
              <w:spacing w:after="0" w:line="252" w:lineRule="auto"/>
            </w:pPr>
            <w:r>
              <w:rPr>
                <w:rFonts w:ascii="Arial" w:hAnsi="Arial"/>
                <w:sz w:val="17"/>
              </w:rPr>
              <w:t>Implemented</w:t>
            </w:r>
          </w:p>
        </w:tc>
      </w:tr>
      <w:tr>
        <w:trPr>
          <w:cantSplit/>
        </w:trPr>
        <w:tc>
          <w:tcPr>
            <w:tcW w:type="dxa" w:w="1944"/>
            <w:vAlign w:val="center"/>
            <w:tcMar>
              <w:top w:w="95" w:type="dxa"/>
              <w:start w:w="110" w:type="dxa"/>
              <w:bottom w:w="95" w:type="dxa"/>
              <w:end w:w="110" w:type="dxa"/>
            </w:tcMar>
          </w:tcPr>
          <w:p>
            <w:pPr>
              <w:spacing w:after="0" w:line="252" w:lineRule="auto"/>
            </w:pPr>
            <w:r>
              <w:rPr>
                <w:rFonts w:ascii="Arial" w:hAnsi="Arial"/>
                <w:sz w:val="17"/>
              </w:rPr>
              <w:t>Exports</w:t>
            </w:r>
          </w:p>
        </w:tc>
        <w:tc>
          <w:tcPr>
            <w:tcW w:type="dxa" w:w="6624"/>
            <w:vAlign w:val="center"/>
            <w:tcMar>
              <w:top w:w="95" w:type="dxa"/>
              <w:start w:w="110" w:type="dxa"/>
              <w:bottom w:w="95" w:type="dxa"/>
              <w:end w:w="110" w:type="dxa"/>
            </w:tcMar>
          </w:tcPr>
          <w:p>
            <w:pPr>
              <w:spacing w:after="0" w:line="252" w:lineRule="auto"/>
            </w:pPr>
            <w:r>
              <w:rPr>
                <w:rFonts w:ascii="Arial" w:hAnsi="Arial"/>
                <w:sz w:val="17"/>
              </w:rPr>
              <w:t>PDF, CSV, XLSX, and CycloneDX aligned JSON</w:t>
            </w:r>
          </w:p>
        </w:tc>
        <w:tc>
          <w:tcPr>
            <w:tcW w:type="dxa" w:w="1584"/>
            <w:vAlign w:val="center"/>
            <w:tcMar>
              <w:top w:w="95" w:type="dxa"/>
              <w:start w:w="110" w:type="dxa"/>
              <w:bottom w:w="95" w:type="dxa"/>
              <w:end w:w="110" w:type="dxa"/>
            </w:tcMar>
          </w:tcPr>
          <w:p>
            <w:pPr>
              <w:spacing w:after="0" w:line="252" w:lineRule="auto"/>
            </w:pPr>
            <w:r>
              <w:rPr>
                <w:rFonts w:ascii="Arial" w:hAnsi="Arial"/>
                <w:sz w:val="17"/>
              </w:rPr>
              <w:t>Implemented</w:t>
            </w:r>
          </w:p>
        </w:tc>
      </w:tr>
      <w:tr>
        <w:trPr>
          <w:cantSplit/>
        </w:trPr>
        <w:tc>
          <w:tcPr>
            <w:tcW w:type="dxa" w:w="1944"/>
            <w:vAlign w:val="center"/>
            <w:tcMar>
              <w:top w:w="95" w:type="dxa"/>
              <w:start w:w="110" w:type="dxa"/>
              <w:bottom w:w="95" w:type="dxa"/>
              <w:end w:w="110" w:type="dxa"/>
            </w:tcMar>
            <w:shd w:fill="F4F7FA"/>
          </w:tcPr>
          <w:p>
            <w:pPr>
              <w:spacing w:after="0" w:line="252" w:lineRule="auto"/>
            </w:pPr>
            <w:r>
              <w:rPr>
                <w:rFonts w:ascii="Arial" w:hAnsi="Arial"/>
                <w:sz w:val="17"/>
              </w:rPr>
              <w:t>Production platform</w:t>
            </w:r>
          </w:p>
        </w:tc>
        <w:tc>
          <w:tcPr>
            <w:tcW w:type="dxa" w:w="6624"/>
            <w:vAlign w:val="center"/>
            <w:tcMar>
              <w:top w:w="95" w:type="dxa"/>
              <w:start w:w="110" w:type="dxa"/>
              <w:bottom w:w="95" w:type="dxa"/>
              <w:end w:w="110" w:type="dxa"/>
            </w:tcMar>
            <w:shd w:fill="F4F7FA"/>
          </w:tcPr>
          <w:p>
            <w:pPr>
              <w:spacing w:after="0" w:line="252" w:lineRule="auto"/>
            </w:pPr>
            <w:r>
              <w:rPr>
                <w:rFonts w:ascii="Arial" w:hAnsi="Arial"/>
                <w:sz w:val="17"/>
              </w:rPr>
              <w:t>Distributed work, RBAC, SSO, observability, and managed deployment</w:t>
            </w:r>
          </w:p>
        </w:tc>
        <w:tc>
          <w:tcPr>
            <w:tcW w:type="dxa" w:w="1584"/>
            <w:vAlign w:val="center"/>
            <w:tcMar>
              <w:top w:w="95" w:type="dxa"/>
              <w:start w:w="110" w:type="dxa"/>
              <w:bottom w:w="95" w:type="dxa"/>
              <w:end w:w="110" w:type="dxa"/>
            </w:tcMar>
            <w:shd w:fill="F4F7FA"/>
          </w:tcPr>
          <w:p>
            <w:pPr>
              <w:spacing w:after="0" w:line="252" w:lineRule="auto"/>
            </w:pPr>
            <w:r>
              <w:rPr>
                <w:rFonts w:ascii="Arial" w:hAnsi="Arial"/>
                <w:sz w:val="17"/>
              </w:rPr>
              <w:t>Future scope</w:t>
            </w:r>
          </w:p>
        </w:tc>
      </w:tr>
    </w:tbl>
    <w:p>
      <w:pPr>
        <w:spacing w:after="60"/>
      </w:pPr>
    </w:p>
    <w:p>
      <w:r>
        <w:t>Verified review results were 10 assets with 3 Critical findings for the supplied workspace, 2 assets for the offline image inventory, and 51 assets for a public Git scan of this repository. The backend test suite passed 66 tests, the frontend passed 14 tests, and the production frontend build completed successfully.</w:t>
      </w:r>
    </w:p>
    <w:p>
      <w:pPr>
        <w:pStyle w:val="Heading1"/>
      </w:pPr>
      <w:r>
        <w:t>System Architecture</w:t>
      </w:r>
    </w:p>
    <w:p>
      <w:pPr>
        <w:jc w:val="center"/>
      </w:pPr>
      <w:r>
        <w:drawing>
          <wp:inline xmlns:a="http://schemas.openxmlformats.org/drawingml/2006/main" xmlns:pic="http://schemas.openxmlformats.org/drawingml/2006/picture">
            <wp:extent cx="6263640" cy="31318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3131820"/>
                    </a:xfrm>
                    <a:prstGeom prst="rect"/>
                  </pic:spPr>
                </pic:pic>
              </a:graphicData>
            </a:graphic>
          </wp:inline>
        </w:drawing>
      </w:r>
    </w:p>
    <w:p>
      <w:pPr>
        <w:jc w:val="center"/>
      </w:pPr>
      <w:r>
        <w:rPr>
          <w:i/>
          <w:color w:val="596370"/>
          <w:sz w:val="18"/>
        </w:rPr>
        <w:t>Figure 1  ECDAT processing architecture</w:t>
      </w:r>
    </w:p>
    <w:p>
      <w:r>
        <w:t>The system uses a pipeline architecture. Input adapters prepare a bounded, static target. M1 through M3 produce a shared RawFinding contract. M4 normalizes and deduplicates those findings, M5 adds risk values, and M6 adds review recommendations. M7 persists the scan and exposes REST endpoints. M8 and M9 consume the same stored representation for the dashboard and exports.</w:t>
      </w:r>
    </w:p>
    <w:p>
      <w:pPr>
        <w:pStyle w:val="Heading1"/>
      </w:pPr>
      <w:r>
        <w:t>Processing Flow</w:t>
      </w:r>
    </w:p>
    <w:p>
      <w:pPr>
        <w:spacing w:after="80"/>
        <w:ind w:left="403" w:hanging="403"/>
      </w:pPr>
      <w:r>
        <w:t xml:space="preserve">1.  </w:t>
      </w:r>
      <w:r>
        <w:t>A user selects an input mode and submits a target through the dashboard or REST API.</w:t>
      </w:r>
    </w:p>
    <w:p>
      <w:pPr>
        <w:spacing w:after="80"/>
        <w:ind w:left="403" w:hanging="403"/>
      </w:pPr>
      <w:r>
        <w:t xml:space="preserve">2.  </w:t>
      </w:r>
      <w:r>
        <w:t>The ingestion layer validates the input, takes a bounded snapshot or safely extracts it, and records a queued job.</w:t>
      </w:r>
    </w:p>
    <w:p>
      <w:pPr>
        <w:spacing w:after="80"/>
        <w:ind w:left="403" w:hanging="403"/>
      </w:pPr>
      <w:r>
        <w:t xml:space="preserve">3.  </w:t>
      </w:r>
      <w:r>
        <w:t>The worker changes the scan to running and invokes M1, M2, and M3.</w:t>
      </w:r>
    </w:p>
    <w:p>
      <w:pPr>
        <w:spacing w:after="80"/>
        <w:ind w:left="403" w:hanging="403"/>
      </w:pPr>
      <w:r>
        <w:t xml:space="preserve">4.  </w:t>
      </w:r>
      <w:r>
        <w:t>The normalizer converts scanner evidence into canonical cryptographic assets and removes duplicate occurrences.</w:t>
      </w:r>
    </w:p>
    <w:p>
      <w:pPr>
        <w:spacing w:after="80"/>
        <w:ind w:left="403" w:hanging="403"/>
      </w:pPr>
      <w:r>
        <w:t xml:space="preserve">5.  </w:t>
      </w:r>
      <w:r>
        <w:t>The risk and recommendation engines enrich each asset with urgency, business context, and a suggested review action.</w:t>
      </w:r>
    </w:p>
    <w:p>
      <w:pPr>
        <w:spacing w:after="80"/>
        <w:ind w:left="403" w:hanging="403"/>
      </w:pPr>
      <w:r>
        <w:t xml:space="preserve">6.  </w:t>
      </w:r>
      <w:r>
        <w:t>SQLAlchemy stores the scan, assets, recommendations, job options, and threat model configuration.</w:t>
      </w:r>
    </w:p>
    <w:p>
      <w:pPr>
        <w:spacing w:after="80"/>
        <w:ind w:left="403" w:hanging="403"/>
      </w:pPr>
      <w:r>
        <w:t xml:space="preserve">7.  </w:t>
      </w:r>
      <w:r>
        <w:t>The dashboard polls status, reads all asset pages, and renders analysis views. Report endpoints generate export formats from the saved assessment.</w:t>
      </w:r>
    </w:p>
    <w:p>
      <w:pPr>
        <w:pStyle w:val="Heading1"/>
      </w:pPr>
      <w:r>
        <w:t>Module Structure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trPr>
        <w:tc>
          <w:tcPr>
            <w:tcW w:type="dxa" w:w="1512"/>
            <w:shd w:fill="17243B"/>
            <w:vAlign w:val="center"/>
            <w:tcMar>
              <w:top w:w="105" w:type="dxa"/>
              <w:start w:w="110" w:type="dxa"/>
              <w:bottom w:w="105" w:type="dxa"/>
              <w:end w:w="110" w:type="dxa"/>
            </w:tcMar>
          </w:tcPr>
          <w:p>
            <w:r>
              <w:rPr>
                <w:rFonts w:ascii="Arial" w:hAnsi="Arial"/>
                <w:b/>
                <w:color w:val="FFFFFF"/>
                <w:sz w:val="16"/>
              </w:rPr>
              <w:t>Module</w:t>
            </w:r>
          </w:p>
        </w:tc>
        <w:tc>
          <w:tcPr>
            <w:tcW w:type="dxa" w:w="3240"/>
            <w:shd w:fill="17243B"/>
            <w:vAlign w:val="center"/>
            <w:tcMar>
              <w:top w:w="105" w:type="dxa"/>
              <w:start w:w="110" w:type="dxa"/>
              <w:bottom w:w="105" w:type="dxa"/>
              <w:end w:w="110" w:type="dxa"/>
            </w:tcMar>
          </w:tcPr>
          <w:p>
            <w:r>
              <w:rPr>
                <w:rFonts w:ascii="Arial" w:hAnsi="Arial"/>
                <w:b/>
                <w:color w:val="FFFFFF"/>
                <w:sz w:val="16"/>
              </w:rPr>
              <w:t>Why it exists</w:t>
            </w:r>
          </w:p>
        </w:tc>
        <w:tc>
          <w:tcPr>
            <w:tcW w:type="dxa" w:w="3168"/>
            <w:shd w:fill="17243B"/>
            <w:vAlign w:val="center"/>
            <w:tcMar>
              <w:top w:w="105" w:type="dxa"/>
              <w:start w:w="110" w:type="dxa"/>
              <w:bottom w:w="105" w:type="dxa"/>
              <w:end w:w="110" w:type="dxa"/>
            </w:tcMar>
          </w:tcPr>
          <w:p>
            <w:r>
              <w:rPr>
                <w:rFonts w:ascii="Arial" w:hAnsi="Arial"/>
                <w:b/>
                <w:color w:val="FFFFFF"/>
                <w:sz w:val="16"/>
              </w:rPr>
              <w:t>Primary file groups</w:t>
            </w:r>
          </w:p>
        </w:tc>
        <w:tc>
          <w:tcPr>
            <w:tcW w:type="dxa" w:w="2232"/>
            <w:shd w:fill="17243B"/>
            <w:vAlign w:val="center"/>
            <w:tcMar>
              <w:top w:w="105" w:type="dxa"/>
              <w:start w:w="110" w:type="dxa"/>
              <w:bottom w:w="105" w:type="dxa"/>
              <w:end w:w="110" w:type="dxa"/>
            </w:tcMar>
          </w:tcPr>
          <w:p>
            <w:r>
              <w:rPr>
                <w:rFonts w:ascii="Arial" w:hAnsi="Arial"/>
                <w:b/>
                <w:color w:val="FFFFFF"/>
                <w:sz w:val="16"/>
              </w:rPr>
              <w:t>Depends on</w:t>
            </w:r>
          </w:p>
        </w:tc>
      </w:tr>
      <w:tr>
        <w:trPr>
          <w:cantSplit/>
        </w:trPr>
        <w:tc>
          <w:tcPr>
            <w:tcW w:type="dxa" w:w="1512"/>
            <w:vAlign w:val="center"/>
            <w:tcMar>
              <w:top w:w="95" w:type="dxa"/>
              <w:start w:w="110" w:type="dxa"/>
              <w:bottom w:w="95" w:type="dxa"/>
              <w:end w:w="110" w:type="dxa"/>
            </w:tcMar>
          </w:tcPr>
          <w:p>
            <w:pPr>
              <w:spacing w:after="0" w:line="252" w:lineRule="auto"/>
            </w:pPr>
            <w:r>
              <w:rPr>
                <w:rFonts w:ascii="Arial" w:hAnsi="Arial"/>
                <w:sz w:val="16"/>
              </w:rPr>
              <w:t>M1 Source scanner</w:t>
            </w:r>
          </w:p>
        </w:tc>
        <w:tc>
          <w:tcPr>
            <w:tcW w:type="dxa" w:w="3240"/>
            <w:vAlign w:val="center"/>
            <w:tcMar>
              <w:top w:w="95" w:type="dxa"/>
              <w:start w:w="110" w:type="dxa"/>
              <w:bottom w:w="95" w:type="dxa"/>
              <w:end w:w="110" w:type="dxa"/>
            </w:tcMar>
          </w:tcPr>
          <w:p>
            <w:pPr>
              <w:spacing w:after="0" w:line="252" w:lineRule="auto"/>
            </w:pPr>
            <w:r>
              <w:rPr>
                <w:rFonts w:ascii="Arial" w:hAnsi="Arial"/>
                <w:sz w:val="16"/>
              </w:rPr>
              <w:t>Find cryptographic API and algorithm signals in source code.</w:t>
            </w:r>
          </w:p>
        </w:tc>
        <w:tc>
          <w:tcPr>
            <w:tcW w:type="dxa" w:w="3168"/>
            <w:vAlign w:val="center"/>
            <w:tcMar>
              <w:top w:w="95" w:type="dxa"/>
              <w:start w:w="110" w:type="dxa"/>
              <w:bottom w:w="95" w:type="dxa"/>
              <w:end w:w="110" w:type="dxa"/>
            </w:tcMar>
          </w:tcPr>
          <w:p>
            <w:pPr>
              <w:spacing w:after="0" w:line="252" w:lineRule="auto"/>
            </w:pPr>
            <w:r>
              <w:rPr>
                <w:rFonts w:ascii="Arial" w:hAnsi="Arial"/>
                <w:sz w:val="16"/>
              </w:rPr>
              <w:t>backend/scanners/source</w:t>
            </w:r>
          </w:p>
        </w:tc>
        <w:tc>
          <w:tcPr>
            <w:tcW w:type="dxa" w:w="2232"/>
            <w:vAlign w:val="center"/>
            <w:tcMar>
              <w:top w:w="95" w:type="dxa"/>
              <w:start w:w="110" w:type="dxa"/>
              <w:bottom w:w="95" w:type="dxa"/>
              <w:end w:w="110" w:type="dxa"/>
            </w:tcMar>
          </w:tcPr>
          <w:p>
            <w:pPr>
              <w:spacing w:after="0" w:line="252" w:lineRule="auto"/>
            </w:pPr>
            <w:r>
              <w:rPr>
                <w:rFonts w:ascii="Arial" w:hAnsi="Arial"/>
                <w:sz w:val="16"/>
              </w:rPr>
              <w:t>Signal rules and Tree sitter grammars</w:t>
            </w:r>
          </w:p>
        </w:tc>
      </w:tr>
      <w:tr>
        <w:trPr>
          <w:cantSplit/>
        </w:trPr>
        <w:tc>
          <w:tcPr>
            <w:tcW w:type="dxa" w:w="1512"/>
            <w:vAlign w:val="center"/>
            <w:tcMar>
              <w:top w:w="95" w:type="dxa"/>
              <w:start w:w="110" w:type="dxa"/>
              <w:bottom w:w="95" w:type="dxa"/>
              <w:end w:w="110" w:type="dxa"/>
            </w:tcMar>
            <w:shd w:fill="F4F7FA"/>
          </w:tcPr>
          <w:p>
            <w:pPr>
              <w:spacing w:after="0" w:line="252" w:lineRule="auto"/>
            </w:pPr>
            <w:r>
              <w:rPr>
                <w:rFonts w:ascii="Arial" w:hAnsi="Arial"/>
                <w:sz w:val="16"/>
              </w:rPr>
              <w:t>M2 Dependency and binary scanner</w:t>
            </w:r>
          </w:p>
        </w:tc>
        <w:tc>
          <w:tcPr>
            <w:tcW w:type="dxa" w:w="3240"/>
            <w:vAlign w:val="center"/>
            <w:tcMar>
              <w:top w:w="95" w:type="dxa"/>
              <w:start w:w="110" w:type="dxa"/>
              <w:bottom w:w="95" w:type="dxa"/>
              <w:end w:w="110" w:type="dxa"/>
            </w:tcMar>
            <w:shd w:fill="F4F7FA"/>
          </w:tcPr>
          <w:p>
            <w:pPr>
              <w:spacing w:after="0" w:line="252" w:lineRule="auto"/>
            </w:pPr>
            <w:r>
              <w:rPr>
                <w:rFonts w:ascii="Arial" w:hAnsi="Arial"/>
                <w:sz w:val="16"/>
              </w:rPr>
              <w:t>Identify cryptographic packages, versions, symbols, and banners.</w:t>
            </w:r>
          </w:p>
        </w:tc>
        <w:tc>
          <w:tcPr>
            <w:tcW w:type="dxa" w:w="3168"/>
            <w:vAlign w:val="center"/>
            <w:tcMar>
              <w:top w:w="95" w:type="dxa"/>
              <w:start w:w="110" w:type="dxa"/>
              <w:bottom w:w="95" w:type="dxa"/>
              <w:end w:w="110" w:type="dxa"/>
            </w:tcMar>
            <w:shd w:fill="F4F7FA"/>
          </w:tcPr>
          <w:p>
            <w:pPr>
              <w:spacing w:after="0" w:line="252" w:lineRule="auto"/>
            </w:pPr>
            <w:r>
              <w:rPr>
                <w:rFonts w:ascii="Arial" w:hAnsi="Arial"/>
                <w:sz w:val="16"/>
              </w:rPr>
              <w:t>backend/scanners/binary_deps</w:t>
            </w:r>
          </w:p>
        </w:tc>
        <w:tc>
          <w:tcPr>
            <w:tcW w:type="dxa" w:w="2232"/>
            <w:vAlign w:val="center"/>
            <w:tcMar>
              <w:top w:w="95" w:type="dxa"/>
              <w:start w:w="110" w:type="dxa"/>
              <w:bottom w:w="95" w:type="dxa"/>
              <w:end w:w="110" w:type="dxa"/>
            </w:tcMar>
            <w:shd w:fill="F4F7FA"/>
          </w:tcPr>
          <w:p>
            <w:pPr>
              <w:spacing w:after="0" w:line="252" w:lineRule="auto"/>
            </w:pPr>
            <w:r>
              <w:rPr>
                <w:rFonts w:ascii="Arial" w:hAnsi="Arial"/>
                <w:sz w:val="16"/>
              </w:rPr>
              <w:t>Manifest parsers and registry.json</w:t>
            </w:r>
          </w:p>
        </w:tc>
      </w:tr>
      <w:tr>
        <w:trPr>
          <w:cantSplit/>
        </w:trPr>
        <w:tc>
          <w:tcPr>
            <w:tcW w:type="dxa" w:w="1512"/>
            <w:vAlign w:val="center"/>
            <w:tcMar>
              <w:top w:w="95" w:type="dxa"/>
              <w:start w:w="110" w:type="dxa"/>
              <w:bottom w:w="95" w:type="dxa"/>
              <w:end w:w="110" w:type="dxa"/>
            </w:tcMar>
          </w:tcPr>
          <w:p>
            <w:pPr>
              <w:spacing w:after="0" w:line="252" w:lineRule="auto"/>
            </w:pPr>
            <w:r>
              <w:rPr>
                <w:rFonts w:ascii="Arial" w:hAnsi="Arial"/>
                <w:sz w:val="16"/>
              </w:rPr>
              <w:t>M3 Infrastructure scanner</w:t>
            </w:r>
          </w:p>
        </w:tc>
        <w:tc>
          <w:tcPr>
            <w:tcW w:type="dxa" w:w="3240"/>
            <w:vAlign w:val="center"/>
            <w:tcMar>
              <w:top w:w="95" w:type="dxa"/>
              <w:start w:w="110" w:type="dxa"/>
              <w:bottom w:w="95" w:type="dxa"/>
              <w:end w:w="110" w:type="dxa"/>
            </w:tcMar>
          </w:tcPr>
          <w:p>
            <w:pPr>
              <w:spacing w:after="0" w:line="252" w:lineRule="auto"/>
            </w:pPr>
            <w:r>
              <w:rPr>
                <w:rFonts w:ascii="Arial" w:hAnsi="Arial"/>
                <w:sz w:val="16"/>
              </w:rPr>
              <w:t>Inspect TLS configuration, IaC, certificates, and image package evidence.</w:t>
            </w:r>
          </w:p>
        </w:tc>
        <w:tc>
          <w:tcPr>
            <w:tcW w:type="dxa" w:w="3168"/>
            <w:vAlign w:val="center"/>
            <w:tcMar>
              <w:top w:w="95" w:type="dxa"/>
              <w:start w:w="110" w:type="dxa"/>
              <w:bottom w:w="95" w:type="dxa"/>
              <w:end w:w="110" w:type="dxa"/>
            </w:tcMar>
          </w:tcPr>
          <w:p>
            <w:pPr>
              <w:spacing w:after="0" w:line="252" w:lineRule="auto"/>
            </w:pPr>
            <w:r>
              <w:rPr>
                <w:rFonts w:ascii="Arial" w:hAnsi="Arial"/>
                <w:sz w:val="16"/>
              </w:rPr>
              <w:t>backend/scanners/infra</w:t>
            </w:r>
          </w:p>
        </w:tc>
        <w:tc>
          <w:tcPr>
            <w:tcW w:type="dxa" w:w="2232"/>
            <w:vAlign w:val="center"/>
            <w:tcMar>
              <w:top w:w="95" w:type="dxa"/>
              <w:start w:w="110" w:type="dxa"/>
              <w:bottom w:w="95" w:type="dxa"/>
              <w:end w:w="110" w:type="dxa"/>
            </w:tcMar>
          </w:tcPr>
          <w:p>
            <w:pPr>
              <w:spacing w:after="0" w:line="252" w:lineRule="auto"/>
            </w:pPr>
            <w:r>
              <w:rPr>
                <w:rFonts w:ascii="Arial" w:hAnsi="Arial"/>
                <w:sz w:val="16"/>
              </w:rPr>
              <w:t>cryptography, PyYAML, optional Trivy</w:t>
            </w:r>
          </w:p>
        </w:tc>
      </w:tr>
      <w:tr>
        <w:trPr>
          <w:cantSplit/>
        </w:trPr>
        <w:tc>
          <w:tcPr>
            <w:tcW w:type="dxa" w:w="1512"/>
            <w:vAlign w:val="center"/>
            <w:tcMar>
              <w:top w:w="95" w:type="dxa"/>
              <w:start w:w="110" w:type="dxa"/>
              <w:bottom w:w="95" w:type="dxa"/>
              <w:end w:w="110" w:type="dxa"/>
            </w:tcMar>
            <w:shd w:fill="F4F7FA"/>
          </w:tcPr>
          <w:p>
            <w:pPr>
              <w:spacing w:after="0" w:line="252" w:lineRule="auto"/>
            </w:pPr>
            <w:r>
              <w:rPr>
                <w:rFonts w:ascii="Arial" w:hAnsi="Arial"/>
                <w:sz w:val="16"/>
              </w:rPr>
              <w:t>M4 Normalizer</w:t>
            </w:r>
          </w:p>
        </w:tc>
        <w:tc>
          <w:tcPr>
            <w:tcW w:type="dxa" w:w="3240"/>
            <w:vAlign w:val="center"/>
            <w:tcMar>
              <w:top w:w="95" w:type="dxa"/>
              <w:start w:w="110" w:type="dxa"/>
              <w:bottom w:w="95" w:type="dxa"/>
              <w:end w:w="110" w:type="dxa"/>
            </w:tcMar>
            <w:shd w:fill="F4F7FA"/>
          </w:tcPr>
          <w:p>
            <w:pPr>
              <w:spacing w:after="0" w:line="252" w:lineRule="auto"/>
            </w:pPr>
            <w:r>
              <w:rPr>
                <w:rFonts w:ascii="Arial" w:hAnsi="Arial"/>
                <w:sz w:val="16"/>
              </w:rPr>
              <w:t>Provide one canonical asset contract for every scanner.</w:t>
            </w:r>
          </w:p>
        </w:tc>
        <w:tc>
          <w:tcPr>
            <w:tcW w:type="dxa" w:w="3168"/>
            <w:vAlign w:val="center"/>
            <w:tcMar>
              <w:top w:w="95" w:type="dxa"/>
              <w:start w:w="110" w:type="dxa"/>
              <w:bottom w:w="95" w:type="dxa"/>
              <w:end w:w="110" w:type="dxa"/>
            </w:tcMar>
            <w:shd w:fill="F4F7FA"/>
          </w:tcPr>
          <w:p>
            <w:pPr>
              <w:spacing w:after="0" w:line="252" w:lineRule="auto"/>
            </w:pPr>
            <w:r>
              <w:rPr>
                <w:rFonts w:ascii="Arial" w:hAnsi="Arial"/>
                <w:sz w:val="16"/>
              </w:rPr>
              <w:t>backend/engine/normalizer.py</w:t>
            </w:r>
          </w:p>
        </w:tc>
        <w:tc>
          <w:tcPr>
            <w:tcW w:type="dxa" w:w="2232"/>
            <w:vAlign w:val="center"/>
            <w:tcMar>
              <w:top w:w="95" w:type="dxa"/>
              <w:start w:w="110" w:type="dxa"/>
              <w:bottom w:w="95" w:type="dxa"/>
              <w:end w:w="110" w:type="dxa"/>
            </w:tcMar>
            <w:shd w:fill="F4F7FA"/>
          </w:tcPr>
          <w:p>
            <w:pPr>
              <w:spacing w:after="0" w:line="252" w:lineRule="auto"/>
            </w:pPr>
            <w:r>
              <w:rPr>
                <w:rFonts w:ascii="Arial" w:hAnsi="Arial"/>
                <w:sz w:val="16"/>
              </w:rPr>
              <w:t>RawFinding and canonical schemas</w:t>
            </w:r>
          </w:p>
        </w:tc>
      </w:tr>
      <w:tr>
        <w:trPr>
          <w:cantSplit/>
        </w:trPr>
        <w:tc>
          <w:tcPr>
            <w:tcW w:type="dxa" w:w="1512"/>
            <w:vAlign w:val="center"/>
            <w:tcMar>
              <w:top w:w="95" w:type="dxa"/>
              <w:start w:w="110" w:type="dxa"/>
              <w:bottom w:w="95" w:type="dxa"/>
              <w:end w:w="110" w:type="dxa"/>
            </w:tcMar>
          </w:tcPr>
          <w:p>
            <w:pPr>
              <w:spacing w:after="0" w:line="252" w:lineRule="auto"/>
            </w:pPr>
            <w:r>
              <w:rPr>
                <w:rFonts w:ascii="Arial" w:hAnsi="Arial"/>
                <w:sz w:val="16"/>
              </w:rPr>
              <w:t>M5 Risk engine</w:t>
            </w:r>
          </w:p>
        </w:tc>
        <w:tc>
          <w:tcPr>
            <w:tcW w:type="dxa" w:w="3240"/>
            <w:vAlign w:val="center"/>
            <w:tcMar>
              <w:top w:w="95" w:type="dxa"/>
              <w:start w:w="110" w:type="dxa"/>
              <w:bottom w:w="95" w:type="dxa"/>
              <w:end w:w="110" w:type="dxa"/>
            </w:tcMar>
          </w:tcPr>
          <w:p>
            <w:pPr>
              <w:spacing w:after="0" w:line="252" w:lineRule="auto"/>
            </w:pPr>
            <w:r>
              <w:rPr>
                <w:rFonts w:ascii="Arial" w:hAnsi="Arial"/>
                <w:sz w:val="16"/>
              </w:rPr>
              <w:t>Make migration urgency explainable and configurable.</w:t>
            </w:r>
          </w:p>
        </w:tc>
        <w:tc>
          <w:tcPr>
            <w:tcW w:type="dxa" w:w="3168"/>
            <w:vAlign w:val="center"/>
            <w:tcMar>
              <w:top w:w="95" w:type="dxa"/>
              <w:start w:w="110" w:type="dxa"/>
              <w:bottom w:w="95" w:type="dxa"/>
              <w:end w:w="110" w:type="dxa"/>
            </w:tcMar>
          </w:tcPr>
          <w:p>
            <w:pPr>
              <w:spacing w:after="0" w:line="252" w:lineRule="auto"/>
            </w:pPr>
            <w:r>
              <w:rPr>
                <w:rFonts w:ascii="Arial" w:hAnsi="Arial"/>
                <w:sz w:val="16"/>
              </w:rPr>
              <w:t>backend/engine/risk.py</w:t>
            </w:r>
          </w:p>
        </w:tc>
        <w:tc>
          <w:tcPr>
            <w:tcW w:type="dxa" w:w="2232"/>
            <w:vAlign w:val="center"/>
            <w:tcMar>
              <w:top w:w="95" w:type="dxa"/>
              <w:start w:w="110" w:type="dxa"/>
              <w:bottom w:w="95" w:type="dxa"/>
              <w:end w:w="110" w:type="dxa"/>
            </w:tcMar>
          </w:tcPr>
          <w:p>
            <w:pPr>
              <w:spacing w:after="0" w:line="252" w:lineRule="auto"/>
            </w:pPr>
            <w:r>
              <w:rPr>
                <w:rFonts w:ascii="Arial" w:hAnsi="Arial"/>
                <w:sz w:val="16"/>
              </w:rPr>
              <w:t>X shelf life, Y migration time, Z threat timeline</w:t>
            </w:r>
          </w:p>
        </w:tc>
      </w:tr>
      <w:tr>
        <w:trPr>
          <w:cantSplit/>
        </w:trPr>
        <w:tc>
          <w:tcPr>
            <w:tcW w:type="dxa" w:w="1512"/>
            <w:vAlign w:val="center"/>
            <w:tcMar>
              <w:top w:w="95" w:type="dxa"/>
              <w:start w:w="110" w:type="dxa"/>
              <w:bottom w:w="95" w:type="dxa"/>
              <w:end w:w="110" w:type="dxa"/>
            </w:tcMar>
            <w:shd w:fill="F4F7FA"/>
          </w:tcPr>
          <w:p>
            <w:pPr>
              <w:spacing w:after="0" w:line="252" w:lineRule="auto"/>
            </w:pPr>
            <w:r>
              <w:rPr>
                <w:rFonts w:ascii="Arial" w:hAnsi="Arial"/>
                <w:sz w:val="16"/>
              </w:rPr>
              <w:t>M6 Recommender</w:t>
            </w:r>
          </w:p>
        </w:tc>
        <w:tc>
          <w:tcPr>
            <w:tcW w:type="dxa" w:w="3240"/>
            <w:vAlign w:val="center"/>
            <w:tcMar>
              <w:top w:w="95" w:type="dxa"/>
              <w:start w:w="110" w:type="dxa"/>
              <w:bottom w:w="95" w:type="dxa"/>
              <w:end w:w="110" w:type="dxa"/>
            </w:tcMar>
            <w:shd w:fill="F4F7FA"/>
          </w:tcPr>
          <w:p>
            <w:pPr>
              <w:spacing w:after="0" w:line="252" w:lineRule="auto"/>
            </w:pPr>
            <w:r>
              <w:rPr>
                <w:rFonts w:ascii="Arial" w:hAnsi="Arial"/>
                <w:sz w:val="16"/>
              </w:rPr>
              <w:t>Translate risk into a reviewable migration direction.</w:t>
            </w:r>
          </w:p>
        </w:tc>
        <w:tc>
          <w:tcPr>
            <w:tcW w:type="dxa" w:w="3168"/>
            <w:vAlign w:val="center"/>
            <w:tcMar>
              <w:top w:w="95" w:type="dxa"/>
              <w:start w:w="110" w:type="dxa"/>
              <w:bottom w:w="95" w:type="dxa"/>
              <w:end w:w="110" w:type="dxa"/>
            </w:tcMar>
            <w:shd w:fill="F4F7FA"/>
          </w:tcPr>
          <w:p>
            <w:pPr>
              <w:spacing w:after="0" w:line="252" w:lineRule="auto"/>
            </w:pPr>
            <w:r>
              <w:rPr>
                <w:rFonts w:ascii="Arial" w:hAnsi="Arial"/>
                <w:sz w:val="16"/>
              </w:rPr>
              <w:t>backend/engine/recommend.py</w:t>
            </w:r>
          </w:p>
        </w:tc>
        <w:tc>
          <w:tcPr>
            <w:tcW w:type="dxa" w:w="2232"/>
            <w:vAlign w:val="center"/>
            <w:tcMar>
              <w:top w:w="95" w:type="dxa"/>
              <w:start w:w="110" w:type="dxa"/>
              <w:bottom w:w="95" w:type="dxa"/>
              <w:end w:w="110" w:type="dxa"/>
            </w:tcMar>
            <w:shd w:fill="F4F7FA"/>
          </w:tcPr>
          <w:p>
            <w:pPr>
              <w:spacing w:after="0" w:line="252" w:lineRule="auto"/>
            </w:pPr>
            <w:r>
              <w:rPr>
                <w:rFonts w:ascii="Arial" w:hAnsi="Arial"/>
                <w:sz w:val="16"/>
              </w:rPr>
              <w:t>Primitive category, algorithm, policy target</w:t>
            </w:r>
          </w:p>
        </w:tc>
      </w:tr>
      <w:tr>
        <w:trPr>
          <w:cantSplit/>
        </w:trPr>
        <w:tc>
          <w:tcPr>
            <w:tcW w:type="dxa" w:w="1512"/>
            <w:vAlign w:val="center"/>
            <w:tcMar>
              <w:top w:w="95" w:type="dxa"/>
              <w:start w:w="110" w:type="dxa"/>
              <w:bottom w:w="95" w:type="dxa"/>
              <w:end w:w="110" w:type="dxa"/>
            </w:tcMar>
          </w:tcPr>
          <w:p>
            <w:pPr>
              <w:spacing w:after="0" w:line="252" w:lineRule="auto"/>
            </w:pPr>
            <w:r>
              <w:rPr>
                <w:rFonts w:ascii="Arial" w:hAnsi="Arial"/>
                <w:sz w:val="16"/>
              </w:rPr>
              <w:t>M7 API and orchestration</w:t>
            </w:r>
          </w:p>
        </w:tc>
        <w:tc>
          <w:tcPr>
            <w:tcW w:type="dxa" w:w="3240"/>
            <w:vAlign w:val="center"/>
            <w:tcMar>
              <w:top w:w="95" w:type="dxa"/>
              <w:start w:w="110" w:type="dxa"/>
              <w:bottom w:w="95" w:type="dxa"/>
              <w:end w:w="110" w:type="dxa"/>
            </w:tcMar>
          </w:tcPr>
          <w:p>
            <w:pPr>
              <w:spacing w:after="0" w:line="252" w:lineRule="auto"/>
            </w:pPr>
            <w:r>
              <w:rPr>
                <w:rFonts w:ascii="Arial" w:hAnsi="Arial"/>
                <w:sz w:val="16"/>
              </w:rPr>
              <w:t>Manage jobs, persistence, configuration, and API contracts.</w:t>
            </w:r>
          </w:p>
        </w:tc>
        <w:tc>
          <w:tcPr>
            <w:tcW w:type="dxa" w:w="3168"/>
            <w:vAlign w:val="center"/>
            <w:tcMar>
              <w:top w:w="95" w:type="dxa"/>
              <w:start w:w="110" w:type="dxa"/>
              <w:bottom w:w="95" w:type="dxa"/>
              <w:end w:w="110" w:type="dxa"/>
            </w:tcMar>
          </w:tcPr>
          <w:p>
            <w:pPr>
              <w:spacing w:after="0" w:line="252" w:lineRule="auto"/>
            </w:pPr>
            <w:r>
              <w:rPr>
                <w:rFonts w:ascii="Arial" w:hAnsi="Arial"/>
                <w:sz w:val="16"/>
              </w:rPr>
              <w:t>backend/api backend/engine/jobs.py backend/models</w:t>
            </w:r>
          </w:p>
        </w:tc>
        <w:tc>
          <w:tcPr>
            <w:tcW w:type="dxa" w:w="2232"/>
            <w:vAlign w:val="center"/>
            <w:tcMar>
              <w:top w:w="95" w:type="dxa"/>
              <w:start w:w="110" w:type="dxa"/>
              <w:bottom w:w="95" w:type="dxa"/>
              <w:end w:w="110" w:type="dxa"/>
            </w:tcMar>
          </w:tcPr>
          <w:p>
            <w:pPr>
              <w:spacing w:after="0" w:line="252" w:lineRule="auto"/>
            </w:pPr>
            <w:r>
              <w:rPr>
                <w:rFonts w:ascii="Arial" w:hAnsi="Arial"/>
                <w:sz w:val="16"/>
              </w:rPr>
              <w:t>FastAPI, Pydantic, SQLAlchemy</w:t>
            </w:r>
          </w:p>
        </w:tc>
      </w:tr>
      <w:tr>
        <w:trPr>
          <w:cantSplit/>
        </w:trPr>
        <w:tc>
          <w:tcPr>
            <w:tcW w:type="dxa" w:w="1512"/>
            <w:vAlign w:val="center"/>
            <w:tcMar>
              <w:top w:w="95" w:type="dxa"/>
              <w:start w:w="110" w:type="dxa"/>
              <w:bottom w:w="95" w:type="dxa"/>
              <w:end w:w="110" w:type="dxa"/>
            </w:tcMar>
            <w:shd w:fill="F4F7FA"/>
          </w:tcPr>
          <w:p>
            <w:pPr>
              <w:spacing w:after="0" w:line="252" w:lineRule="auto"/>
            </w:pPr>
            <w:r>
              <w:rPr>
                <w:rFonts w:ascii="Arial" w:hAnsi="Arial"/>
                <w:sz w:val="16"/>
              </w:rPr>
              <w:t>M8 Dashboard</w:t>
            </w:r>
          </w:p>
        </w:tc>
        <w:tc>
          <w:tcPr>
            <w:tcW w:type="dxa" w:w="3240"/>
            <w:vAlign w:val="center"/>
            <w:tcMar>
              <w:top w:w="95" w:type="dxa"/>
              <w:start w:w="110" w:type="dxa"/>
              <w:bottom w:w="95" w:type="dxa"/>
              <w:end w:w="110" w:type="dxa"/>
            </w:tcMar>
            <w:shd w:fill="F4F7FA"/>
          </w:tcPr>
          <w:p>
            <w:pPr>
              <w:spacing w:after="0" w:line="252" w:lineRule="auto"/>
            </w:pPr>
            <w:r>
              <w:rPr>
                <w:rFonts w:ascii="Arial" w:hAnsi="Arial"/>
                <w:sz w:val="16"/>
              </w:rPr>
              <w:t>Give users a practical way to start scans and interpret findings.</w:t>
            </w:r>
          </w:p>
        </w:tc>
        <w:tc>
          <w:tcPr>
            <w:tcW w:type="dxa" w:w="3168"/>
            <w:vAlign w:val="center"/>
            <w:tcMar>
              <w:top w:w="95" w:type="dxa"/>
              <w:start w:w="110" w:type="dxa"/>
              <w:bottom w:w="95" w:type="dxa"/>
              <w:end w:w="110" w:type="dxa"/>
            </w:tcMar>
            <w:shd w:fill="F4F7FA"/>
          </w:tcPr>
          <w:p>
            <w:pPr>
              <w:spacing w:after="0" w:line="252" w:lineRule="auto"/>
            </w:pPr>
            <w:r>
              <w:rPr>
                <w:rFonts w:ascii="Arial" w:hAnsi="Arial"/>
                <w:sz w:val="16"/>
              </w:rPr>
              <w:t>frontend/src</w:t>
            </w:r>
          </w:p>
        </w:tc>
        <w:tc>
          <w:tcPr>
            <w:tcW w:type="dxa" w:w="2232"/>
            <w:vAlign w:val="center"/>
            <w:tcMar>
              <w:top w:w="95" w:type="dxa"/>
              <w:start w:w="110" w:type="dxa"/>
              <w:bottom w:w="95" w:type="dxa"/>
              <w:end w:w="110" w:type="dxa"/>
            </w:tcMar>
            <w:shd w:fill="F4F7FA"/>
          </w:tcPr>
          <w:p>
            <w:pPr>
              <w:spacing w:after="0" w:line="252" w:lineRule="auto"/>
            </w:pPr>
            <w:r>
              <w:rPr>
                <w:rFonts w:ascii="Arial" w:hAnsi="Arial"/>
                <w:sz w:val="16"/>
              </w:rPr>
              <w:t>React, TypeScript, Vite, Tailwind CSS</w:t>
            </w:r>
          </w:p>
        </w:tc>
      </w:tr>
      <w:tr>
        <w:trPr>
          <w:cantSplit/>
        </w:trPr>
        <w:tc>
          <w:tcPr>
            <w:tcW w:type="dxa" w:w="1512"/>
            <w:vAlign w:val="center"/>
            <w:tcMar>
              <w:top w:w="95" w:type="dxa"/>
              <w:start w:w="110" w:type="dxa"/>
              <w:bottom w:w="95" w:type="dxa"/>
              <w:end w:w="110" w:type="dxa"/>
            </w:tcMar>
          </w:tcPr>
          <w:p>
            <w:pPr>
              <w:spacing w:after="0" w:line="252" w:lineRule="auto"/>
            </w:pPr>
            <w:r>
              <w:rPr>
                <w:rFonts w:ascii="Arial" w:hAnsi="Arial"/>
                <w:sz w:val="16"/>
              </w:rPr>
              <w:t>M9 Reporting</w:t>
            </w:r>
          </w:p>
        </w:tc>
        <w:tc>
          <w:tcPr>
            <w:tcW w:type="dxa" w:w="3240"/>
            <w:vAlign w:val="center"/>
            <w:tcMar>
              <w:top w:w="95" w:type="dxa"/>
              <w:start w:w="110" w:type="dxa"/>
              <w:bottom w:w="95" w:type="dxa"/>
              <w:end w:w="110" w:type="dxa"/>
            </w:tcMar>
          </w:tcPr>
          <w:p>
            <w:pPr>
              <w:spacing w:after="0" w:line="252" w:lineRule="auto"/>
            </w:pPr>
            <w:r>
              <w:rPr>
                <w:rFonts w:ascii="Arial" w:hAnsi="Arial"/>
                <w:sz w:val="16"/>
              </w:rPr>
              <w:t>Create portable evidence for review and downstream work.</w:t>
            </w:r>
          </w:p>
        </w:tc>
        <w:tc>
          <w:tcPr>
            <w:tcW w:type="dxa" w:w="3168"/>
            <w:vAlign w:val="center"/>
            <w:tcMar>
              <w:top w:w="95" w:type="dxa"/>
              <w:start w:w="110" w:type="dxa"/>
              <w:bottom w:w="95" w:type="dxa"/>
              <w:end w:w="110" w:type="dxa"/>
            </w:tcMar>
          </w:tcPr>
          <w:p>
            <w:pPr>
              <w:spacing w:after="0" w:line="252" w:lineRule="auto"/>
            </w:pPr>
            <w:r>
              <w:rPr>
                <w:rFonts w:ascii="Arial" w:hAnsi="Arial"/>
                <w:sz w:val="16"/>
              </w:rPr>
              <w:t>backend/api/reports.py backend/api/cbom.py</w:t>
            </w:r>
          </w:p>
        </w:tc>
        <w:tc>
          <w:tcPr>
            <w:tcW w:type="dxa" w:w="2232"/>
            <w:vAlign w:val="center"/>
            <w:tcMar>
              <w:top w:w="95" w:type="dxa"/>
              <w:start w:w="110" w:type="dxa"/>
              <w:bottom w:w="95" w:type="dxa"/>
              <w:end w:w="110" w:type="dxa"/>
            </w:tcMar>
          </w:tcPr>
          <w:p>
            <w:pPr>
              <w:spacing w:after="0" w:line="252" w:lineRule="auto"/>
            </w:pPr>
            <w:r>
              <w:rPr>
                <w:rFonts w:ascii="Arial" w:hAnsi="Arial"/>
                <w:sz w:val="16"/>
              </w:rPr>
              <w:t>ReportLab, openpyxl, stored scan data</w:t>
            </w:r>
          </w:p>
        </w:tc>
      </w:tr>
    </w:tbl>
    <w:p>
      <w:pPr>
        <w:spacing w:after="60"/>
      </w:pPr>
    </w:p>
    <w:p>
      <w:r>
        <w:t>The module numbering comes from the original design document. The current implementation keeps those responsibilities but integrates them through a single backend package and shared database.</w:t>
      </w:r>
    </w:p>
    <w:p>
      <w:pPr>
        <w:pStyle w:val="Heading1"/>
      </w:pPr>
      <w:r>
        <w:t>Data Model and Risk Logic</w:t>
      </w:r>
    </w:p>
    <w:p>
      <w:pPr>
        <w:pStyle w:val="Heading2"/>
      </w:pPr>
      <w:r>
        <w:t>Scanner Boundary</w:t>
      </w:r>
    </w:p>
    <w:p>
      <w:r>
        <w:t>Every discovery module emits RawFinding records with the source module, location, detected primitive, category, confidence, and detection tier. This contract keeps scanner logic independent from storage and user interface concerns.</w:t>
      </w:r>
    </w:p>
    <w:p>
      <w:pPr>
        <w:pStyle w:val="Heading2"/>
      </w:pPr>
      <w:r>
        <w:t>Canonical Asset</w:t>
      </w:r>
    </w:p>
    <w:p>
      <w:r>
        <w:t>The normalizer produces a canonical cryptographic asset with CycloneDX style crypto properties, occurrences, and an ECDAT enrichment section. The enrichment stores quantum vulnerability, business criticality, data classification, exposure, Mosca values, risk tier, recommendation, and reference standard.</w:t>
      </w:r>
    </w:p>
    <w:p>
      <w:pPr>
        <w:pStyle w:val="Heading2"/>
      </w:pPr>
      <w:r>
        <w:t>Risk Calculation</w:t>
      </w:r>
    </w:p>
    <w:p>
      <w:r>
        <w:t>Mosca urgency is represented by r = (X + Y) / Z. X is the required confidentiality shelf life, Y is estimated migration time, and Z is the assumed time until a relevant quantum threat. Higher ratios mean less schedule margin. The implemented tiers are Critical at r ≥ 1.2, High at r ≥ 0.9, Medium at r ≥ 0.6, and Low below 0.6. Known classically broken primitives can be escalated to Critical.</w:t>
      </w:r>
    </w:p>
    <w:p>
      <w:r>
        <w:t>A separate composite score combines quantum vulnerability, normalized urgency, business criticality, and exposure. These values are heuristics for prioritization. They require owner review and do not prove regulatory compliance.</w:t>
      </w:r>
    </w:p>
    <w:p>
      <w:pPr>
        <w:pStyle w:val="Heading1"/>
      </w:pPr>
      <w:r>
        <w:t>Technology Stack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944"/>
            <w:shd w:fill="17243B"/>
            <w:vAlign w:val="center"/>
            <w:tcMar>
              <w:top w:w="105" w:type="dxa"/>
              <w:start w:w="110" w:type="dxa"/>
              <w:bottom w:w="105" w:type="dxa"/>
              <w:end w:w="110" w:type="dxa"/>
            </w:tcMar>
          </w:tcPr>
          <w:p>
            <w:r>
              <w:rPr>
                <w:rFonts w:ascii="Arial" w:hAnsi="Arial"/>
                <w:b/>
                <w:color w:val="FFFFFF"/>
                <w:sz w:val="17"/>
              </w:rPr>
              <w:t>Layer</w:t>
            </w:r>
          </w:p>
        </w:tc>
        <w:tc>
          <w:tcPr>
            <w:tcW w:type="dxa" w:w="3312"/>
            <w:shd w:fill="17243B"/>
            <w:vAlign w:val="center"/>
            <w:tcMar>
              <w:top w:w="105" w:type="dxa"/>
              <w:start w:w="110" w:type="dxa"/>
              <w:bottom w:w="105" w:type="dxa"/>
              <w:end w:w="110" w:type="dxa"/>
            </w:tcMar>
          </w:tcPr>
          <w:p>
            <w:r>
              <w:rPr>
                <w:rFonts w:ascii="Arial" w:hAnsi="Arial"/>
                <w:b/>
                <w:color w:val="FFFFFF"/>
                <w:sz w:val="17"/>
              </w:rPr>
              <w:t>Technology</w:t>
            </w:r>
          </w:p>
        </w:tc>
        <w:tc>
          <w:tcPr>
            <w:tcW w:type="dxa" w:w="5328"/>
            <w:shd w:fill="17243B"/>
            <w:vAlign w:val="center"/>
            <w:tcMar>
              <w:top w:w="105" w:type="dxa"/>
              <w:start w:w="110" w:type="dxa"/>
              <w:bottom w:w="105" w:type="dxa"/>
              <w:end w:w="110" w:type="dxa"/>
            </w:tcMar>
          </w:tcPr>
          <w:p>
            <w:r>
              <w:rPr>
                <w:rFonts w:ascii="Arial" w:hAnsi="Arial"/>
                <w:b/>
                <w:color w:val="FFFFFF"/>
                <w:sz w:val="17"/>
              </w:rPr>
              <w:t>Purpose</w:t>
            </w:r>
          </w:p>
        </w:tc>
      </w:tr>
      <w:tr>
        <w:trPr>
          <w:cantSplit/>
        </w:trPr>
        <w:tc>
          <w:tcPr>
            <w:tcW w:type="dxa" w:w="1944"/>
            <w:vAlign w:val="center"/>
            <w:tcMar>
              <w:top w:w="95" w:type="dxa"/>
              <w:start w:w="110" w:type="dxa"/>
              <w:bottom w:w="95" w:type="dxa"/>
              <w:end w:w="110" w:type="dxa"/>
            </w:tcMar>
          </w:tcPr>
          <w:p>
            <w:pPr>
              <w:spacing w:after="0" w:line="252" w:lineRule="auto"/>
            </w:pPr>
            <w:r>
              <w:rPr>
                <w:rFonts w:ascii="Arial" w:hAnsi="Arial"/>
                <w:sz w:val="17"/>
              </w:rPr>
              <w:t>Frontend</w:t>
            </w:r>
          </w:p>
        </w:tc>
        <w:tc>
          <w:tcPr>
            <w:tcW w:type="dxa" w:w="3312"/>
            <w:vAlign w:val="center"/>
            <w:tcMar>
              <w:top w:w="95" w:type="dxa"/>
              <w:start w:w="110" w:type="dxa"/>
              <w:bottom w:w="95" w:type="dxa"/>
              <w:end w:w="110" w:type="dxa"/>
            </w:tcMar>
          </w:tcPr>
          <w:p>
            <w:pPr>
              <w:spacing w:after="0" w:line="252" w:lineRule="auto"/>
            </w:pPr>
            <w:r>
              <w:rPr>
                <w:rFonts w:ascii="Arial" w:hAnsi="Arial"/>
                <w:sz w:val="17"/>
              </w:rPr>
              <w:t>React 18 and TypeScript</w:t>
            </w:r>
          </w:p>
        </w:tc>
        <w:tc>
          <w:tcPr>
            <w:tcW w:type="dxa" w:w="5328"/>
            <w:vAlign w:val="center"/>
            <w:tcMar>
              <w:top w:w="95" w:type="dxa"/>
              <w:start w:w="110" w:type="dxa"/>
              <w:bottom w:w="95" w:type="dxa"/>
              <w:end w:w="110" w:type="dxa"/>
            </w:tcMar>
          </w:tcPr>
          <w:p>
            <w:pPr>
              <w:spacing w:after="0" w:line="252" w:lineRule="auto"/>
            </w:pPr>
            <w:r>
              <w:rPr>
                <w:rFonts w:ascii="Arial" w:hAnsi="Arial"/>
                <w:sz w:val="17"/>
              </w:rPr>
              <w:t>Component based interface and typed API mapping</w:t>
            </w:r>
          </w:p>
        </w:tc>
      </w:tr>
      <w:tr>
        <w:trPr>
          <w:cantSplit/>
        </w:trPr>
        <w:tc>
          <w:tcPr>
            <w:tcW w:type="dxa" w:w="1944"/>
            <w:vAlign w:val="center"/>
            <w:tcMar>
              <w:top w:w="95" w:type="dxa"/>
              <w:start w:w="110" w:type="dxa"/>
              <w:bottom w:w="95" w:type="dxa"/>
              <w:end w:w="110" w:type="dxa"/>
            </w:tcMar>
            <w:shd w:fill="F4F7FA"/>
          </w:tcPr>
          <w:p>
            <w:pPr>
              <w:spacing w:after="0" w:line="252" w:lineRule="auto"/>
            </w:pPr>
            <w:r>
              <w:rPr>
                <w:rFonts w:ascii="Arial" w:hAnsi="Arial"/>
                <w:sz w:val="17"/>
              </w:rPr>
              <w:t>Frontend build</w:t>
            </w:r>
          </w:p>
        </w:tc>
        <w:tc>
          <w:tcPr>
            <w:tcW w:type="dxa" w:w="3312"/>
            <w:vAlign w:val="center"/>
            <w:tcMar>
              <w:top w:w="95" w:type="dxa"/>
              <w:start w:w="110" w:type="dxa"/>
              <w:bottom w:w="95" w:type="dxa"/>
              <w:end w:w="110" w:type="dxa"/>
            </w:tcMar>
            <w:shd w:fill="F4F7FA"/>
          </w:tcPr>
          <w:p>
            <w:pPr>
              <w:spacing w:after="0" w:line="252" w:lineRule="auto"/>
            </w:pPr>
            <w:r>
              <w:rPr>
                <w:rFonts w:ascii="Arial" w:hAnsi="Arial"/>
                <w:sz w:val="17"/>
              </w:rPr>
              <w:t>Vite 6 and Tailwind CSS 3</w:t>
            </w:r>
          </w:p>
        </w:tc>
        <w:tc>
          <w:tcPr>
            <w:tcW w:type="dxa" w:w="5328"/>
            <w:vAlign w:val="center"/>
            <w:tcMar>
              <w:top w:w="95" w:type="dxa"/>
              <w:start w:w="110" w:type="dxa"/>
              <w:bottom w:w="95" w:type="dxa"/>
              <w:end w:w="110" w:type="dxa"/>
            </w:tcMar>
            <w:shd w:fill="F4F7FA"/>
          </w:tcPr>
          <w:p>
            <w:pPr>
              <w:spacing w:after="0" w:line="252" w:lineRule="auto"/>
            </w:pPr>
            <w:r>
              <w:rPr>
                <w:rFonts w:ascii="Arial" w:hAnsi="Arial"/>
                <w:sz w:val="17"/>
              </w:rPr>
              <w:t>Development proxy, production bundle, and responsive styling</w:t>
            </w:r>
          </w:p>
        </w:tc>
      </w:tr>
      <w:tr>
        <w:trPr>
          <w:cantSplit/>
        </w:trPr>
        <w:tc>
          <w:tcPr>
            <w:tcW w:type="dxa" w:w="1944"/>
            <w:vAlign w:val="center"/>
            <w:tcMar>
              <w:top w:w="95" w:type="dxa"/>
              <w:start w:w="110" w:type="dxa"/>
              <w:bottom w:w="95" w:type="dxa"/>
              <w:end w:w="110" w:type="dxa"/>
            </w:tcMar>
          </w:tcPr>
          <w:p>
            <w:pPr>
              <w:spacing w:after="0" w:line="252" w:lineRule="auto"/>
            </w:pPr>
            <w:r>
              <w:rPr>
                <w:rFonts w:ascii="Arial" w:hAnsi="Arial"/>
                <w:sz w:val="17"/>
              </w:rPr>
              <w:t>API</w:t>
            </w:r>
          </w:p>
        </w:tc>
        <w:tc>
          <w:tcPr>
            <w:tcW w:type="dxa" w:w="3312"/>
            <w:vAlign w:val="center"/>
            <w:tcMar>
              <w:top w:w="95" w:type="dxa"/>
              <w:start w:w="110" w:type="dxa"/>
              <w:bottom w:w="95" w:type="dxa"/>
              <w:end w:w="110" w:type="dxa"/>
            </w:tcMar>
          </w:tcPr>
          <w:p>
            <w:pPr>
              <w:spacing w:after="0" w:line="252" w:lineRule="auto"/>
            </w:pPr>
            <w:r>
              <w:rPr>
                <w:rFonts w:ascii="Arial" w:hAnsi="Arial"/>
                <w:sz w:val="17"/>
              </w:rPr>
              <w:t>FastAPI and Uvicorn</w:t>
            </w:r>
          </w:p>
        </w:tc>
        <w:tc>
          <w:tcPr>
            <w:tcW w:type="dxa" w:w="5328"/>
            <w:vAlign w:val="center"/>
            <w:tcMar>
              <w:top w:w="95" w:type="dxa"/>
              <w:start w:w="110" w:type="dxa"/>
              <w:bottom w:w="95" w:type="dxa"/>
              <w:end w:w="110" w:type="dxa"/>
            </w:tcMar>
          </w:tcPr>
          <w:p>
            <w:pPr>
              <w:spacing w:after="0" w:line="252" w:lineRule="auto"/>
            </w:pPr>
            <w:r>
              <w:rPr>
                <w:rFonts w:ascii="Arial" w:hAnsi="Arial"/>
                <w:sz w:val="17"/>
              </w:rPr>
              <w:t>REST endpoints, validation, polling, and OpenAPI documentation</w:t>
            </w:r>
          </w:p>
        </w:tc>
      </w:tr>
      <w:tr>
        <w:trPr>
          <w:cantSplit/>
        </w:trPr>
        <w:tc>
          <w:tcPr>
            <w:tcW w:type="dxa" w:w="1944"/>
            <w:vAlign w:val="center"/>
            <w:tcMar>
              <w:top w:w="95" w:type="dxa"/>
              <w:start w:w="110" w:type="dxa"/>
              <w:bottom w:w="95" w:type="dxa"/>
              <w:end w:w="110" w:type="dxa"/>
            </w:tcMar>
            <w:shd w:fill="F4F7FA"/>
          </w:tcPr>
          <w:p>
            <w:pPr>
              <w:spacing w:after="0" w:line="252" w:lineRule="auto"/>
            </w:pPr>
            <w:r>
              <w:rPr>
                <w:rFonts w:ascii="Arial" w:hAnsi="Arial"/>
                <w:sz w:val="17"/>
              </w:rPr>
              <w:t>Contracts</w:t>
            </w:r>
          </w:p>
        </w:tc>
        <w:tc>
          <w:tcPr>
            <w:tcW w:type="dxa" w:w="3312"/>
            <w:vAlign w:val="center"/>
            <w:tcMar>
              <w:top w:w="95" w:type="dxa"/>
              <w:start w:w="110" w:type="dxa"/>
              <w:bottom w:w="95" w:type="dxa"/>
              <w:end w:w="110" w:type="dxa"/>
            </w:tcMar>
            <w:shd w:fill="F4F7FA"/>
          </w:tcPr>
          <w:p>
            <w:pPr>
              <w:spacing w:after="0" w:line="252" w:lineRule="auto"/>
            </w:pPr>
            <w:r>
              <w:rPr>
                <w:rFonts w:ascii="Arial" w:hAnsi="Arial"/>
                <w:sz w:val="17"/>
              </w:rPr>
              <w:t>Pydantic 2</w:t>
            </w:r>
          </w:p>
        </w:tc>
        <w:tc>
          <w:tcPr>
            <w:tcW w:type="dxa" w:w="5328"/>
            <w:vAlign w:val="center"/>
            <w:tcMar>
              <w:top w:w="95" w:type="dxa"/>
              <w:start w:w="110" w:type="dxa"/>
              <w:bottom w:w="95" w:type="dxa"/>
              <w:end w:w="110" w:type="dxa"/>
            </w:tcMar>
            <w:shd w:fill="F4F7FA"/>
          </w:tcPr>
          <w:p>
            <w:pPr>
              <w:spacing w:after="0" w:line="252" w:lineRule="auto"/>
            </w:pPr>
            <w:r>
              <w:rPr>
                <w:rFonts w:ascii="Arial" w:hAnsi="Arial"/>
                <w:sz w:val="17"/>
              </w:rPr>
              <w:t>Request, response, finding, and CBOM model validation</w:t>
            </w:r>
          </w:p>
        </w:tc>
      </w:tr>
      <w:tr>
        <w:trPr>
          <w:cantSplit/>
        </w:trPr>
        <w:tc>
          <w:tcPr>
            <w:tcW w:type="dxa" w:w="1944"/>
            <w:vAlign w:val="center"/>
            <w:tcMar>
              <w:top w:w="95" w:type="dxa"/>
              <w:start w:w="110" w:type="dxa"/>
              <w:bottom w:w="95" w:type="dxa"/>
              <w:end w:w="110" w:type="dxa"/>
            </w:tcMar>
          </w:tcPr>
          <w:p>
            <w:pPr>
              <w:spacing w:after="0" w:line="252" w:lineRule="auto"/>
            </w:pPr>
            <w:r>
              <w:rPr>
                <w:rFonts w:ascii="Arial" w:hAnsi="Arial"/>
                <w:sz w:val="17"/>
              </w:rPr>
              <w:t>Persistence</w:t>
            </w:r>
          </w:p>
        </w:tc>
        <w:tc>
          <w:tcPr>
            <w:tcW w:type="dxa" w:w="3312"/>
            <w:vAlign w:val="center"/>
            <w:tcMar>
              <w:top w:w="95" w:type="dxa"/>
              <w:start w:w="110" w:type="dxa"/>
              <w:bottom w:w="95" w:type="dxa"/>
              <w:end w:w="110" w:type="dxa"/>
            </w:tcMar>
          </w:tcPr>
          <w:p>
            <w:pPr>
              <w:spacing w:after="0" w:line="252" w:lineRule="auto"/>
            </w:pPr>
            <w:r>
              <w:rPr>
                <w:rFonts w:ascii="Arial" w:hAnsi="Arial"/>
                <w:sz w:val="17"/>
              </w:rPr>
              <w:t>SQLAlchemy 2 with SQLite default</w:t>
            </w:r>
          </w:p>
        </w:tc>
        <w:tc>
          <w:tcPr>
            <w:tcW w:type="dxa" w:w="5328"/>
            <w:vAlign w:val="center"/>
            <w:tcMar>
              <w:top w:w="95" w:type="dxa"/>
              <w:start w:w="110" w:type="dxa"/>
              <w:bottom w:w="95" w:type="dxa"/>
              <w:end w:w="110" w:type="dxa"/>
            </w:tcMar>
          </w:tcPr>
          <w:p>
            <w:pPr>
              <w:spacing w:after="0" w:line="252" w:lineRule="auto"/>
            </w:pPr>
            <w:r>
              <w:rPr>
                <w:rFonts w:ascii="Arial" w:hAnsi="Arial"/>
                <w:sz w:val="17"/>
              </w:rPr>
              <w:t>Scans, assets, recommendations, jobs, and threat configuration</w:t>
            </w:r>
          </w:p>
        </w:tc>
      </w:tr>
      <w:tr>
        <w:trPr>
          <w:cantSplit/>
        </w:trPr>
        <w:tc>
          <w:tcPr>
            <w:tcW w:type="dxa" w:w="1944"/>
            <w:vAlign w:val="center"/>
            <w:tcMar>
              <w:top w:w="95" w:type="dxa"/>
              <w:start w:w="110" w:type="dxa"/>
              <w:bottom w:w="95" w:type="dxa"/>
              <w:end w:w="110" w:type="dxa"/>
            </w:tcMar>
            <w:shd w:fill="F4F7FA"/>
          </w:tcPr>
          <w:p>
            <w:pPr>
              <w:spacing w:after="0" w:line="252" w:lineRule="auto"/>
            </w:pPr>
            <w:r>
              <w:rPr>
                <w:rFonts w:ascii="Arial" w:hAnsi="Arial"/>
                <w:sz w:val="17"/>
              </w:rPr>
              <w:t>Discovery</w:t>
            </w:r>
          </w:p>
        </w:tc>
        <w:tc>
          <w:tcPr>
            <w:tcW w:type="dxa" w:w="3312"/>
            <w:vAlign w:val="center"/>
            <w:tcMar>
              <w:top w:w="95" w:type="dxa"/>
              <w:start w:w="110" w:type="dxa"/>
              <w:bottom w:w="95" w:type="dxa"/>
              <w:end w:w="110" w:type="dxa"/>
            </w:tcMar>
            <w:shd w:fill="F4F7FA"/>
          </w:tcPr>
          <w:p>
            <w:pPr>
              <w:spacing w:after="0" w:line="252" w:lineRule="auto"/>
            </w:pPr>
            <w:r>
              <w:rPr>
                <w:rFonts w:ascii="Arial" w:hAnsi="Arial"/>
                <w:sz w:val="17"/>
              </w:rPr>
              <w:t>Tree sitter, cryptography, PyYAML, packaging</w:t>
            </w:r>
          </w:p>
        </w:tc>
        <w:tc>
          <w:tcPr>
            <w:tcW w:type="dxa" w:w="5328"/>
            <w:vAlign w:val="center"/>
            <w:tcMar>
              <w:top w:w="95" w:type="dxa"/>
              <w:start w:w="110" w:type="dxa"/>
              <w:bottom w:w="95" w:type="dxa"/>
              <w:end w:w="110" w:type="dxa"/>
            </w:tcMar>
            <w:shd w:fill="F4F7FA"/>
          </w:tcPr>
          <w:p>
            <w:pPr>
              <w:spacing w:after="0" w:line="252" w:lineRule="auto"/>
            </w:pPr>
            <w:r>
              <w:rPr>
                <w:rFonts w:ascii="Arial" w:hAnsi="Arial"/>
                <w:sz w:val="17"/>
              </w:rPr>
              <w:t>AST inspection, X509 parsing, configuration and package analysis</w:t>
            </w:r>
          </w:p>
        </w:tc>
      </w:tr>
      <w:tr>
        <w:trPr>
          <w:cantSplit/>
        </w:trPr>
        <w:tc>
          <w:tcPr>
            <w:tcW w:type="dxa" w:w="1944"/>
            <w:vAlign w:val="center"/>
            <w:tcMar>
              <w:top w:w="95" w:type="dxa"/>
              <w:start w:w="110" w:type="dxa"/>
              <w:bottom w:w="95" w:type="dxa"/>
              <w:end w:w="110" w:type="dxa"/>
            </w:tcMar>
          </w:tcPr>
          <w:p>
            <w:pPr>
              <w:spacing w:after="0" w:line="252" w:lineRule="auto"/>
            </w:pPr>
            <w:r>
              <w:rPr>
                <w:rFonts w:ascii="Arial" w:hAnsi="Arial"/>
                <w:sz w:val="17"/>
              </w:rPr>
              <w:t>Reporting</w:t>
            </w:r>
          </w:p>
        </w:tc>
        <w:tc>
          <w:tcPr>
            <w:tcW w:type="dxa" w:w="3312"/>
            <w:vAlign w:val="center"/>
            <w:tcMar>
              <w:top w:w="95" w:type="dxa"/>
              <w:start w:w="110" w:type="dxa"/>
              <w:bottom w:w="95" w:type="dxa"/>
              <w:end w:w="110" w:type="dxa"/>
            </w:tcMar>
          </w:tcPr>
          <w:p>
            <w:pPr>
              <w:spacing w:after="0" w:line="252" w:lineRule="auto"/>
            </w:pPr>
            <w:r>
              <w:rPr>
                <w:rFonts w:ascii="Arial" w:hAnsi="Arial"/>
                <w:sz w:val="17"/>
              </w:rPr>
              <w:t>ReportLab and openpyxl</w:t>
            </w:r>
          </w:p>
        </w:tc>
        <w:tc>
          <w:tcPr>
            <w:tcW w:type="dxa" w:w="5328"/>
            <w:vAlign w:val="center"/>
            <w:tcMar>
              <w:top w:w="95" w:type="dxa"/>
              <w:start w:w="110" w:type="dxa"/>
              <w:bottom w:w="95" w:type="dxa"/>
              <w:end w:w="110" w:type="dxa"/>
            </w:tcMar>
          </w:tcPr>
          <w:p>
            <w:pPr>
              <w:spacing w:after="0" w:line="252" w:lineRule="auto"/>
            </w:pPr>
            <w:r>
              <w:rPr>
                <w:rFonts w:ascii="Arial" w:hAnsi="Arial"/>
                <w:sz w:val="17"/>
              </w:rPr>
              <w:t>PDF and spreadsheet generation</w:t>
            </w:r>
          </w:p>
        </w:tc>
      </w:tr>
      <w:tr>
        <w:trPr>
          <w:cantSplit/>
        </w:trPr>
        <w:tc>
          <w:tcPr>
            <w:tcW w:type="dxa" w:w="1944"/>
            <w:vAlign w:val="center"/>
            <w:tcMar>
              <w:top w:w="95" w:type="dxa"/>
              <w:start w:w="110" w:type="dxa"/>
              <w:bottom w:w="95" w:type="dxa"/>
              <w:end w:w="110" w:type="dxa"/>
            </w:tcMar>
            <w:shd w:fill="F4F7FA"/>
          </w:tcPr>
          <w:p>
            <w:pPr>
              <w:spacing w:after="0" w:line="252" w:lineRule="auto"/>
            </w:pPr>
            <w:r>
              <w:rPr>
                <w:rFonts w:ascii="Arial" w:hAnsi="Arial"/>
                <w:sz w:val="17"/>
              </w:rPr>
              <w:t>Verification</w:t>
            </w:r>
          </w:p>
        </w:tc>
        <w:tc>
          <w:tcPr>
            <w:tcW w:type="dxa" w:w="3312"/>
            <w:vAlign w:val="center"/>
            <w:tcMar>
              <w:top w:w="95" w:type="dxa"/>
              <w:start w:w="110" w:type="dxa"/>
              <w:bottom w:w="95" w:type="dxa"/>
              <w:end w:w="110" w:type="dxa"/>
            </w:tcMar>
            <w:shd w:fill="F4F7FA"/>
          </w:tcPr>
          <w:p>
            <w:pPr>
              <w:spacing w:after="0" w:line="252" w:lineRule="auto"/>
            </w:pPr>
            <w:r>
              <w:rPr>
                <w:rFonts w:ascii="Arial" w:hAnsi="Arial"/>
                <w:sz w:val="17"/>
              </w:rPr>
              <w:t>pytest and Vitest</w:t>
            </w:r>
          </w:p>
        </w:tc>
        <w:tc>
          <w:tcPr>
            <w:tcW w:type="dxa" w:w="5328"/>
            <w:vAlign w:val="center"/>
            <w:tcMar>
              <w:top w:w="95" w:type="dxa"/>
              <w:start w:w="110" w:type="dxa"/>
              <w:bottom w:w="95" w:type="dxa"/>
              <w:end w:w="110" w:type="dxa"/>
            </w:tcMar>
            <w:shd w:fill="F4F7FA"/>
          </w:tcPr>
          <w:p>
            <w:pPr>
              <w:spacing w:after="0" w:line="252" w:lineRule="auto"/>
            </w:pPr>
            <w:r>
              <w:rPr>
                <w:rFonts w:ascii="Arial" w:hAnsi="Arial"/>
                <w:sz w:val="17"/>
              </w:rPr>
              <w:t>Backend, scanner, integration, and frontend behavior tests</w:t>
            </w:r>
          </w:p>
        </w:tc>
      </w:tr>
    </w:tbl>
    <w:p>
      <w:pPr>
        <w:spacing w:after="60"/>
      </w:pPr>
    </w:p>
    <w:p>
      <w:pPr>
        <w:pStyle w:val="Heading1"/>
      </w:pPr>
      <w:r>
        <w:t>Key Dependencies Between Layers</w:t>
      </w:r>
    </w:p>
    <w:p>
      <w:pPr>
        <w:pStyle w:val="ListBullet"/>
        <w:spacing w:after="60"/>
      </w:pPr>
      <w:r>
        <w:t>M1, M2, and M3 depend only on scanner rules and the RawFinding model; they do not depend on the frontend.</w:t>
      </w:r>
    </w:p>
    <w:p>
      <w:pPr>
        <w:pStyle w:val="ListBullet"/>
        <w:spacing w:after="60"/>
      </w:pPr>
      <w:r>
        <w:t>M4, M5, and M6 depend on the shared Pydantic contracts and configuration values.</w:t>
      </w:r>
    </w:p>
    <w:p>
      <w:pPr>
        <w:pStyle w:val="ListBullet"/>
        <w:spacing w:after="60"/>
      </w:pPr>
      <w:r>
        <w:t>The orchestrator depends on all scanner and analysis modules, then writes through SQLAlchemy.</w:t>
      </w:r>
    </w:p>
    <w:p>
      <w:pPr>
        <w:pStyle w:val="ListBullet"/>
        <w:spacing w:after="60"/>
      </w:pPr>
      <w:r>
        <w:t>REST routes depend on database sessions and schemas; the worker owns background execution.</w:t>
      </w:r>
    </w:p>
    <w:p>
      <w:pPr>
        <w:pStyle w:val="ListBullet"/>
        <w:spacing w:after="60"/>
      </w:pPr>
      <w:r>
        <w:t>The frontend depends only on HTTP contracts and can be deployed separately when the /api proxy behavior is preserved.</w:t>
      </w:r>
    </w:p>
    <w:p>
      <w:pPr>
        <w:pStyle w:val="ListBullet"/>
        <w:spacing w:after="60"/>
      </w:pPr>
      <w:r>
        <w:t>Reports depend on completed stored scans, so exploratory heatmap changes do not silently alter exported evidence.</w:t>
      </w:r>
    </w:p>
    <w:p>
      <w:pPr>
        <w:pStyle w:val="Heading1"/>
      </w:pPr>
      <w:r>
        <w:t>API Surface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3888"/>
            <w:shd w:fill="17243B"/>
            <w:vAlign w:val="center"/>
            <w:tcMar>
              <w:top w:w="105" w:type="dxa"/>
              <w:start w:w="110" w:type="dxa"/>
              <w:bottom w:w="105" w:type="dxa"/>
              <w:end w:w="110" w:type="dxa"/>
            </w:tcMar>
          </w:tcPr>
          <w:p>
            <w:r>
              <w:rPr>
                <w:rFonts w:ascii="Arial" w:hAnsi="Arial"/>
                <w:b/>
                <w:color w:val="FFFFFF"/>
                <w:sz w:val="17"/>
              </w:rPr>
              <w:t>Endpoint group</w:t>
            </w:r>
          </w:p>
        </w:tc>
        <w:tc>
          <w:tcPr>
            <w:tcW w:type="dxa" w:w="6264"/>
            <w:shd w:fill="17243B"/>
            <w:vAlign w:val="center"/>
            <w:tcMar>
              <w:top w:w="105" w:type="dxa"/>
              <w:start w:w="110" w:type="dxa"/>
              <w:bottom w:w="105" w:type="dxa"/>
              <w:end w:w="110" w:type="dxa"/>
            </w:tcMar>
          </w:tcPr>
          <w:p>
            <w:r>
              <w:rPr>
                <w:rFonts w:ascii="Arial" w:hAnsi="Arial"/>
                <w:b/>
                <w:color w:val="FFFFFF"/>
                <w:sz w:val="17"/>
              </w:rPr>
              <w:t>Purpose</w:t>
            </w:r>
          </w:p>
        </w:tc>
      </w:tr>
      <w:tr>
        <w:trPr>
          <w:cantSplit/>
        </w:trPr>
        <w:tc>
          <w:tcPr>
            <w:tcW w:type="dxa" w:w="3888"/>
            <w:vAlign w:val="center"/>
            <w:tcMar>
              <w:top w:w="95" w:type="dxa"/>
              <w:start w:w="110" w:type="dxa"/>
              <w:bottom w:w="95" w:type="dxa"/>
              <w:end w:w="110" w:type="dxa"/>
            </w:tcMar>
          </w:tcPr>
          <w:p>
            <w:pPr>
              <w:spacing w:after="0" w:line="252" w:lineRule="auto"/>
            </w:pPr>
            <w:r>
              <w:rPr>
                <w:rFonts w:ascii="Arial" w:hAnsi="Arial"/>
                <w:sz w:val="17"/>
              </w:rPr>
              <w:t>POST /scans</w:t>
            </w:r>
          </w:p>
        </w:tc>
        <w:tc>
          <w:tcPr>
            <w:tcW w:type="dxa" w:w="6264"/>
            <w:vAlign w:val="center"/>
            <w:tcMar>
              <w:top w:w="95" w:type="dxa"/>
              <w:start w:w="110" w:type="dxa"/>
              <w:bottom w:w="95" w:type="dxa"/>
              <w:end w:w="110" w:type="dxa"/>
            </w:tcMar>
          </w:tcPr>
          <w:p>
            <w:pPr>
              <w:spacing w:after="0" w:line="252" w:lineRule="auto"/>
            </w:pPr>
            <w:r>
              <w:rPr>
                <w:rFonts w:ascii="Arial" w:hAnsi="Arial"/>
                <w:sz w:val="17"/>
              </w:rPr>
              <w:t>Validate a path, Git URL, or image target and create a queued scan</w:t>
            </w:r>
          </w:p>
        </w:tc>
      </w:tr>
      <w:tr>
        <w:trPr>
          <w:cantSplit/>
        </w:trPr>
        <w:tc>
          <w:tcPr>
            <w:tcW w:type="dxa" w:w="3888"/>
            <w:vAlign w:val="center"/>
            <w:tcMar>
              <w:top w:w="95" w:type="dxa"/>
              <w:start w:w="110" w:type="dxa"/>
              <w:bottom w:w="95" w:type="dxa"/>
              <w:end w:w="110" w:type="dxa"/>
            </w:tcMar>
            <w:shd w:fill="F4F7FA"/>
          </w:tcPr>
          <w:p>
            <w:pPr>
              <w:spacing w:after="0" w:line="252" w:lineRule="auto"/>
            </w:pPr>
            <w:r>
              <w:rPr>
                <w:rFonts w:ascii="Arial" w:hAnsi="Arial"/>
                <w:sz w:val="17"/>
              </w:rPr>
              <w:t>POST /scans/upload</w:t>
            </w:r>
          </w:p>
        </w:tc>
        <w:tc>
          <w:tcPr>
            <w:tcW w:type="dxa" w:w="6264"/>
            <w:vAlign w:val="center"/>
            <w:tcMar>
              <w:top w:w="95" w:type="dxa"/>
              <w:start w:w="110" w:type="dxa"/>
              <w:bottom w:w="95" w:type="dxa"/>
              <w:end w:w="110" w:type="dxa"/>
            </w:tcMar>
            <w:shd w:fill="F4F7FA"/>
          </w:tcPr>
          <w:p>
            <w:pPr>
              <w:spacing w:after="0" w:line="252" w:lineRule="auto"/>
            </w:pPr>
            <w:r>
              <w:rPr>
                <w:rFonts w:ascii="Arial" w:hAnsi="Arial"/>
                <w:sz w:val="17"/>
              </w:rPr>
              <w:t>Upload a file, ZIP, or image inventory and create a queued scan</w:t>
            </w:r>
          </w:p>
        </w:tc>
      </w:tr>
      <w:tr>
        <w:trPr>
          <w:cantSplit/>
        </w:trPr>
        <w:tc>
          <w:tcPr>
            <w:tcW w:type="dxa" w:w="3888"/>
            <w:vAlign w:val="center"/>
            <w:tcMar>
              <w:top w:w="95" w:type="dxa"/>
              <w:start w:w="110" w:type="dxa"/>
              <w:bottom w:w="95" w:type="dxa"/>
              <w:end w:w="110" w:type="dxa"/>
            </w:tcMar>
          </w:tcPr>
          <w:p>
            <w:pPr>
              <w:spacing w:after="0" w:line="252" w:lineRule="auto"/>
            </w:pPr>
            <w:r>
              <w:rPr>
                <w:rFonts w:ascii="Arial" w:hAnsi="Arial"/>
                <w:sz w:val="17"/>
              </w:rPr>
              <w:t>GET /scans and GET /scans/{id}</w:t>
            </w:r>
          </w:p>
        </w:tc>
        <w:tc>
          <w:tcPr>
            <w:tcW w:type="dxa" w:w="6264"/>
            <w:vAlign w:val="center"/>
            <w:tcMar>
              <w:top w:w="95" w:type="dxa"/>
              <w:start w:w="110" w:type="dxa"/>
              <w:bottom w:w="95" w:type="dxa"/>
              <w:end w:w="110" w:type="dxa"/>
            </w:tcMar>
          </w:tcPr>
          <w:p>
            <w:pPr>
              <w:spacing w:after="0" w:line="252" w:lineRule="auto"/>
            </w:pPr>
            <w:r>
              <w:rPr>
                <w:rFonts w:ascii="Arial" w:hAnsi="Arial"/>
                <w:sz w:val="17"/>
              </w:rPr>
              <w:t>List history and poll lifecycle state</w:t>
            </w:r>
          </w:p>
        </w:tc>
      </w:tr>
      <w:tr>
        <w:trPr>
          <w:cantSplit/>
        </w:trPr>
        <w:tc>
          <w:tcPr>
            <w:tcW w:type="dxa" w:w="3888"/>
            <w:vAlign w:val="center"/>
            <w:tcMar>
              <w:top w:w="95" w:type="dxa"/>
              <w:start w:w="110" w:type="dxa"/>
              <w:bottom w:w="95" w:type="dxa"/>
              <w:end w:w="110" w:type="dxa"/>
            </w:tcMar>
            <w:shd w:fill="F4F7FA"/>
          </w:tcPr>
          <w:p>
            <w:pPr>
              <w:spacing w:after="0" w:line="252" w:lineRule="auto"/>
            </w:pPr>
            <w:r>
              <w:rPr>
                <w:rFonts w:ascii="Arial" w:hAnsi="Arial"/>
                <w:sz w:val="17"/>
              </w:rPr>
              <w:t>GET /assets and GET /assets/{id}</w:t>
            </w:r>
          </w:p>
        </w:tc>
        <w:tc>
          <w:tcPr>
            <w:tcW w:type="dxa" w:w="6264"/>
            <w:vAlign w:val="center"/>
            <w:tcMar>
              <w:top w:w="95" w:type="dxa"/>
              <w:start w:w="110" w:type="dxa"/>
              <w:bottom w:w="95" w:type="dxa"/>
              <w:end w:w="110" w:type="dxa"/>
            </w:tcMar>
            <w:shd w:fill="F4F7FA"/>
          </w:tcPr>
          <w:p>
            <w:pPr>
              <w:spacing w:after="0" w:line="252" w:lineRule="auto"/>
            </w:pPr>
            <w:r>
              <w:rPr>
                <w:rFonts w:ascii="Arial" w:hAnsi="Arial"/>
                <w:sz w:val="17"/>
              </w:rPr>
              <w:t>Read paginated inventory, filters, dynamic Z results, and asset detail</w:t>
            </w:r>
          </w:p>
        </w:tc>
      </w:tr>
      <w:tr>
        <w:trPr>
          <w:cantSplit/>
        </w:trPr>
        <w:tc>
          <w:tcPr>
            <w:tcW w:type="dxa" w:w="3888"/>
            <w:vAlign w:val="center"/>
            <w:tcMar>
              <w:top w:w="95" w:type="dxa"/>
              <w:start w:w="110" w:type="dxa"/>
              <w:bottom w:w="95" w:type="dxa"/>
              <w:end w:w="110" w:type="dxa"/>
            </w:tcMar>
          </w:tcPr>
          <w:p>
            <w:pPr>
              <w:spacing w:after="0" w:line="252" w:lineRule="auto"/>
            </w:pPr>
            <w:r>
              <w:rPr>
                <w:rFonts w:ascii="Arial" w:hAnsi="Arial"/>
                <w:sz w:val="17"/>
              </w:rPr>
              <w:t>GET /cbom/{scan_id}</w:t>
            </w:r>
          </w:p>
        </w:tc>
        <w:tc>
          <w:tcPr>
            <w:tcW w:type="dxa" w:w="6264"/>
            <w:vAlign w:val="center"/>
            <w:tcMar>
              <w:top w:w="95" w:type="dxa"/>
              <w:start w:w="110" w:type="dxa"/>
              <w:bottom w:w="95" w:type="dxa"/>
              <w:end w:w="110" w:type="dxa"/>
            </w:tcMar>
          </w:tcPr>
          <w:p>
            <w:pPr>
              <w:spacing w:after="0" w:line="252" w:lineRule="auto"/>
            </w:pPr>
            <w:r>
              <w:rPr>
                <w:rFonts w:ascii="Arial" w:hAnsi="Arial"/>
                <w:sz w:val="17"/>
              </w:rPr>
              <w:t>Download the completed CycloneDX aligned CBOM JSON</w:t>
            </w:r>
          </w:p>
        </w:tc>
      </w:tr>
      <w:tr>
        <w:trPr>
          <w:cantSplit/>
        </w:trPr>
        <w:tc>
          <w:tcPr>
            <w:tcW w:type="dxa" w:w="3888"/>
            <w:vAlign w:val="center"/>
            <w:tcMar>
              <w:top w:w="95" w:type="dxa"/>
              <w:start w:w="110" w:type="dxa"/>
              <w:bottom w:w="95" w:type="dxa"/>
              <w:end w:w="110" w:type="dxa"/>
            </w:tcMar>
            <w:shd w:fill="F4F7FA"/>
          </w:tcPr>
          <w:p>
            <w:pPr>
              <w:spacing w:after="0" w:line="252" w:lineRule="auto"/>
            </w:pPr>
            <w:r>
              <w:rPr>
                <w:rFonts w:ascii="Arial" w:hAnsi="Arial"/>
                <w:sz w:val="17"/>
              </w:rPr>
              <w:t>GET /reports/{scan_id}</w:t>
            </w:r>
          </w:p>
        </w:tc>
        <w:tc>
          <w:tcPr>
            <w:tcW w:type="dxa" w:w="6264"/>
            <w:vAlign w:val="center"/>
            <w:tcMar>
              <w:top w:w="95" w:type="dxa"/>
              <w:start w:w="110" w:type="dxa"/>
              <w:bottom w:w="95" w:type="dxa"/>
              <w:end w:w="110" w:type="dxa"/>
            </w:tcMar>
            <w:shd w:fill="F4F7FA"/>
          </w:tcPr>
          <w:p>
            <w:pPr>
              <w:spacing w:after="0" w:line="252" w:lineRule="auto"/>
            </w:pPr>
            <w:r>
              <w:rPr>
                <w:rFonts w:ascii="Arial" w:hAnsi="Arial"/>
                <w:sz w:val="17"/>
              </w:rPr>
              <w:t>Download PDF, CSV, XLSX, or JSON reports</w:t>
            </w:r>
          </w:p>
        </w:tc>
      </w:tr>
      <w:tr>
        <w:trPr>
          <w:cantSplit/>
        </w:trPr>
        <w:tc>
          <w:tcPr>
            <w:tcW w:type="dxa" w:w="3888"/>
            <w:vAlign w:val="center"/>
            <w:tcMar>
              <w:top w:w="95" w:type="dxa"/>
              <w:start w:w="110" w:type="dxa"/>
              <w:bottom w:w="95" w:type="dxa"/>
              <w:end w:w="110" w:type="dxa"/>
            </w:tcMar>
          </w:tcPr>
          <w:p>
            <w:pPr>
              <w:spacing w:after="0" w:line="252" w:lineRule="auto"/>
            </w:pPr>
            <w:r>
              <w:rPr>
                <w:rFonts w:ascii="Arial" w:hAnsi="Arial"/>
                <w:sz w:val="17"/>
              </w:rPr>
              <w:t>GET and PATCH /config/threat-model</w:t>
            </w:r>
          </w:p>
        </w:tc>
        <w:tc>
          <w:tcPr>
            <w:tcW w:type="dxa" w:w="6264"/>
            <w:vAlign w:val="center"/>
            <w:tcMar>
              <w:top w:w="95" w:type="dxa"/>
              <w:start w:w="110" w:type="dxa"/>
              <w:bottom w:w="95" w:type="dxa"/>
              <w:end w:w="110" w:type="dxa"/>
            </w:tcMar>
          </w:tcPr>
          <w:p>
            <w:pPr>
              <w:spacing w:after="0" w:line="252" w:lineRule="auto"/>
            </w:pPr>
            <w:r>
              <w:rPr>
                <w:rFonts w:ascii="Arial" w:hAnsi="Arial"/>
                <w:sz w:val="17"/>
              </w:rPr>
              <w:t>Read or update threat timeline and scoring defaults</w:t>
            </w:r>
          </w:p>
        </w:tc>
      </w:tr>
      <w:tr>
        <w:trPr>
          <w:cantSplit/>
        </w:trPr>
        <w:tc>
          <w:tcPr>
            <w:tcW w:type="dxa" w:w="3888"/>
            <w:vAlign w:val="center"/>
            <w:tcMar>
              <w:top w:w="95" w:type="dxa"/>
              <w:start w:w="110" w:type="dxa"/>
              <w:bottom w:w="95" w:type="dxa"/>
              <w:end w:w="110" w:type="dxa"/>
            </w:tcMar>
            <w:shd w:fill="F4F7FA"/>
          </w:tcPr>
          <w:p>
            <w:pPr>
              <w:spacing w:after="0" w:line="252" w:lineRule="auto"/>
            </w:pPr>
            <w:r>
              <w:rPr>
                <w:rFonts w:ascii="Arial" w:hAnsi="Arial"/>
                <w:sz w:val="17"/>
              </w:rPr>
              <w:t>GET /health</w:t>
            </w:r>
          </w:p>
        </w:tc>
        <w:tc>
          <w:tcPr>
            <w:tcW w:type="dxa" w:w="6264"/>
            <w:vAlign w:val="center"/>
            <w:tcMar>
              <w:top w:w="95" w:type="dxa"/>
              <w:start w:w="110" w:type="dxa"/>
              <w:bottom w:w="95" w:type="dxa"/>
              <w:end w:w="110" w:type="dxa"/>
            </w:tcMar>
            <w:shd w:fill="F4F7FA"/>
          </w:tcPr>
          <w:p>
            <w:pPr>
              <w:spacing w:after="0" w:line="252" w:lineRule="auto"/>
            </w:pPr>
            <w:r>
              <w:rPr>
                <w:rFonts w:ascii="Arial" w:hAnsi="Arial"/>
                <w:sz w:val="17"/>
              </w:rPr>
              <w:t>Unprotected service health check</w:t>
            </w:r>
          </w:p>
        </w:tc>
      </w:tr>
    </w:tbl>
    <w:p>
      <w:pPr>
        <w:spacing w:after="60"/>
      </w:pPr>
    </w:p>
    <w:p>
      <w:pPr>
        <w:pStyle w:val="Heading1"/>
      </w:pPr>
      <w:r>
        <w:t>Input and Security Boundaries</w:t>
      </w:r>
    </w:p>
    <w:p>
      <w:pPr>
        <w:pStyle w:val="ListBullet"/>
        <w:spacing w:after="60"/>
      </w:pPr>
      <w:r>
        <w:t>Local paths are copied into a temporary snapshot. Common dependency and output folders are excluded, and symbolic links are not followed.</w:t>
      </w:r>
    </w:p>
    <w:p>
      <w:pPr>
        <w:pStyle w:val="ListBullet"/>
        <w:spacing w:after="60"/>
      </w:pPr>
      <w:r>
        <w:t>Git input accepts public HTTPS URLs from an allowlist. Clones are shallow, noninteractive, bounded by a 120 second timeout, and configured to reject redirects and local file transport.</w:t>
      </w:r>
    </w:p>
    <w:p>
      <w:pPr>
        <w:pStyle w:val="ListBullet"/>
        <w:spacing w:after="60"/>
      </w:pPr>
      <w:r>
        <w:t>Uploads are limited to 20 MB. Expanded workspaces and ZIP files are limited to 100 MB and 10000 files or entries.</w:t>
      </w:r>
    </w:p>
    <w:p>
      <w:pPr>
        <w:pStyle w:val="ListBullet"/>
        <w:spacing w:after="60"/>
      </w:pPr>
      <w:r>
        <w:t>ZIP extraction rejects absolute paths, traversal, links, backslash paths, and encrypted members.</w:t>
      </w:r>
    </w:p>
    <w:p>
      <w:pPr>
        <w:pStyle w:val="ListBullet"/>
        <w:spacing w:after="60"/>
      </w:pPr>
      <w:r>
        <w:t>A shared bearer token can protect all routes except health. CORS origins are configurable.</w:t>
      </w:r>
    </w:p>
    <w:p>
      <w:pPr>
        <w:pStyle w:val="ListBullet"/>
        <w:spacing w:after="60"/>
      </w:pPr>
      <w:r>
        <w:t>The persisted worker queue recovers interrupted work but intentionally permits one API worker for each state directory.</w:t>
      </w:r>
    </w:p>
    <w:p>
      <w:pPr>
        <w:pStyle w:val="Heading1"/>
      </w:pPr>
      <w:r>
        <w:t>User Interface</w:t>
      </w:r>
    </w:p>
    <w:p>
      <w:r>
        <w:t>The redesigned interface uses a navy navigation shell, responsive cards and tables, consistent risk colors, and explicit loading, empty, failure, and disconnected states. The five main views are Overview, Inventory, Risk Heatmap, Asset Detail, and Recommendations.</w:t>
      </w:r>
    </w:p>
    <w:p>
      <w:pPr>
        <w:pStyle w:val="ListBullet"/>
        <w:spacing w:after="60"/>
      </w:pPr>
      <w:r>
        <w:t>Overview summarizes scan status and risk distribution.</w:t>
      </w:r>
    </w:p>
    <w:p>
      <w:pPr>
        <w:pStyle w:val="ListBullet"/>
        <w:spacing w:after="60"/>
      </w:pPr>
      <w:r>
        <w:t>Inventory provides search, filters, pagination, and asset selection.</w:t>
      </w:r>
    </w:p>
    <w:p>
      <w:pPr>
        <w:pStyle w:val="ListBullet"/>
        <w:spacing w:after="60"/>
      </w:pPr>
      <w:r>
        <w:t>Risk Heatmap changes the Z timeline for exploration while preserving saved results.</w:t>
      </w:r>
    </w:p>
    <w:p>
      <w:pPr>
        <w:pStyle w:val="ListBullet"/>
        <w:spacing w:after="60"/>
      </w:pPr>
      <w:r>
        <w:t>Asset Detail explains occurrence, risk inputs, urgency, and migration advice.</w:t>
      </w:r>
    </w:p>
    <w:p>
      <w:pPr>
        <w:pStyle w:val="ListBullet"/>
        <w:spacing w:after="60"/>
      </w:pPr>
      <w:r>
        <w:t>Recommendations groups remediation work and provides protected report downloads.</w:t>
      </w:r>
    </w:p>
    <w:p>
      <w:pPr>
        <w:pStyle w:val="Heading1"/>
      </w:pPr>
      <w:r>
        <w:t>Current Limitations</w:t>
      </w:r>
    </w:p>
    <w:p>
      <w:pPr>
        <w:pStyle w:val="ListBullet"/>
        <w:spacing w:after="60"/>
      </w:pPr>
      <w:r>
        <w:t>Live image scanning needs Trivy and registry access. The offline JSON route was verified in this environment; the live route was not because Trivy and a Docker daemon were unavailable.</w:t>
      </w:r>
    </w:p>
    <w:p>
      <w:pPr>
        <w:pStyle w:val="ListBullet"/>
        <w:spacing w:after="60"/>
      </w:pPr>
      <w:r>
        <w:t>Source AST coverage is limited to Python, Java, JavaScript, and Go. Binary inspection uses strings and symbols rather than disassembly.</w:t>
      </w:r>
    </w:p>
    <w:p>
      <w:pPr>
        <w:pStyle w:val="ListBullet"/>
        <w:spacing w:after="60"/>
      </w:pPr>
      <w:r>
        <w:t>Detection rules and package registries are curated. False positives and false negatives remain possible.</w:t>
      </w:r>
    </w:p>
    <w:p>
      <w:pPr>
        <w:pStyle w:val="ListBullet"/>
        <w:spacing w:after="60"/>
      </w:pPr>
      <w:r>
        <w:t>Risk values and recommendations are prioritization aids that need application owner and cryptography review.</w:t>
      </w:r>
    </w:p>
    <w:p>
      <w:pPr>
        <w:pStyle w:val="ListBullet"/>
        <w:spacing w:after="60"/>
      </w:pPr>
      <w:r>
        <w:t>The export uses CycloneDX 1.6 vocabulary, but formal schema conformance and downstream interoperability need dedicated validation.</w:t>
      </w:r>
    </w:p>
    <w:p>
      <w:pPr>
        <w:pStyle w:val="ListBullet"/>
        <w:spacing w:after="60"/>
      </w:pPr>
      <w:r>
        <w:t>SQLite and a single local worker are appropriate for the demo. Production use needs distributed execution, stronger identity, managed persistence, observability, and retention controls.</w:t>
      </w:r>
    </w:p>
    <w:p>
      <w:pPr>
        <w:pStyle w:val="Heading1"/>
      </w:pPr>
      <w:r>
        <w:t>Future Scope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440"/>
            <w:shd w:fill="17243B"/>
            <w:vAlign w:val="center"/>
            <w:tcMar>
              <w:top w:w="105" w:type="dxa"/>
              <w:start w:w="110" w:type="dxa"/>
              <w:bottom w:w="105" w:type="dxa"/>
              <w:end w:w="110" w:type="dxa"/>
            </w:tcMar>
          </w:tcPr>
          <w:p>
            <w:r>
              <w:rPr>
                <w:rFonts w:ascii="Arial" w:hAnsi="Arial"/>
                <w:b/>
                <w:color w:val="FFFFFF"/>
                <w:sz w:val="17"/>
              </w:rPr>
              <w:t>Priority</w:t>
            </w:r>
          </w:p>
        </w:tc>
        <w:tc>
          <w:tcPr>
            <w:tcW w:type="dxa" w:w="4680"/>
            <w:shd w:fill="17243B"/>
            <w:vAlign w:val="center"/>
            <w:tcMar>
              <w:top w:w="105" w:type="dxa"/>
              <w:start w:w="110" w:type="dxa"/>
              <w:bottom w:w="105" w:type="dxa"/>
              <w:end w:w="110" w:type="dxa"/>
            </w:tcMar>
          </w:tcPr>
          <w:p>
            <w:r>
              <w:rPr>
                <w:rFonts w:ascii="Arial" w:hAnsi="Arial"/>
                <w:b/>
                <w:color w:val="FFFFFF"/>
                <w:sz w:val="17"/>
              </w:rPr>
              <w:t>Capability</w:t>
            </w:r>
          </w:p>
        </w:tc>
        <w:tc>
          <w:tcPr>
            <w:tcW w:type="dxa" w:w="4032"/>
            <w:shd w:fill="17243B"/>
            <w:vAlign w:val="center"/>
            <w:tcMar>
              <w:top w:w="105" w:type="dxa"/>
              <w:start w:w="110" w:type="dxa"/>
              <w:bottom w:w="105" w:type="dxa"/>
              <w:end w:w="110" w:type="dxa"/>
            </w:tcMar>
          </w:tcPr>
          <w:p>
            <w:r>
              <w:rPr>
                <w:rFonts w:ascii="Arial" w:hAnsi="Arial"/>
                <w:b/>
                <w:color w:val="FFFFFF"/>
                <w:sz w:val="17"/>
              </w:rPr>
              <w:t>Reason</w:t>
            </w:r>
          </w:p>
        </w:tc>
      </w:tr>
      <w:tr>
        <w:trPr>
          <w:cantSplit/>
        </w:trPr>
        <w:tc>
          <w:tcPr>
            <w:tcW w:type="dxa" w:w="1440"/>
            <w:vAlign w:val="center"/>
            <w:tcMar>
              <w:top w:w="95" w:type="dxa"/>
              <w:start w:w="110" w:type="dxa"/>
              <w:bottom w:w="95" w:type="dxa"/>
              <w:end w:w="110" w:type="dxa"/>
            </w:tcMar>
          </w:tcPr>
          <w:p>
            <w:pPr>
              <w:spacing w:after="0" w:line="252" w:lineRule="auto"/>
            </w:pPr>
            <w:r>
              <w:rPr>
                <w:rFonts w:ascii="Arial" w:hAnsi="Arial"/>
                <w:sz w:val="17"/>
              </w:rPr>
              <w:t>Near term</w:t>
            </w:r>
          </w:p>
        </w:tc>
        <w:tc>
          <w:tcPr>
            <w:tcW w:type="dxa" w:w="4680"/>
            <w:vAlign w:val="center"/>
            <w:tcMar>
              <w:top w:w="95" w:type="dxa"/>
              <w:start w:w="110" w:type="dxa"/>
              <w:bottom w:w="95" w:type="dxa"/>
              <w:end w:w="110" w:type="dxa"/>
            </w:tcMar>
          </w:tcPr>
          <w:p>
            <w:pPr>
              <w:spacing w:after="0" w:line="252" w:lineRule="auto"/>
            </w:pPr>
            <w:r>
              <w:rPr>
                <w:rFonts w:ascii="Arial" w:hAnsi="Arial"/>
                <w:sz w:val="17"/>
              </w:rPr>
              <w:t>Formal CycloneDX schema validation and golden interoperability tests</w:t>
            </w:r>
          </w:p>
        </w:tc>
        <w:tc>
          <w:tcPr>
            <w:tcW w:type="dxa" w:w="4032"/>
            <w:vAlign w:val="center"/>
            <w:tcMar>
              <w:top w:w="95" w:type="dxa"/>
              <w:start w:w="110" w:type="dxa"/>
              <w:bottom w:w="95" w:type="dxa"/>
              <w:end w:w="110" w:type="dxa"/>
            </w:tcMar>
          </w:tcPr>
          <w:p>
            <w:pPr>
              <w:spacing w:after="0" w:line="252" w:lineRule="auto"/>
            </w:pPr>
            <w:r>
              <w:rPr>
                <w:rFonts w:ascii="Arial" w:hAnsi="Arial"/>
                <w:sz w:val="17"/>
              </w:rPr>
              <w:t>Makes exported CBOMs dependable for downstream tools</w:t>
            </w:r>
          </w:p>
        </w:tc>
      </w:tr>
      <w:tr>
        <w:trPr>
          <w:cantSplit/>
        </w:trPr>
        <w:tc>
          <w:tcPr>
            <w:tcW w:type="dxa" w:w="1440"/>
            <w:vAlign w:val="center"/>
            <w:tcMar>
              <w:top w:w="95" w:type="dxa"/>
              <w:start w:w="110" w:type="dxa"/>
              <w:bottom w:w="95" w:type="dxa"/>
              <w:end w:w="110" w:type="dxa"/>
            </w:tcMar>
            <w:shd w:fill="F4F7FA"/>
          </w:tcPr>
          <w:p>
            <w:pPr>
              <w:spacing w:after="0" w:line="252" w:lineRule="auto"/>
            </w:pPr>
            <w:r>
              <w:rPr>
                <w:rFonts w:ascii="Arial" w:hAnsi="Arial"/>
                <w:sz w:val="17"/>
              </w:rPr>
              <w:t>Near term</w:t>
            </w:r>
          </w:p>
        </w:tc>
        <w:tc>
          <w:tcPr>
            <w:tcW w:type="dxa" w:w="4680"/>
            <w:vAlign w:val="center"/>
            <w:tcMar>
              <w:top w:w="95" w:type="dxa"/>
              <w:start w:w="110" w:type="dxa"/>
              <w:bottom w:w="95" w:type="dxa"/>
              <w:end w:w="110" w:type="dxa"/>
            </w:tcMar>
            <w:shd w:fill="F4F7FA"/>
          </w:tcPr>
          <w:p>
            <w:pPr>
              <w:spacing w:after="0" w:line="252" w:lineRule="auto"/>
            </w:pPr>
            <w:r>
              <w:rPr>
                <w:rFonts w:ascii="Arial" w:hAnsi="Arial"/>
                <w:sz w:val="17"/>
              </w:rPr>
              <w:t>CI integration with SARIF or a GitHub Action</w:t>
            </w:r>
          </w:p>
        </w:tc>
        <w:tc>
          <w:tcPr>
            <w:tcW w:type="dxa" w:w="4032"/>
            <w:vAlign w:val="center"/>
            <w:tcMar>
              <w:top w:w="95" w:type="dxa"/>
              <w:start w:w="110" w:type="dxa"/>
              <w:bottom w:w="95" w:type="dxa"/>
              <w:end w:w="110" w:type="dxa"/>
            </w:tcMar>
            <w:shd w:fill="F4F7FA"/>
          </w:tcPr>
          <w:p>
            <w:pPr>
              <w:spacing w:after="0" w:line="252" w:lineRule="auto"/>
            </w:pPr>
            <w:r>
              <w:rPr>
                <w:rFonts w:ascii="Arial" w:hAnsi="Arial"/>
                <w:sz w:val="17"/>
              </w:rPr>
              <w:t>Moves discovery into normal development workflows</w:t>
            </w:r>
          </w:p>
        </w:tc>
      </w:tr>
      <w:tr>
        <w:trPr>
          <w:cantSplit/>
        </w:trPr>
        <w:tc>
          <w:tcPr>
            <w:tcW w:type="dxa" w:w="1440"/>
            <w:vAlign w:val="center"/>
            <w:tcMar>
              <w:top w:w="95" w:type="dxa"/>
              <w:start w:w="110" w:type="dxa"/>
              <w:bottom w:w="95" w:type="dxa"/>
              <w:end w:w="110" w:type="dxa"/>
            </w:tcMar>
          </w:tcPr>
          <w:p>
            <w:pPr>
              <w:spacing w:after="0" w:line="252" w:lineRule="auto"/>
            </w:pPr>
            <w:r>
              <w:rPr>
                <w:rFonts w:ascii="Arial" w:hAnsi="Arial"/>
                <w:sz w:val="17"/>
              </w:rPr>
              <w:t>Near term</w:t>
            </w:r>
          </w:p>
        </w:tc>
        <w:tc>
          <w:tcPr>
            <w:tcW w:type="dxa" w:w="4680"/>
            <w:vAlign w:val="center"/>
            <w:tcMar>
              <w:top w:w="95" w:type="dxa"/>
              <w:start w:w="110" w:type="dxa"/>
              <w:bottom w:w="95" w:type="dxa"/>
              <w:end w:w="110" w:type="dxa"/>
            </w:tcMar>
          </w:tcPr>
          <w:p>
            <w:pPr>
              <w:spacing w:after="0" w:line="252" w:lineRule="auto"/>
            </w:pPr>
            <w:r>
              <w:rPr>
                <w:rFonts w:ascii="Arial" w:hAnsi="Arial"/>
                <w:sz w:val="17"/>
              </w:rPr>
              <w:t>Rule packs and measured precision and recall datasets</w:t>
            </w:r>
          </w:p>
        </w:tc>
        <w:tc>
          <w:tcPr>
            <w:tcW w:type="dxa" w:w="4032"/>
            <w:vAlign w:val="center"/>
            <w:tcMar>
              <w:top w:w="95" w:type="dxa"/>
              <w:start w:w="110" w:type="dxa"/>
              <w:bottom w:w="95" w:type="dxa"/>
              <w:end w:w="110" w:type="dxa"/>
            </w:tcMar>
          </w:tcPr>
          <w:p>
            <w:pPr>
              <w:spacing w:after="0" w:line="252" w:lineRule="auto"/>
            </w:pPr>
            <w:r>
              <w:rPr>
                <w:rFonts w:ascii="Arial" w:hAnsi="Arial"/>
                <w:sz w:val="17"/>
              </w:rPr>
              <w:t>Improves scanner quality and makes progress measurable</w:t>
            </w:r>
          </w:p>
        </w:tc>
      </w:tr>
      <w:tr>
        <w:trPr>
          <w:cantSplit/>
        </w:trPr>
        <w:tc>
          <w:tcPr>
            <w:tcW w:type="dxa" w:w="1440"/>
            <w:vAlign w:val="center"/>
            <w:tcMar>
              <w:top w:w="95" w:type="dxa"/>
              <w:start w:w="110" w:type="dxa"/>
              <w:bottom w:w="95" w:type="dxa"/>
              <w:end w:w="110" w:type="dxa"/>
            </w:tcMar>
            <w:shd w:fill="F4F7FA"/>
          </w:tcPr>
          <w:p>
            <w:pPr>
              <w:spacing w:after="0" w:line="252" w:lineRule="auto"/>
            </w:pPr>
            <w:r>
              <w:rPr>
                <w:rFonts w:ascii="Arial" w:hAnsi="Arial"/>
                <w:sz w:val="17"/>
              </w:rPr>
              <w:t>Medium term</w:t>
            </w:r>
          </w:p>
        </w:tc>
        <w:tc>
          <w:tcPr>
            <w:tcW w:type="dxa" w:w="4680"/>
            <w:vAlign w:val="center"/>
            <w:tcMar>
              <w:top w:w="95" w:type="dxa"/>
              <w:start w:w="110" w:type="dxa"/>
              <w:bottom w:w="95" w:type="dxa"/>
              <w:end w:w="110" w:type="dxa"/>
            </w:tcMar>
            <w:shd w:fill="F4F7FA"/>
          </w:tcPr>
          <w:p>
            <w:pPr>
              <w:spacing w:after="0" w:line="252" w:lineRule="auto"/>
            </w:pPr>
            <w:r>
              <w:rPr>
                <w:rFonts w:ascii="Arial" w:hAnsi="Arial"/>
                <w:sz w:val="17"/>
              </w:rPr>
              <w:t>Distributed queue, PostgreSQL deployment, telemetry, and retention</w:t>
            </w:r>
          </w:p>
        </w:tc>
        <w:tc>
          <w:tcPr>
            <w:tcW w:type="dxa" w:w="4032"/>
            <w:vAlign w:val="center"/>
            <w:tcMar>
              <w:top w:w="95" w:type="dxa"/>
              <w:start w:w="110" w:type="dxa"/>
              <w:bottom w:w="95" w:type="dxa"/>
              <w:end w:w="110" w:type="dxa"/>
            </w:tcMar>
            <w:shd w:fill="F4F7FA"/>
          </w:tcPr>
          <w:p>
            <w:pPr>
              <w:spacing w:after="0" w:line="252" w:lineRule="auto"/>
            </w:pPr>
            <w:r>
              <w:rPr>
                <w:rFonts w:ascii="Arial" w:hAnsi="Arial"/>
                <w:sz w:val="17"/>
              </w:rPr>
              <w:t>Supports larger repositories and concurrent teams</w:t>
            </w:r>
          </w:p>
        </w:tc>
      </w:tr>
      <w:tr>
        <w:trPr>
          <w:cantSplit/>
        </w:trPr>
        <w:tc>
          <w:tcPr>
            <w:tcW w:type="dxa" w:w="1440"/>
            <w:vAlign w:val="center"/>
            <w:tcMar>
              <w:top w:w="95" w:type="dxa"/>
              <w:start w:w="110" w:type="dxa"/>
              <w:bottom w:w="95" w:type="dxa"/>
              <w:end w:w="110" w:type="dxa"/>
            </w:tcMar>
          </w:tcPr>
          <w:p>
            <w:pPr>
              <w:spacing w:after="0" w:line="252" w:lineRule="auto"/>
            </w:pPr>
            <w:r>
              <w:rPr>
                <w:rFonts w:ascii="Arial" w:hAnsi="Arial"/>
                <w:sz w:val="17"/>
              </w:rPr>
              <w:t>Medium term</w:t>
            </w:r>
          </w:p>
        </w:tc>
        <w:tc>
          <w:tcPr>
            <w:tcW w:type="dxa" w:w="4680"/>
            <w:vAlign w:val="center"/>
            <w:tcMar>
              <w:top w:w="95" w:type="dxa"/>
              <w:start w:w="110" w:type="dxa"/>
              <w:bottom w:w="95" w:type="dxa"/>
              <w:end w:w="110" w:type="dxa"/>
            </w:tcMar>
          </w:tcPr>
          <w:p>
            <w:pPr>
              <w:spacing w:after="0" w:line="252" w:lineRule="auto"/>
            </w:pPr>
            <w:r>
              <w:rPr>
                <w:rFonts w:ascii="Arial" w:hAnsi="Arial"/>
                <w:sz w:val="17"/>
              </w:rPr>
              <w:t>OIDC or SSO, RBAC, tenants, and audit history</w:t>
            </w:r>
          </w:p>
        </w:tc>
        <w:tc>
          <w:tcPr>
            <w:tcW w:type="dxa" w:w="4032"/>
            <w:vAlign w:val="center"/>
            <w:tcMar>
              <w:top w:w="95" w:type="dxa"/>
              <w:start w:w="110" w:type="dxa"/>
              <w:bottom w:w="95" w:type="dxa"/>
              <w:end w:w="110" w:type="dxa"/>
            </w:tcMar>
          </w:tcPr>
          <w:p>
            <w:pPr>
              <w:spacing w:after="0" w:line="252" w:lineRule="auto"/>
            </w:pPr>
            <w:r>
              <w:rPr>
                <w:rFonts w:ascii="Arial" w:hAnsi="Arial"/>
                <w:sz w:val="17"/>
              </w:rPr>
              <w:t>Creates accountable enterprise access</w:t>
            </w:r>
          </w:p>
        </w:tc>
      </w:tr>
      <w:tr>
        <w:trPr>
          <w:cantSplit/>
        </w:trPr>
        <w:tc>
          <w:tcPr>
            <w:tcW w:type="dxa" w:w="1440"/>
            <w:vAlign w:val="center"/>
            <w:tcMar>
              <w:top w:w="95" w:type="dxa"/>
              <w:start w:w="110" w:type="dxa"/>
              <w:bottom w:w="95" w:type="dxa"/>
              <w:end w:w="110" w:type="dxa"/>
            </w:tcMar>
            <w:shd w:fill="F4F7FA"/>
          </w:tcPr>
          <w:p>
            <w:pPr>
              <w:spacing w:after="0" w:line="252" w:lineRule="auto"/>
            </w:pPr>
            <w:r>
              <w:rPr>
                <w:rFonts w:ascii="Arial" w:hAnsi="Arial"/>
                <w:sz w:val="17"/>
              </w:rPr>
              <w:t>Longer term</w:t>
            </w:r>
          </w:p>
        </w:tc>
        <w:tc>
          <w:tcPr>
            <w:tcW w:type="dxa" w:w="4680"/>
            <w:vAlign w:val="center"/>
            <w:tcMar>
              <w:top w:w="95" w:type="dxa"/>
              <w:start w:w="110" w:type="dxa"/>
              <w:bottom w:w="95" w:type="dxa"/>
              <w:end w:w="110" w:type="dxa"/>
            </w:tcMar>
            <w:shd w:fill="F4F7FA"/>
          </w:tcPr>
          <w:p>
            <w:pPr>
              <w:spacing w:after="0" w:line="252" w:lineRule="auto"/>
            </w:pPr>
            <w:r>
              <w:rPr>
                <w:rFonts w:ascii="Arial" w:hAnsi="Arial"/>
                <w:sz w:val="17"/>
              </w:rPr>
              <w:t>Cloud KMS, network TLS, deeper binaries, HSM and certificate lifecycle</w:t>
            </w:r>
          </w:p>
        </w:tc>
        <w:tc>
          <w:tcPr>
            <w:tcW w:type="dxa" w:w="4032"/>
            <w:vAlign w:val="center"/>
            <w:tcMar>
              <w:top w:w="95" w:type="dxa"/>
              <w:start w:w="110" w:type="dxa"/>
              <w:bottom w:w="95" w:type="dxa"/>
              <w:end w:w="110" w:type="dxa"/>
            </w:tcMar>
            <w:shd w:fill="F4F7FA"/>
          </w:tcPr>
          <w:p>
            <w:pPr>
              <w:spacing w:after="0" w:line="252" w:lineRule="auto"/>
            </w:pPr>
            <w:r>
              <w:rPr>
                <w:rFonts w:ascii="Arial" w:hAnsi="Arial"/>
                <w:sz w:val="17"/>
              </w:rPr>
              <w:t>Extends visibility beyond static repository evidence</w:t>
            </w:r>
          </w:p>
        </w:tc>
      </w:tr>
    </w:tbl>
    <w:p>
      <w:pPr>
        <w:spacing w:after="60"/>
      </w:pPr>
    </w:p>
    <w:p>
      <w:pPr>
        <w:pStyle w:val="Heading1"/>
      </w:pPr>
      <w:r>
        <w:t>Repository References</w:t>
      </w:r>
    </w:p>
    <w:p>
      <w:pPr>
        <w:pStyle w:val="ListBullet"/>
        <w:spacing w:after="60"/>
      </w:pPr>
      <w:r>
        <w:t>README.md for setup, current capability, and operational boundaries.</w:t>
      </w:r>
    </w:p>
    <w:p>
      <w:pPr>
        <w:pStyle w:val="ListBullet"/>
        <w:spacing w:after="60"/>
      </w:pPr>
      <w:r>
        <w:t>ECDAT_Design_and_Technical_Document.md for the original objective and M1 through M9 design.</w:t>
      </w:r>
    </w:p>
    <w:p>
      <w:pPr>
        <w:pStyle w:val="ListBullet"/>
        <w:spacing w:after="60"/>
      </w:pPr>
      <w:r>
        <w:t>CONTRACT.md and backend/models/schemas.py for the scanner and canonical asset contracts.</w:t>
      </w:r>
    </w:p>
    <w:p>
      <w:pPr>
        <w:pStyle w:val="ListBullet"/>
        <w:spacing w:after="60"/>
      </w:pPr>
      <w:r>
        <w:t>backend/scanners for discovery logic, backend/engine for normalization and analysis, and backend/api for REST behavior.</w:t>
      </w:r>
    </w:p>
    <w:p>
      <w:pPr>
        <w:pStyle w:val="ListBullet"/>
        <w:spacing w:after="60"/>
      </w:pPr>
      <w:r>
        <w:t>frontend/src for the application shell, pages, components, and API adapter.</w:t>
      </w:r>
    </w:p>
    <w:p>
      <w:pPr>
        <w:pStyle w:val="ListBullet"/>
        <w:spacing w:after="60"/>
      </w:pPr>
      <w:r>
        <w:t>openapi.json for the generated HTTP contract and tests for executable verification.</w:t>
      </w:r>
    </w:p>
    <w:p>
      <w:pPr>
        <w:pStyle w:val="Heading1"/>
      </w:pPr>
      <w:r>
        <w:t>External References</w:t>
      </w:r>
    </w:p>
    <w:p>
      <w:pPr>
        <w:pStyle w:val="ListBullet"/>
      </w:pPr>
      <w:hyperlink r:id="rId12">
        <w:r>
          <w:rPr>
            <w:color w:val="0C8C8C"/>
            <w:u w:val="single"/>
          </w:rPr>
          <w:t>CycloneDX Cryptography Bill of Materials</w:t>
        </w:r>
      </w:hyperlink>
    </w:p>
    <w:p>
      <w:pPr>
        <w:pStyle w:val="ListBullet"/>
      </w:pPr>
      <w:hyperlink r:id="rId13">
        <w:r>
          <w:rPr>
            <w:color w:val="0C8C8C"/>
            <w:u w:val="single"/>
          </w:rPr>
          <w:t>NIST FIPS 203 Module Lattice Based Key Encapsulation Mechanism</w:t>
        </w:r>
      </w:hyperlink>
    </w:p>
    <w:p>
      <w:pPr>
        <w:pStyle w:val="ListBullet"/>
      </w:pPr>
      <w:hyperlink r:id="rId14">
        <w:r>
          <w:rPr>
            <w:color w:val="0C8C8C"/>
            <w:u w:val="single"/>
          </w:rPr>
          <w:t>NIST FIPS 204 Module Lattice Based Digital Signature Standard</w:t>
        </w:r>
      </w:hyperlink>
    </w:p>
    <w:p>
      <w:pPr>
        <w:pStyle w:val="ListBullet"/>
      </w:pPr>
      <w:hyperlink r:id="rId15">
        <w:r>
          <w:rPr>
            <w:color w:val="0C8C8C"/>
            <w:u w:val="single"/>
          </w:rPr>
          <w:t>NIST FIPS 205 Stateless Hash Based Digital Signature Standard</w:t>
        </w:r>
      </w:hyperlink>
    </w:p>
    <w:p>
      <w:pPr>
        <w:pStyle w:val="ListBullet"/>
      </w:pPr>
      <w:hyperlink r:id="rId16">
        <w:r>
          <w:rPr>
            <w:color w:val="0C8C8C"/>
            <w:u w:val="single"/>
          </w:rPr>
          <w:t>FastAPI Documentation</w:t>
        </w:r>
      </w:hyperlink>
    </w:p>
    <w:p>
      <w:pPr>
        <w:pStyle w:val="ListBullet"/>
      </w:pPr>
      <w:hyperlink r:id="rId17">
        <w:r>
          <w:rPr>
            <w:color w:val="0C8C8C"/>
            <w:u w:val="single"/>
          </w:rPr>
          <w:t>Tree sitter Parser Documentation</w:t>
        </w:r>
      </w:hyperlink>
    </w:p>
    <w:p>
      <w:pPr>
        <w:pStyle w:val="ListBullet"/>
      </w:pPr>
      <w:hyperlink r:id="rId18">
        <w:r>
          <w:rPr>
            <w:color w:val="0C8C8C"/>
            <w:u w:val="single"/>
          </w:rPr>
          <w:t>SQLAlchemy ORM Documentation</w:t>
        </w:r>
      </w:hyperlink>
    </w:p>
    <w:sectPr w:rsidR="00FC693F" w:rsidRPr="0006063C" w:rsidSect="00034616">
      <w:headerReference w:type="default" r:id="rId9"/>
      <w:footerReference w:type="default" r:id="rId10"/>
      <w:pgSz w:w="12240" w:h="15840"/>
      <w:pgMar w:top="1008" w:right="1123" w:bottom="1008"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6370"/>
        <w:sz w:val="16"/>
      </w:rPr>
      <w:t xml:space="preserve">ECDAT review build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6370"/>
        <w:sz w:val="17"/>
      </w:rPr>
      <w:t>ECDAT Technical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81F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yclonedx.org/capabilities/cbom/" TargetMode="External"/><Relationship Id="rId13" Type="http://schemas.openxmlformats.org/officeDocument/2006/relationships/hyperlink" Target="https://csrc.nist.gov/pubs/fips/203/final" TargetMode="External"/><Relationship Id="rId14" Type="http://schemas.openxmlformats.org/officeDocument/2006/relationships/hyperlink" Target="https://csrc.nist.gov/pubs/fips/204/final" TargetMode="External"/><Relationship Id="rId15" Type="http://schemas.openxmlformats.org/officeDocument/2006/relationships/hyperlink" Target="https://csrc.nist.gov/pubs/fips/205/final" TargetMode="External"/><Relationship Id="rId16" Type="http://schemas.openxmlformats.org/officeDocument/2006/relationships/hyperlink" Target="https://fastapi.tiangolo.com/" TargetMode="External"/><Relationship Id="rId17" Type="http://schemas.openxmlformats.org/officeDocument/2006/relationships/hyperlink" Target="https://tree-sitter.github.io/tree-sitter/using-parsers/" TargetMode="External"/><Relationship Id="rId18" Type="http://schemas.openxmlformats.org/officeDocument/2006/relationships/hyperlink" Target="https://docs.sqlalchemy.org/en/20/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