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ECDAT Installation Usage and Demonstration Guide</w:t>
      </w:r>
    </w:p>
    <w:p>
      <w:pPr>
        <w:spacing w:after="360"/>
      </w:pPr>
      <w:r>
        <w:rPr>
          <w:rFonts w:ascii="Arial" w:hAnsi="Arial"/>
          <w:color w:val="596370"/>
          <w:sz w:val="30"/>
        </w:rPr>
        <w:t>Step by step guide for the review build</w:t>
      </w:r>
    </w:p>
    <w:p>
      <w:pPr>
        <w:spacing w:after="280"/>
      </w:pPr>
      <w:r>
        <w:rPr>
          <w:color w:val="181F2A"/>
          <w:sz w:val="23"/>
        </w:rPr>
        <w:t>This guide explains how to install, run, use, and demonstrate ECDAT with the supplied sample data. It is written for a reviewer or presenter who needs a repeatable local demonstration and clear expected results.</w:t>
      </w:r>
    </w:p>
    <w:tbl>
      <w:tblPr>
        <w:tblW w:type="auto" w:w="0"/>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97"/>
        <w:gridCol w:w="4997"/>
      </w:tblGrid>
      <w:tr>
        <w:tc>
          <w:tcPr>
            <w:tcW w:type="dxa" w:w="2088"/>
            <w:tcMar>
              <w:top w:w="95" w:type="dxa"/>
              <w:start w:w="110" w:type="dxa"/>
              <w:bottom w:w="95" w:type="dxa"/>
              <w:end w:w="110" w:type="dxa"/>
            </w:tcMar>
            <w:vAlign w:val="center"/>
            <w:shd w:fill="FFFFFF"/>
          </w:tcPr>
          <w:p>
            <w:r>
              <w:rPr>
                <w:b/>
              </w:rPr>
              <w:t>Project</w:t>
            </w:r>
          </w:p>
        </w:tc>
        <w:tc>
          <w:tcPr>
            <w:tcW w:type="dxa" w:w="7488"/>
            <w:tcMar>
              <w:top w:w="95" w:type="dxa"/>
              <w:start w:w="110" w:type="dxa"/>
              <w:bottom w:w="95" w:type="dxa"/>
              <w:end w:w="110" w:type="dxa"/>
            </w:tcMar>
            <w:vAlign w:val="center"/>
            <w:shd w:fill="FFFFFF"/>
          </w:tcPr>
          <w:p>
            <w:r>
              <w:t>Enterprise Cryptographic Discovery and Analysis Tool</w:t>
            </w:r>
          </w:p>
        </w:tc>
      </w:tr>
      <w:tr>
        <w:tc>
          <w:tcPr>
            <w:tcW w:type="dxa" w:w="2088"/>
            <w:tcMar>
              <w:top w:w="95" w:type="dxa"/>
              <w:start w:w="110" w:type="dxa"/>
              <w:bottom w:w="95" w:type="dxa"/>
              <w:end w:w="110" w:type="dxa"/>
            </w:tcMar>
            <w:vAlign w:val="center"/>
            <w:shd w:fill="F4F7FA"/>
          </w:tcPr>
          <w:p>
            <w:r>
              <w:rPr>
                <w:b/>
              </w:rPr>
              <w:t>Review branch</w:t>
            </w:r>
          </w:p>
        </w:tc>
        <w:tc>
          <w:tcPr>
            <w:tcW w:type="dxa" w:w="7488"/>
            <w:tcMar>
              <w:top w:w="95" w:type="dxa"/>
              <w:start w:w="110" w:type="dxa"/>
              <w:bottom w:w="95" w:type="dxa"/>
              <w:end w:w="110" w:type="dxa"/>
            </w:tcMar>
            <w:vAlign w:val="center"/>
            <w:shd w:fill="F4F7FA"/>
          </w:tcPr>
          <w:p>
            <w:r>
              <w:t>improve/integration-ui</w:t>
            </w:r>
          </w:p>
        </w:tc>
      </w:tr>
      <w:tr>
        <w:tc>
          <w:tcPr>
            <w:tcW w:type="dxa" w:w="2088"/>
            <w:tcMar>
              <w:top w:w="95" w:type="dxa"/>
              <w:start w:w="110" w:type="dxa"/>
              <w:bottom w:w="95" w:type="dxa"/>
              <w:end w:w="110" w:type="dxa"/>
            </w:tcMar>
            <w:vAlign w:val="center"/>
            <w:shd w:fill="FFFFFF"/>
          </w:tcPr>
          <w:p>
            <w:r>
              <w:rPr>
                <w:b/>
              </w:rPr>
              <w:t>Source baseline</w:t>
            </w:r>
          </w:p>
        </w:tc>
        <w:tc>
          <w:tcPr>
            <w:tcW w:type="dxa" w:w="7488"/>
            <w:tcMar>
              <w:top w:w="95" w:type="dxa"/>
              <w:start w:w="110" w:type="dxa"/>
              <w:bottom w:w="95" w:type="dxa"/>
              <w:end w:w="110" w:type="dxa"/>
            </w:tcMar>
            <w:vAlign w:val="center"/>
            <w:shd w:fill="FFFFFF"/>
          </w:tcPr>
          <w:p>
            <w:r>
              <w:t>Git commit 398f8f1</w:t>
            </w:r>
          </w:p>
        </w:tc>
      </w:tr>
      <w:tr>
        <w:tc>
          <w:tcPr>
            <w:tcW w:type="dxa" w:w="2088"/>
            <w:tcMar>
              <w:top w:w="95" w:type="dxa"/>
              <w:start w:w="110" w:type="dxa"/>
              <w:bottom w:w="95" w:type="dxa"/>
              <w:end w:w="110" w:type="dxa"/>
            </w:tcMar>
            <w:vAlign w:val="center"/>
            <w:shd w:fill="F4F7FA"/>
          </w:tcPr>
          <w:p>
            <w:r>
              <w:rPr>
                <w:b/>
              </w:rPr>
              <w:t>Document date</w:t>
            </w:r>
          </w:p>
        </w:tc>
        <w:tc>
          <w:tcPr>
            <w:tcW w:type="dxa" w:w="7488"/>
            <w:tcMar>
              <w:top w:w="95" w:type="dxa"/>
              <w:start w:w="110" w:type="dxa"/>
              <w:bottom w:w="95" w:type="dxa"/>
              <w:end w:w="110" w:type="dxa"/>
            </w:tcMar>
            <w:vAlign w:val="center"/>
            <w:shd w:fill="F4F7FA"/>
          </w:tcPr>
          <w:p>
            <w:r>
              <w:t>08 September 2026</w:t>
            </w:r>
          </w:p>
        </w:tc>
      </w:tr>
    </w:tbl>
    <w:p/>
    <w:p>
      <w:pPr>
        <w:spacing w:before="280"/>
      </w:pPr>
      <w:r>
        <w:rPr>
          <w:i/>
          <w:color w:val="596370"/>
        </w:rPr>
        <w:t>Prepared for local review before any upstream pull request or merge.</w:t>
      </w:r>
    </w:p>
    <w:p>
      <w:r>
        <w:br w:type="page"/>
      </w:r>
    </w:p>
    <w:p>
      <w:pPr>
        <w:pStyle w:val="Heading1"/>
      </w:pPr>
      <w:r>
        <w:t>Demo Goal</w:t>
      </w:r>
    </w:p>
    <w:p>
      <w:r>
        <w:t>The demonstration should show one complete path from input to evidence. A presenter starts a scan, watches the queued and running states, reviews the discovered inventory, explains the risk calculation, opens a recommendation, changes the exploratory threat timeline, and downloads a report.</w:t>
      </w:r>
    </w:p>
    <w:p>
      <w:r>
        <w:t>The recommended first run uses demo/workspace because it is small, fast, and produces a mix of source, dependency, and TLS configuration evidence.</w:t>
      </w:r>
    </w:p>
    <w:p>
      <w:pPr>
        <w:pStyle w:val="Heading1"/>
      </w:pPr>
      <w:r>
        <w:t>Prerequisites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2880"/>
            <w:shd w:fill="17243B"/>
            <w:vAlign w:val="center"/>
            <w:tcMar>
              <w:top w:w="105" w:type="dxa"/>
              <w:start w:w="110" w:type="dxa"/>
              <w:bottom w:w="105" w:type="dxa"/>
              <w:end w:w="110" w:type="dxa"/>
            </w:tcMar>
          </w:tcPr>
          <w:p>
            <w:r>
              <w:rPr>
                <w:rFonts w:ascii="Arial" w:hAnsi="Arial"/>
                <w:b/>
                <w:color w:val="FFFFFF"/>
                <w:sz w:val="17"/>
              </w:rPr>
              <w:t>Requirement</w:t>
            </w:r>
          </w:p>
        </w:tc>
        <w:tc>
          <w:tcPr>
            <w:tcW w:type="dxa" w:w="5616"/>
            <w:shd w:fill="17243B"/>
            <w:vAlign w:val="center"/>
            <w:tcMar>
              <w:top w:w="105" w:type="dxa"/>
              <w:start w:w="110" w:type="dxa"/>
              <w:bottom w:w="105" w:type="dxa"/>
              <w:end w:w="110" w:type="dxa"/>
            </w:tcMar>
          </w:tcPr>
          <w:p>
            <w:r>
              <w:rPr>
                <w:rFonts w:ascii="Arial" w:hAnsi="Arial"/>
                <w:b/>
                <w:color w:val="FFFFFF"/>
                <w:sz w:val="17"/>
              </w:rPr>
              <w:t>Purpose</w:t>
            </w:r>
          </w:p>
        </w:tc>
        <w:tc>
          <w:tcPr>
            <w:tcW w:type="dxa" w:w="1656"/>
            <w:shd w:fill="17243B"/>
            <w:vAlign w:val="center"/>
            <w:tcMar>
              <w:top w:w="105" w:type="dxa"/>
              <w:start w:w="110" w:type="dxa"/>
              <w:bottom w:w="105" w:type="dxa"/>
              <w:end w:w="110" w:type="dxa"/>
            </w:tcMar>
          </w:tcPr>
          <w:p>
            <w:r>
              <w:rPr>
                <w:rFonts w:ascii="Arial" w:hAnsi="Arial"/>
                <w:b/>
                <w:color w:val="FFFFFF"/>
                <w:sz w:val="17"/>
              </w:rPr>
              <w:t>Required</w:t>
            </w:r>
          </w:p>
        </w:tc>
      </w:tr>
      <w:tr>
        <w:trPr>
          <w:cantSplit/>
        </w:trPr>
        <w:tc>
          <w:tcPr>
            <w:tcW w:type="dxa" w:w="2880"/>
            <w:vAlign w:val="center"/>
            <w:tcMar>
              <w:top w:w="95" w:type="dxa"/>
              <w:start w:w="110" w:type="dxa"/>
              <w:bottom w:w="95" w:type="dxa"/>
              <w:end w:w="110" w:type="dxa"/>
            </w:tcMar>
          </w:tcPr>
          <w:p>
            <w:pPr>
              <w:spacing w:after="0" w:line="252" w:lineRule="auto"/>
            </w:pPr>
            <w:r>
              <w:rPr>
                <w:rFonts w:ascii="Arial" w:hAnsi="Arial"/>
                <w:sz w:val="17"/>
              </w:rPr>
              <w:t>Python 3.10 or newer</w:t>
            </w:r>
          </w:p>
        </w:tc>
        <w:tc>
          <w:tcPr>
            <w:tcW w:type="dxa" w:w="5616"/>
            <w:vAlign w:val="center"/>
            <w:tcMar>
              <w:top w:w="95" w:type="dxa"/>
              <w:start w:w="110" w:type="dxa"/>
              <w:bottom w:w="95" w:type="dxa"/>
              <w:end w:w="110" w:type="dxa"/>
            </w:tcMar>
          </w:tcPr>
          <w:p>
            <w:pPr>
              <w:spacing w:after="0" w:line="252" w:lineRule="auto"/>
            </w:pPr>
            <w:r>
              <w:rPr>
                <w:rFonts w:ascii="Arial" w:hAnsi="Arial"/>
                <w:sz w:val="17"/>
              </w:rPr>
              <w:t>Backend API, scanners, worker, and reports</w:t>
            </w:r>
          </w:p>
        </w:tc>
        <w:tc>
          <w:tcPr>
            <w:tcW w:type="dxa" w:w="1656"/>
            <w:vAlign w:val="center"/>
            <w:tcMar>
              <w:top w:w="95" w:type="dxa"/>
              <w:start w:w="110" w:type="dxa"/>
              <w:bottom w:w="95" w:type="dxa"/>
              <w:end w:w="110" w:type="dxa"/>
            </w:tcMar>
          </w:tcPr>
          <w:p>
            <w:pPr>
              <w:spacing w:after="0" w:line="252" w:lineRule="auto"/>
            </w:pPr>
            <w:r>
              <w:rPr>
                <w:rFonts w:ascii="Arial" w:hAnsi="Arial"/>
                <w:sz w:val="17"/>
              </w:rPr>
              <w:t>Yes</w:t>
            </w:r>
          </w:p>
        </w:tc>
      </w:tr>
      <w:tr>
        <w:trPr>
          <w:cantSplit/>
        </w:trPr>
        <w:tc>
          <w:tcPr>
            <w:tcW w:type="dxa" w:w="2880"/>
            <w:vAlign w:val="center"/>
            <w:tcMar>
              <w:top w:w="95" w:type="dxa"/>
              <w:start w:w="110" w:type="dxa"/>
              <w:bottom w:w="95" w:type="dxa"/>
              <w:end w:w="110" w:type="dxa"/>
            </w:tcMar>
            <w:shd w:fill="F4F7FA"/>
          </w:tcPr>
          <w:p>
            <w:pPr>
              <w:spacing w:after="0" w:line="252" w:lineRule="auto"/>
            </w:pPr>
            <w:r>
              <w:rPr>
                <w:rFonts w:ascii="Arial" w:hAnsi="Arial"/>
                <w:sz w:val="17"/>
              </w:rPr>
              <w:t>Node.js 22.12 or newer</w:t>
            </w:r>
          </w:p>
        </w:tc>
        <w:tc>
          <w:tcPr>
            <w:tcW w:type="dxa" w:w="5616"/>
            <w:vAlign w:val="center"/>
            <w:tcMar>
              <w:top w:w="95" w:type="dxa"/>
              <w:start w:w="110" w:type="dxa"/>
              <w:bottom w:w="95" w:type="dxa"/>
              <w:end w:w="110" w:type="dxa"/>
            </w:tcMar>
            <w:shd w:fill="F4F7FA"/>
          </w:tcPr>
          <w:p>
            <w:pPr>
              <w:spacing w:after="0" w:line="252" w:lineRule="auto"/>
            </w:pPr>
            <w:r>
              <w:rPr>
                <w:rFonts w:ascii="Arial" w:hAnsi="Arial"/>
                <w:sz w:val="17"/>
              </w:rPr>
              <w:t>Frontend development and build</w:t>
            </w:r>
          </w:p>
        </w:tc>
        <w:tc>
          <w:tcPr>
            <w:tcW w:type="dxa" w:w="1656"/>
            <w:vAlign w:val="center"/>
            <w:tcMar>
              <w:top w:w="95" w:type="dxa"/>
              <w:start w:w="110" w:type="dxa"/>
              <w:bottom w:w="95" w:type="dxa"/>
              <w:end w:w="110" w:type="dxa"/>
            </w:tcMar>
            <w:shd w:fill="F4F7FA"/>
          </w:tcPr>
          <w:p>
            <w:pPr>
              <w:spacing w:after="0" w:line="252" w:lineRule="auto"/>
            </w:pPr>
            <w:r>
              <w:rPr>
                <w:rFonts w:ascii="Arial" w:hAnsi="Arial"/>
                <w:sz w:val="17"/>
              </w:rPr>
              <w:t>Yes</w:t>
            </w:r>
          </w:p>
        </w:tc>
      </w:tr>
      <w:tr>
        <w:trPr>
          <w:cantSplit/>
        </w:trPr>
        <w:tc>
          <w:tcPr>
            <w:tcW w:type="dxa" w:w="2880"/>
            <w:vAlign w:val="center"/>
            <w:tcMar>
              <w:top w:w="95" w:type="dxa"/>
              <w:start w:w="110" w:type="dxa"/>
              <w:bottom w:w="95" w:type="dxa"/>
              <w:end w:w="110" w:type="dxa"/>
            </w:tcMar>
          </w:tcPr>
          <w:p>
            <w:pPr>
              <w:spacing w:after="0" w:line="252" w:lineRule="auto"/>
            </w:pPr>
            <w:r>
              <w:rPr>
                <w:rFonts w:ascii="Arial" w:hAnsi="Arial"/>
                <w:sz w:val="17"/>
              </w:rPr>
              <w:t>Git</w:t>
            </w:r>
          </w:p>
        </w:tc>
        <w:tc>
          <w:tcPr>
            <w:tcW w:type="dxa" w:w="5616"/>
            <w:vAlign w:val="center"/>
            <w:tcMar>
              <w:top w:w="95" w:type="dxa"/>
              <w:start w:w="110" w:type="dxa"/>
              <w:bottom w:w="95" w:type="dxa"/>
              <w:end w:w="110" w:type="dxa"/>
            </w:tcMar>
          </w:tcPr>
          <w:p>
            <w:pPr>
              <w:spacing w:after="0" w:line="252" w:lineRule="auto"/>
            </w:pPr>
            <w:r>
              <w:rPr>
                <w:rFonts w:ascii="Arial" w:hAnsi="Arial"/>
                <w:sz w:val="17"/>
              </w:rPr>
              <w:t>Repository installation and Git input mode</w:t>
            </w:r>
          </w:p>
        </w:tc>
        <w:tc>
          <w:tcPr>
            <w:tcW w:type="dxa" w:w="1656"/>
            <w:vAlign w:val="center"/>
            <w:tcMar>
              <w:top w:w="95" w:type="dxa"/>
              <w:start w:w="110" w:type="dxa"/>
              <w:bottom w:w="95" w:type="dxa"/>
              <w:end w:w="110" w:type="dxa"/>
            </w:tcMar>
          </w:tcPr>
          <w:p>
            <w:pPr>
              <w:spacing w:after="0" w:line="252" w:lineRule="auto"/>
            </w:pPr>
            <w:r>
              <w:rPr>
                <w:rFonts w:ascii="Arial" w:hAnsi="Arial"/>
                <w:sz w:val="17"/>
              </w:rPr>
              <w:t>Yes</w:t>
            </w:r>
          </w:p>
        </w:tc>
      </w:tr>
      <w:tr>
        <w:trPr>
          <w:cantSplit/>
        </w:trPr>
        <w:tc>
          <w:tcPr>
            <w:tcW w:type="dxa" w:w="2880"/>
            <w:vAlign w:val="center"/>
            <w:tcMar>
              <w:top w:w="95" w:type="dxa"/>
              <w:start w:w="110" w:type="dxa"/>
              <w:bottom w:w="95" w:type="dxa"/>
              <w:end w:w="110" w:type="dxa"/>
            </w:tcMar>
            <w:shd w:fill="F4F7FA"/>
          </w:tcPr>
          <w:p>
            <w:pPr>
              <w:spacing w:after="0" w:line="252" w:lineRule="auto"/>
            </w:pPr>
            <w:r>
              <w:rPr>
                <w:rFonts w:ascii="Arial" w:hAnsi="Arial"/>
                <w:sz w:val="17"/>
              </w:rPr>
              <w:t>Modern browser</w:t>
            </w:r>
          </w:p>
        </w:tc>
        <w:tc>
          <w:tcPr>
            <w:tcW w:type="dxa" w:w="5616"/>
            <w:vAlign w:val="center"/>
            <w:tcMar>
              <w:top w:w="95" w:type="dxa"/>
              <w:start w:w="110" w:type="dxa"/>
              <w:bottom w:w="95" w:type="dxa"/>
              <w:end w:w="110" w:type="dxa"/>
            </w:tcMar>
            <w:shd w:fill="F4F7FA"/>
          </w:tcPr>
          <w:p>
            <w:pPr>
              <w:spacing w:after="0" w:line="252" w:lineRule="auto"/>
            </w:pPr>
            <w:r>
              <w:rPr>
                <w:rFonts w:ascii="Arial" w:hAnsi="Arial"/>
                <w:sz w:val="17"/>
              </w:rPr>
              <w:t>Dashboard at the local frontend URL</w:t>
            </w:r>
          </w:p>
        </w:tc>
        <w:tc>
          <w:tcPr>
            <w:tcW w:type="dxa" w:w="1656"/>
            <w:vAlign w:val="center"/>
            <w:tcMar>
              <w:top w:w="95" w:type="dxa"/>
              <w:start w:w="110" w:type="dxa"/>
              <w:bottom w:w="95" w:type="dxa"/>
              <w:end w:w="110" w:type="dxa"/>
            </w:tcMar>
            <w:shd w:fill="F4F7FA"/>
          </w:tcPr>
          <w:p>
            <w:pPr>
              <w:spacing w:after="0" w:line="252" w:lineRule="auto"/>
            </w:pPr>
            <w:r>
              <w:rPr>
                <w:rFonts w:ascii="Arial" w:hAnsi="Arial"/>
                <w:sz w:val="17"/>
              </w:rPr>
              <w:t>Yes</w:t>
            </w:r>
          </w:p>
        </w:tc>
      </w:tr>
      <w:tr>
        <w:trPr>
          <w:cantSplit/>
        </w:trPr>
        <w:tc>
          <w:tcPr>
            <w:tcW w:type="dxa" w:w="2880"/>
            <w:vAlign w:val="center"/>
            <w:tcMar>
              <w:top w:w="95" w:type="dxa"/>
              <w:start w:w="110" w:type="dxa"/>
              <w:bottom w:w="95" w:type="dxa"/>
              <w:end w:w="110" w:type="dxa"/>
            </w:tcMar>
          </w:tcPr>
          <w:p>
            <w:pPr>
              <w:spacing w:after="0" w:line="252" w:lineRule="auto"/>
            </w:pPr>
            <w:r>
              <w:rPr>
                <w:rFonts w:ascii="Arial" w:hAnsi="Arial"/>
                <w:sz w:val="17"/>
              </w:rPr>
              <w:t>Trivy</w:t>
            </w:r>
          </w:p>
        </w:tc>
        <w:tc>
          <w:tcPr>
            <w:tcW w:type="dxa" w:w="5616"/>
            <w:vAlign w:val="center"/>
            <w:tcMar>
              <w:top w:w="95" w:type="dxa"/>
              <w:start w:w="110" w:type="dxa"/>
              <w:bottom w:w="95" w:type="dxa"/>
              <w:end w:w="110" w:type="dxa"/>
            </w:tcMar>
          </w:tcPr>
          <w:p>
            <w:pPr>
              <w:spacing w:after="0" w:line="252" w:lineRule="auto"/>
            </w:pPr>
            <w:r>
              <w:rPr>
                <w:rFonts w:ascii="Arial" w:hAnsi="Arial"/>
                <w:sz w:val="17"/>
              </w:rPr>
              <w:t>Live container image mode only</w:t>
            </w:r>
          </w:p>
        </w:tc>
        <w:tc>
          <w:tcPr>
            <w:tcW w:type="dxa" w:w="1656"/>
            <w:vAlign w:val="center"/>
            <w:tcMar>
              <w:top w:w="95" w:type="dxa"/>
              <w:start w:w="110" w:type="dxa"/>
              <w:bottom w:w="95" w:type="dxa"/>
              <w:end w:w="110" w:type="dxa"/>
            </w:tcMar>
          </w:tcPr>
          <w:p>
            <w:pPr>
              <w:spacing w:after="0" w:line="252" w:lineRule="auto"/>
            </w:pPr>
            <w:r>
              <w:rPr>
                <w:rFonts w:ascii="Arial" w:hAnsi="Arial"/>
                <w:sz w:val="17"/>
              </w:rPr>
              <w:t>Optional</w:t>
            </w:r>
          </w:p>
        </w:tc>
      </w:tr>
    </w:tbl>
    <w:p>
      <w:pPr>
        <w:spacing w:after="60"/>
      </w:pPr>
    </w:p>
    <w:p>
      <w:pPr>
        <w:pStyle w:val="Heading1"/>
      </w:pPr>
      <w:r>
        <w:t>Installation</w:t>
      </w:r>
    </w:p>
    <w:p>
      <w:pPr>
        <w:spacing w:after="80"/>
        <w:ind w:left="403" w:hanging="403"/>
      </w:pPr>
      <w:r>
        <w:t xml:space="preserve">1.  </w:t>
      </w:r>
      <w:r>
        <w:t>Open a terminal in the cloned Akatsuki-Ecdat repository.</w:t>
      </w:r>
    </w:p>
    <w:p>
      <w:pPr>
        <w:spacing w:after="80"/>
        <w:ind w:left="403" w:hanging="403"/>
      </w:pPr>
      <w:r>
        <w:t xml:space="preserve">2.  </w:t>
      </w:r>
      <w:r>
        <w:t>Create a Python virtual environment and install backend dependencies.</w:t>
      </w:r>
    </w:p>
    <w:p>
      <w:pPr>
        <w:spacing w:after="80"/>
        <w:ind w:left="403" w:hanging="403"/>
      </w:pPr>
      <w:r>
        <w:t xml:space="preserve">3.  </w:t>
      </w:r>
      <w:r>
        <w:t>Install frontend packages with the lock file.</w:t>
      </w:r>
    </w:p>
    <w:p>
      <w:pPr>
        <w:spacing w:before="160" w:after="200"/>
        <w:ind w:left="317" w:right="173"/>
        <w:shd w:fill="F3F5F7"/>
      </w:pPr>
      <w:r>
        <w:rPr>
          <w:rFonts w:ascii="Courier New" w:hAnsi="Courier New"/>
          <w:color w:val="263544"/>
          <w:sz w:val="18"/>
        </w:rPr>
        <w:t>python3 -m venv .venv</w:t>
        <w:br/>
      </w:r>
      <w:r>
        <w:rPr>
          <w:rFonts w:ascii="Courier New" w:hAnsi="Courier New"/>
          <w:color w:val="263544"/>
          <w:sz w:val="18"/>
        </w:rPr>
        <w:t>.venv/bin/python -m pip install --upgrade pip</w:t>
        <w:br/>
      </w:r>
      <w:r>
        <w:rPr>
          <w:rFonts w:ascii="Courier New" w:hAnsi="Courier New"/>
          <w:color w:val="263544"/>
          <w:sz w:val="18"/>
        </w:rPr>
        <w:t>.venv/bin/python -m pip install -r requirements.txt</w:t>
        <w:br/>
      </w:r>
      <w:r>
        <w:rPr>
          <w:rFonts w:ascii="Courier New" w:hAnsi="Courier New"/>
          <w:color w:val="263544"/>
          <w:sz w:val="18"/>
        </w:rPr>
        <w:t>cd frontend</w:t>
        <w:br/>
      </w:r>
      <w:r>
        <w:rPr>
          <w:rFonts w:ascii="Courier New" w:hAnsi="Courier New"/>
          <w:color w:val="263544"/>
          <w:sz w:val="18"/>
        </w:rPr>
        <w:t>npm ci</w:t>
        <w:br/>
      </w:r>
      <w:r>
        <w:rPr>
          <w:rFonts w:ascii="Courier New" w:hAnsi="Courier New"/>
          <w:color w:val="263544"/>
          <w:sz w:val="18"/>
        </w:rPr>
        <w:t>cd ..</w:t>
        <w:br/>
      </w:r>
    </w:p>
    <w:p>
      <w:pPr>
        <w:pStyle w:val="Heading1"/>
      </w:pPr>
      <w:r>
        <w:t>Start the Application</w:t>
      </w:r>
    </w:p>
    <w:p>
      <w:pPr>
        <w:spacing w:after="480"/>
      </w:pPr>
      <w:r>
        <w:rPr>
          <w:b/>
          <w:sz w:val="22"/>
        </w:rPr>
        <w:t>Backend Terminal</w:t>
      </w:r>
    </w:p>
    <w:p>
      <w:pPr>
        <w:spacing w:before="160" w:after="200"/>
        <w:ind w:left="317" w:right="173"/>
        <w:shd w:fill="F3F5F7"/>
      </w:pPr>
      <w:r>
        <w:rPr>
          <w:rFonts w:ascii="Courier New" w:hAnsi="Courier New"/>
          <w:color w:val="263544"/>
          <w:sz w:val="18"/>
        </w:rPr>
        <w:t>.venv/bin/uvicorn backend.main:app --host 127.0.0.1 --port 8000</w:t>
        <w:br/>
      </w:r>
    </w:p>
    <w:p>
      <w:r>
        <w:t>Check http://127.0.0.1:8000/health. The response should report healthy. Interactive API documentation is available at http://127.0.0.1:8000/docs.</w:t>
      </w:r>
    </w:p>
    <w:p>
      <w:pPr>
        <w:pStyle w:val="Heading2"/>
      </w:pPr>
      <w:r>
        <w:t>Frontend Terminal</w:t>
      </w:r>
    </w:p>
    <w:p>
      <w:pPr>
        <w:spacing w:before="160" w:after="200"/>
        <w:ind w:left="317" w:right="173"/>
        <w:shd w:fill="F3F5F7"/>
      </w:pPr>
      <w:r>
        <w:rPr>
          <w:rFonts w:ascii="Courier New" w:hAnsi="Courier New"/>
          <w:color w:val="263544"/>
          <w:sz w:val="18"/>
        </w:rPr>
        <w:t>cd frontend</w:t>
        <w:br/>
      </w:r>
      <w:r>
        <w:rPr>
          <w:rFonts w:ascii="Courier New" w:hAnsi="Courier New"/>
          <w:color w:val="263544"/>
          <w:sz w:val="18"/>
        </w:rPr>
        <w:t>npm run dev</w:t>
        <w:br/>
      </w:r>
    </w:p>
    <w:p>
      <w:r>
        <w:t>Open http://127.0.0.1:3000. If Vite selects another local port, use the URL printed in that terminal.</w:t>
      </w:r>
    </w:p>
    <w:p>
      <w:pPr>
        <w:pStyle w:val="Heading1"/>
      </w:pPr>
      <w:r>
        <w:t>Optional Access Token</w:t>
      </w:r>
    </w:p>
    <w:p>
      <w:r>
        <w:t>Set ECDAT_API_TOKEN before starting the backend to protect all API routes except health. Enter the same value under Workspace access token in the dashboard and choose Connect. The browser holds it in memory for the current tab.</w:t>
      </w:r>
    </w:p>
    <w:p>
      <w:pPr>
        <w:spacing w:before="160" w:after="200"/>
        <w:ind w:left="317" w:right="173"/>
        <w:shd w:fill="F3F5F7"/>
      </w:pPr>
      <w:r>
        <w:rPr>
          <w:rFonts w:ascii="Courier New" w:hAnsi="Courier New"/>
          <w:color w:val="263544"/>
          <w:sz w:val="18"/>
        </w:rPr>
        <w:t>export ECDAT_API_TOKEN=review-secret</w:t>
        <w:br/>
      </w:r>
      <w:r>
        <w:rPr>
          <w:rFonts w:ascii="Courier New" w:hAnsi="Courier New"/>
          <w:color w:val="263544"/>
          <w:sz w:val="18"/>
        </w:rPr>
        <w:t>.venv/bin/uvicorn backend.main:app --host 127.0.0.1 --port 8000</w:t>
        <w:br/>
      </w:r>
    </w:p>
    <w:p>
      <w:pPr>
        <w:pStyle w:val="Heading1"/>
      </w:pPr>
      <w:r>
        <w:t>Sample Data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2520"/>
            <w:shd w:fill="17243B"/>
            <w:vAlign w:val="center"/>
            <w:tcMar>
              <w:top w:w="105" w:type="dxa"/>
              <w:start w:w="110" w:type="dxa"/>
              <w:bottom w:w="105" w:type="dxa"/>
              <w:end w:w="110" w:type="dxa"/>
            </w:tcMar>
          </w:tcPr>
          <w:p>
            <w:r>
              <w:rPr>
                <w:rFonts w:ascii="Arial" w:hAnsi="Arial"/>
                <w:b/>
                <w:color w:val="FFFFFF"/>
                <w:sz w:val="17"/>
              </w:rPr>
              <w:t>Sample</w:t>
            </w:r>
          </w:p>
        </w:tc>
        <w:tc>
          <w:tcPr>
            <w:tcW w:type="dxa" w:w="5112"/>
            <w:shd w:fill="17243B"/>
            <w:vAlign w:val="center"/>
            <w:tcMar>
              <w:top w:w="105" w:type="dxa"/>
              <w:start w:w="110" w:type="dxa"/>
              <w:bottom w:w="105" w:type="dxa"/>
              <w:end w:w="110" w:type="dxa"/>
            </w:tcMar>
          </w:tcPr>
          <w:p>
            <w:r>
              <w:rPr>
                <w:rFonts w:ascii="Arial" w:hAnsi="Arial"/>
                <w:b/>
                <w:color w:val="FFFFFF"/>
                <w:sz w:val="17"/>
              </w:rPr>
              <w:t>Use</w:t>
            </w:r>
          </w:p>
        </w:tc>
        <w:tc>
          <w:tcPr>
            <w:tcW w:type="dxa" w:w="2520"/>
            <w:shd w:fill="17243B"/>
            <w:vAlign w:val="center"/>
            <w:tcMar>
              <w:top w:w="105" w:type="dxa"/>
              <w:start w:w="110" w:type="dxa"/>
              <w:bottom w:w="105" w:type="dxa"/>
              <w:end w:w="110" w:type="dxa"/>
            </w:tcMar>
          </w:tcPr>
          <w:p>
            <w:r>
              <w:rPr>
                <w:rFonts w:ascii="Arial" w:hAnsi="Arial"/>
                <w:b/>
                <w:color w:val="FFFFFF"/>
                <w:sz w:val="17"/>
              </w:rPr>
              <w:t>Verified result</w:t>
            </w:r>
          </w:p>
        </w:tc>
      </w:tr>
      <w:tr>
        <w:trPr>
          <w:cantSplit/>
        </w:trPr>
        <w:tc>
          <w:tcPr>
            <w:tcW w:type="dxa" w:w="2520"/>
            <w:vAlign w:val="center"/>
            <w:tcMar>
              <w:top w:w="95" w:type="dxa"/>
              <w:start w:w="110" w:type="dxa"/>
              <w:bottom w:w="95" w:type="dxa"/>
              <w:end w:w="110" w:type="dxa"/>
            </w:tcMar>
          </w:tcPr>
          <w:p>
            <w:pPr>
              <w:spacing w:after="0" w:line="252" w:lineRule="auto"/>
            </w:pPr>
            <w:r>
              <w:rPr>
                <w:rFonts w:ascii="Arial" w:hAnsi="Arial"/>
                <w:sz w:val="17"/>
              </w:rPr>
              <w:t>demo/workspace</w:t>
            </w:r>
          </w:p>
        </w:tc>
        <w:tc>
          <w:tcPr>
            <w:tcW w:type="dxa" w:w="5112"/>
            <w:vAlign w:val="center"/>
            <w:tcMar>
              <w:top w:w="95" w:type="dxa"/>
              <w:start w:w="110" w:type="dxa"/>
              <w:bottom w:w="95" w:type="dxa"/>
              <w:end w:w="110" w:type="dxa"/>
            </w:tcMar>
          </w:tcPr>
          <w:p>
            <w:pPr>
              <w:spacing w:after="0" w:line="252" w:lineRule="auto"/>
            </w:pPr>
            <w:r>
              <w:rPr>
                <w:rFonts w:ascii="Arial" w:hAnsi="Arial"/>
                <w:sz w:val="17"/>
              </w:rPr>
              <w:t>Local path demonstration with Python, Nginx, and a dependency manifest</w:t>
            </w:r>
          </w:p>
        </w:tc>
        <w:tc>
          <w:tcPr>
            <w:tcW w:type="dxa" w:w="2520"/>
            <w:vAlign w:val="center"/>
            <w:tcMar>
              <w:top w:w="95" w:type="dxa"/>
              <w:start w:w="110" w:type="dxa"/>
              <w:bottom w:w="95" w:type="dxa"/>
              <w:end w:w="110" w:type="dxa"/>
            </w:tcMar>
          </w:tcPr>
          <w:p>
            <w:pPr>
              <w:spacing w:after="0" w:line="252" w:lineRule="auto"/>
            </w:pPr>
            <w:r>
              <w:rPr>
                <w:rFonts w:ascii="Arial" w:hAnsi="Arial"/>
                <w:sz w:val="17"/>
              </w:rPr>
              <w:t>10 assets and 3 Critical</w:t>
            </w:r>
          </w:p>
        </w:tc>
      </w:tr>
      <w:tr>
        <w:trPr>
          <w:cantSplit/>
        </w:trPr>
        <w:tc>
          <w:tcPr>
            <w:tcW w:type="dxa" w:w="2520"/>
            <w:vAlign w:val="center"/>
            <w:tcMar>
              <w:top w:w="95" w:type="dxa"/>
              <w:start w:w="110" w:type="dxa"/>
              <w:bottom w:w="95" w:type="dxa"/>
              <w:end w:w="110" w:type="dxa"/>
            </w:tcMar>
            <w:shd w:fill="F4F7FA"/>
          </w:tcPr>
          <w:p>
            <w:pPr>
              <w:spacing w:after="0" w:line="252" w:lineRule="auto"/>
            </w:pPr>
            <w:r>
              <w:rPr>
                <w:rFonts w:ascii="Arial" w:hAnsi="Arial"/>
                <w:sz w:val="17"/>
              </w:rPr>
              <w:t>demo-workspace.zip</w:t>
            </w:r>
          </w:p>
        </w:tc>
        <w:tc>
          <w:tcPr>
            <w:tcW w:type="dxa" w:w="5112"/>
            <w:vAlign w:val="center"/>
            <w:tcMar>
              <w:top w:w="95" w:type="dxa"/>
              <w:start w:w="110" w:type="dxa"/>
              <w:bottom w:w="95" w:type="dxa"/>
              <w:end w:w="110" w:type="dxa"/>
            </w:tcMar>
            <w:shd w:fill="F4F7FA"/>
          </w:tcPr>
          <w:p>
            <w:pPr>
              <w:spacing w:after="0" w:line="252" w:lineRule="auto"/>
            </w:pPr>
            <w:r>
              <w:rPr>
                <w:rFonts w:ascii="Arial" w:hAnsi="Arial"/>
                <w:sz w:val="17"/>
              </w:rPr>
              <w:t>Same workspace through the upload flow</w:t>
            </w:r>
          </w:p>
        </w:tc>
        <w:tc>
          <w:tcPr>
            <w:tcW w:type="dxa" w:w="2520"/>
            <w:vAlign w:val="center"/>
            <w:tcMar>
              <w:top w:w="95" w:type="dxa"/>
              <w:start w:w="110" w:type="dxa"/>
              <w:bottom w:w="95" w:type="dxa"/>
              <w:end w:w="110" w:type="dxa"/>
            </w:tcMar>
            <w:shd w:fill="F4F7FA"/>
          </w:tcPr>
          <w:p>
            <w:pPr>
              <w:spacing w:after="0" w:line="252" w:lineRule="auto"/>
            </w:pPr>
            <w:r>
              <w:rPr>
                <w:rFonts w:ascii="Arial" w:hAnsi="Arial"/>
                <w:sz w:val="17"/>
              </w:rPr>
              <w:t>Content equivalent to workspace fixture</w:t>
            </w:r>
          </w:p>
        </w:tc>
      </w:tr>
      <w:tr>
        <w:trPr>
          <w:cantSplit/>
        </w:trPr>
        <w:tc>
          <w:tcPr>
            <w:tcW w:type="dxa" w:w="2520"/>
            <w:vAlign w:val="center"/>
            <w:tcMar>
              <w:top w:w="95" w:type="dxa"/>
              <w:start w:w="110" w:type="dxa"/>
              <w:bottom w:w="95" w:type="dxa"/>
              <w:end w:w="110" w:type="dxa"/>
            </w:tcMar>
          </w:tcPr>
          <w:p>
            <w:pPr>
              <w:spacing w:after="0" w:line="252" w:lineRule="auto"/>
            </w:pPr>
            <w:r>
              <w:rPr>
                <w:rFonts w:ascii="Arial" w:hAnsi="Arial"/>
                <w:sz w:val="17"/>
              </w:rPr>
              <w:t>demo-image-inventory.json</w:t>
            </w:r>
          </w:p>
        </w:tc>
        <w:tc>
          <w:tcPr>
            <w:tcW w:type="dxa" w:w="5112"/>
            <w:vAlign w:val="center"/>
            <w:tcMar>
              <w:top w:w="95" w:type="dxa"/>
              <w:start w:w="110" w:type="dxa"/>
              <w:bottom w:w="95" w:type="dxa"/>
              <w:end w:w="110" w:type="dxa"/>
            </w:tcMar>
          </w:tcPr>
          <w:p>
            <w:pPr>
              <w:spacing w:after="0" w:line="252" w:lineRule="auto"/>
            </w:pPr>
            <w:r>
              <w:rPr>
                <w:rFonts w:ascii="Arial" w:hAnsi="Arial"/>
                <w:sz w:val="17"/>
              </w:rPr>
              <w:t>Delivered offline CycloneDX style image package inventory</w:t>
            </w:r>
          </w:p>
        </w:tc>
        <w:tc>
          <w:tcPr>
            <w:tcW w:type="dxa" w:w="2520"/>
            <w:vAlign w:val="center"/>
            <w:tcMar>
              <w:top w:w="95" w:type="dxa"/>
              <w:start w:w="110" w:type="dxa"/>
              <w:bottom w:w="95" w:type="dxa"/>
              <w:end w:w="110" w:type="dxa"/>
            </w:tcMar>
          </w:tcPr>
          <w:p>
            <w:pPr>
              <w:spacing w:after="0" w:line="252" w:lineRule="auto"/>
            </w:pPr>
            <w:r>
              <w:rPr>
                <w:rFonts w:ascii="Arial" w:hAnsi="Arial"/>
                <w:sz w:val="17"/>
              </w:rPr>
              <w:t>2 assets</w:t>
            </w:r>
          </w:p>
        </w:tc>
      </w:tr>
      <w:tr>
        <w:trPr>
          <w:cantSplit/>
        </w:trPr>
        <w:tc>
          <w:tcPr>
            <w:tcW w:type="dxa" w:w="2520"/>
            <w:vAlign w:val="center"/>
            <w:tcMar>
              <w:top w:w="95" w:type="dxa"/>
              <w:start w:w="110" w:type="dxa"/>
              <w:bottom w:w="95" w:type="dxa"/>
              <w:end w:w="110" w:type="dxa"/>
            </w:tcMar>
            <w:shd w:fill="F4F7FA"/>
          </w:tcPr>
          <w:p>
            <w:pPr>
              <w:spacing w:after="0" w:line="252" w:lineRule="auto"/>
            </w:pPr>
            <w:r>
              <w:rPr>
                <w:rFonts w:ascii="Arial" w:hAnsi="Arial"/>
                <w:sz w:val="17"/>
              </w:rPr>
              <w:t>Repository Git URL</w:t>
            </w:r>
          </w:p>
        </w:tc>
        <w:tc>
          <w:tcPr>
            <w:tcW w:type="dxa" w:w="5112"/>
            <w:vAlign w:val="center"/>
            <w:tcMar>
              <w:top w:w="95" w:type="dxa"/>
              <w:start w:w="110" w:type="dxa"/>
              <w:bottom w:w="95" w:type="dxa"/>
              <w:end w:w="110" w:type="dxa"/>
            </w:tcMar>
            <w:shd w:fill="F4F7FA"/>
          </w:tcPr>
          <w:p>
            <w:pPr>
              <w:spacing w:after="0" w:line="252" w:lineRule="auto"/>
            </w:pPr>
            <w:r>
              <w:rPr>
                <w:rFonts w:ascii="Arial" w:hAnsi="Arial"/>
                <w:sz w:val="17"/>
              </w:rPr>
              <w:t>Public HTTPS Git ingestion</w:t>
            </w:r>
          </w:p>
        </w:tc>
        <w:tc>
          <w:tcPr>
            <w:tcW w:type="dxa" w:w="2520"/>
            <w:vAlign w:val="center"/>
            <w:tcMar>
              <w:top w:w="95" w:type="dxa"/>
              <w:start w:w="110" w:type="dxa"/>
              <w:bottom w:w="95" w:type="dxa"/>
              <w:end w:w="110" w:type="dxa"/>
            </w:tcMar>
            <w:shd w:fill="F4F7FA"/>
          </w:tcPr>
          <w:p>
            <w:pPr>
              <w:spacing w:after="0" w:line="252" w:lineRule="auto"/>
            </w:pPr>
            <w:r>
              <w:rPr>
                <w:rFonts w:ascii="Arial" w:hAnsi="Arial"/>
                <w:sz w:val="17"/>
              </w:rPr>
              <w:t>51 assets in the review run</w:t>
            </w:r>
          </w:p>
        </w:tc>
      </w:tr>
    </w:tbl>
    <w:p>
      <w:pPr>
        <w:spacing w:after="60"/>
      </w:pPr>
    </w:p>
    <w:p>
      <w:r>
        <w:t>Counts are evidence from the verified review build. They can change when rules or sample content change.</w:t>
      </w:r>
    </w:p>
    <w:p>
      <w:pPr>
        <w:pStyle w:val="Heading1"/>
      </w:pPr>
      <w:r>
        <w:t>Recommended Dashboard Demo</w:t>
      </w:r>
    </w:p>
    <w:p>
      <w:pPr>
        <w:spacing w:after="80"/>
        <w:ind w:left="403" w:hanging="403"/>
      </w:pPr>
      <w:r>
        <w:t xml:space="preserve">1.  </w:t>
      </w:r>
      <w:r>
        <w:t>On Overview, set Input type to Local path.</w:t>
      </w:r>
    </w:p>
    <w:p>
      <w:pPr>
        <w:spacing w:after="80"/>
        <w:ind w:left="403" w:hanging="403"/>
      </w:pPr>
      <w:r>
        <w:t xml:space="preserve">2.  </w:t>
      </w:r>
      <w:r>
        <w:t>Enter demo/workspace and choose Start scan.</w:t>
      </w:r>
    </w:p>
    <w:p>
      <w:pPr>
        <w:spacing w:after="80"/>
        <w:ind w:left="403" w:hanging="403"/>
      </w:pPr>
      <w:r>
        <w:t xml:space="preserve">3.  </w:t>
      </w:r>
      <w:r>
        <w:t>Point out the queued and running lifecycle. Wait for the status to become completed.</w:t>
      </w:r>
    </w:p>
    <w:p>
      <w:pPr>
        <w:spacing w:after="80"/>
        <w:ind w:left="403" w:hanging="403"/>
      </w:pPr>
      <w:r>
        <w:t xml:space="preserve">4.  </w:t>
      </w:r>
      <w:r>
        <w:t>Use Overview to explain the total inventory and risk distribution. The verified fixture produced 10 assets and 3 Critical findings.</w:t>
      </w:r>
    </w:p>
    <w:p>
      <w:pPr>
        <w:spacing w:after="80"/>
        <w:ind w:left="403" w:hanging="403"/>
      </w:pPr>
      <w:r>
        <w:t xml:space="preserve">5.  </w:t>
      </w:r>
      <w:r>
        <w:t>Open Inventory. Search for SHA or TLS, apply a risk filter, and open one asset.</w:t>
      </w:r>
    </w:p>
    <w:p>
      <w:pPr>
        <w:spacing w:after="80"/>
        <w:ind w:left="403" w:hanging="403"/>
      </w:pPr>
      <w:r>
        <w:t xml:space="preserve">6.  </w:t>
      </w:r>
      <w:r>
        <w:t>On Asset Detail, show the occurrence, X shelf life, Y migration effort, Z threat timeline, urgency ratio, and suggested action.</w:t>
      </w:r>
    </w:p>
    <w:p>
      <w:pPr>
        <w:spacing w:after="80"/>
        <w:ind w:left="403" w:hanging="403"/>
      </w:pPr>
      <w:r>
        <w:t xml:space="preserve">7.  </w:t>
      </w:r>
      <w:r>
        <w:t>Open Risk Heatmap and adjust the Z value. Explain that this is an exploratory view and does not overwrite the saved assessment.</w:t>
      </w:r>
    </w:p>
    <w:p>
      <w:pPr>
        <w:spacing w:after="80"/>
        <w:ind w:left="403" w:hanging="403"/>
      </w:pPr>
      <w:r>
        <w:t xml:space="preserve">8.  </w:t>
      </w:r>
      <w:r>
        <w:t>Open Recommendations, download a report, and use Scan history to demonstrate persisted results.</w:t>
      </w:r>
    </w:p>
    <w:p>
      <w:pPr>
        <w:jc w:val="center"/>
      </w:pPr>
      <w:r>
        <w:drawing>
          <wp:inline xmlns:a="http://schemas.openxmlformats.org/drawingml/2006/main" xmlns:pic="http://schemas.openxmlformats.org/drawingml/2006/picture">
            <wp:extent cx="4389120" cy="3352800"/>
            <wp:docPr id="1" name="Picture 1"/>
            <wp:cNvGraphicFramePr>
              <a:graphicFrameLocks noChangeAspect="1"/>
            </wp:cNvGraphicFramePr>
            <a:graphic>
              <a:graphicData uri="http://schemas.openxmlformats.org/drawingml/2006/picture">
                <pic:pic>
                  <pic:nvPicPr>
                    <pic:cNvPr id="0" name="dashboard-desktop.png"/>
                    <pic:cNvPicPr/>
                  </pic:nvPicPr>
                  <pic:blipFill>
                    <a:blip r:embed="rId11"/>
                    <a:stretch>
                      <a:fillRect/>
                    </a:stretch>
                  </pic:blipFill>
                  <pic:spPr>
                    <a:xfrm>
                      <a:off x="0" y="0"/>
                      <a:ext cx="4389120" cy="3352800"/>
                    </a:xfrm>
                    <a:prstGeom prst="rect"/>
                  </pic:spPr>
                </pic:pic>
              </a:graphicData>
            </a:graphic>
          </wp:inline>
        </w:drawing>
      </w:r>
    </w:p>
    <w:p>
      <w:pPr>
        <w:jc w:val="center"/>
      </w:pPr>
      <w:r>
        <w:rPr>
          <w:i/>
          <w:color w:val="596370"/>
          <w:sz w:val="18"/>
        </w:rPr>
        <w:t>Figure 1  Review build dashboard</w:t>
      </w:r>
    </w:p>
    <w:p>
      <w:pPr>
        <w:pStyle w:val="Heading1"/>
      </w:pPr>
      <w:r>
        <w:t>Additional Input Demonstrations</w:t>
      </w:r>
    </w:p>
    <w:p>
      <w:pPr>
        <w:pStyle w:val="Heading2"/>
      </w:pPr>
      <w:r>
        <w:t>Git Repository</w:t>
      </w:r>
    </w:p>
    <w:p>
      <w:r>
        <w:t>Choose Git repository and enter the public URL below. The default allowlist supports GitHub, GitLab, and Bitbucket. The backend performs a shallow HTTPS clone and scans a bounded snapshot.</w:t>
      </w:r>
    </w:p>
    <w:p>
      <w:pPr>
        <w:spacing w:before="160" w:after="200"/>
        <w:ind w:left="317" w:right="173"/>
        <w:shd w:fill="F3F5F7"/>
      </w:pPr>
      <w:r>
        <w:rPr>
          <w:rFonts w:ascii="Courier New" w:hAnsi="Courier New"/>
          <w:color w:val="263544"/>
          <w:sz w:val="18"/>
        </w:rPr>
        <w:t>https://github.com/ACE4AKSHAY/Akatsuki-Ecdat</w:t>
        <w:br/>
      </w:r>
    </w:p>
    <w:p>
      <w:pPr>
        <w:pStyle w:val="Heading2"/>
      </w:pPr>
      <w:r>
        <w:t>File or ZIP Upload</w:t>
      </w:r>
    </w:p>
    <w:p>
      <w:r>
        <w:t>Choose File or ZIP upload, select demo-workspace.zip from the delivered outputs, and start the scan. The server rejects unsafe ZIP members and applies expanded size and entry limits.</w:t>
      </w:r>
    </w:p>
    <w:p>
      <w:pPr>
        <w:pStyle w:val="Heading2"/>
      </w:pPr>
      <w:r>
        <w:t>Offline Image Inventory</w:t>
      </w:r>
    </w:p>
    <w:p>
      <w:r>
        <w:t>Choose Container image or SBOM, select demo-image-inventory.json, and start the scan. This path reads package evidence without needing Docker or Trivy.</w:t>
      </w:r>
    </w:p>
    <w:p>
      <w:pPr>
        <w:pStyle w:val="Heading2"/>
      </w:pPr>
      <w:r>
        <w:t>Live Image Reference</w:t>
      </w:r>
    </w:p>
    <w:p>
      <w:r>
        <w:t>When Trivy is installed and the machine can access the registry, choose Container image or SBOM, leave the file selector empty, and enter an image reference such as alpine:3.20. ECDAT invokes Trivy to obtain CycloneDX package evidence. This route was implemented but was not verified in the review environment.</w:t>
      </w:r>
    </w:p>
    <w:p>
      <w:pPr>
        <w:pStyle w:val="Heading1"/>
      </w:pPr>
      <w:r>
        <w:t>Automated Smoke Demo</w:t>
      </w:r>
    </w:p>
    <w:p>
      <w:r>
        <w:t>With the backend running, the supplied script submits the workspace and offline image fixtures, waits for completion, and downloads PDF, CSV, XLSX, and JSON reports.</w:t>
      </w:r>
    </w:p>
    <w:p>
      <w:pPr>
        <w:spacing w:before="160" w:after="200"/>
        <w:ind w:left="317" w:right="173"/>
        <w:shd w:fill="F3F5F7"/>
      </w:pPr>
      <w:r>
        <w:rPr>
          <w:rFonts w:ascii="Courier New" w:hAnsi="Courier New"/>
          <w:color w:val="263544"/>
          <w:sz w:val="18"/>
        </w:rPr>
        <w:t>.venv/bin/python scripts/demo_smoke.py</w:t>
        <w:br/>
      </w:r>
    </w:p>
    <w:p>
      <w:r>
        <w:t>The script writes its working results under work/demo-results. It does not execute any code from the scanned samples.</w:t>
      </w:r>
    </w:p>
    <w:p>
      <w:pPr>
        <w:pStyle w:val="Heading1"/>
      </w:pPr>
      <w:r>
        <w:t>REST API Examples</w:t>
      </w:r>
    </w:p>
    <w:p>
      <w:pPr>
        <w:pStyle w:val="Heading2"/>
      </w:pPr>
      <w:r>
        <w:t>Start a Local Scan</w:t>
      </w:r>
    </w:p>
    <w:p>
      <w:pPr>
        <w:spacing w:before="160" w:after="200"/>
        <w:ind w:left="317" w:right="173"/>
        <w:shd w:fill="F3F5F7"/>
      </w:pPr>
      <w:r>
        <w:rPr>
          <w:rFonts w:ascii="Courier New" w:hAnsi="Courier New"/>
          <w:color w:val="263544"/>
          <w:sz w:val="18"/>
        </w:rPr>
        <w:t>curl -s -X POST http://127.0.0.1:8000/scans \  -H 'Content-Type: application/json' \  -d '{"sourceType":"path","target":"demo/workspace"}'</w:t>
        <w:br/>
      </w:r>
    </w:p>
    <w:p>
      <w:pPr>
        <w:pStyle w:val="Heading2"/>
      </w:pPr>
      <w:r>
        <w:t>Poll a Scan</w:t>
      </w:r>
    </w:p>
    <w:p>
      <w:pPr>
        <w:spacing w:before="160" w:after="200"/>
        <w:ind w:left="317" w:right="173"/>
        <w:shd w:fill="F3F5F7"/>
      </w:pPr>
      <w:r>
        <w:rPr>
          <w:rFonts w:ascii="Courier New" w:hAnsi="Courier New"/>
          <w:color w:val="263544"/>
          <w:sz w:val="18"/>
        </w:rPr>
        <w:t>curl -s http://127.0.0.1:8000/scans/SCAN_ID</w:t>
        <w:br/>
      </w:r>
    </w:p>
    <w:p>
      <w:pPr>
        <w:pStyle w:val="Heading2"/>
      </w:pPr>
      <w:r>
        <w:t>Read Assets</w:t>
      </w:r>
    </w:p>
    <w:p>
      <w:pPr>
        <w:spacing w:before="160" w:after="200"/>
        <w:ind w:left="317" w:right="173"/>
        <w:shd w:fill="F3F5F7"/>
      </w:pPr>
      <w:r>
        <w:rPr>
          <w:rFonts w:ascii="Courier New" w:hAnsi="Courier New"/>
          <w:color w:val="263544"/>
          <w:sz w:val="18"/>
        </w:rPr>
        <w:t>curl -s 'http://127.0.0.1:8000/assets?scanId=SCAN_ID&amp;pageSize=200'</w:t>
        <w:br/>
      </w:r>
    </w:p>
    <w:p>
      <w:pPr>
        <w:pStyle w:val="Heading2"/>
      </w:pPr>
      <w:r>
        <w:t>Download a Report</w:t>
      </w:r>
    </w:p>
    <w:p>
      <w:pPr>
        <w:spacing w:before="160" w:after="200"/>
        <w:ind w:left="317" w:right="173"/>
        <w:shd w:fill="F3F5F7"/>
      </w:pPr>
      <w:r>
        <w:rPr>
          <w:rFonts w:ascii="Courier New" w:hAnsi="Courier New"/>
          <w:color w:val="263544"/>
          <w:sz w:val="18"/>
        </w:rPr>
        <w:t>curl -L -o ecdat-report.pdf 'http://127.0.0.1:8000/reports/SCAN_ID?format=pdf'</w:t>
        <w:br/>
      </w:r>
    </w:p>
    <w:p>
      <w:r>
        <w:t>When token protection is enabled, add -H 'Authorization: Bearer review-secret' to protected API requests.</w:t>
      </w:r>
    </w:p>
    <w:p>
      <w:pPr>
        <w:pStyle w:val="Heading1"/>
      </w:pPr>
      <w:r>
        <w:t>Seven Minute Presenter Script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1440"/>
            <w:shd w:fill="17243B"/>
            <w:vAlign w:val="center"/>
            <w:tcMar>
              <w:top w:w="105" w:type="dxa"/>
              <w:start w:w="110" w:type="dxa"/>
              <w:bottom w:w="105" w:type="dxa"/>
              <w:end w:w="110" w:type="dxa"/>
            </w:tcMar>
          </w:tcPr>
          <w:p>
            <w:r>
              <w:rPr>
                <w:rFonts w:ascii="Arial" w:hAnsi="Arial"/>
                <w:b/>
                <w:color w:val="FFFFFF"/>
                <w:sz w:val="17"/>
              </w:rPr>
              <w:t>Time</w:t>
            </w:r>
          </w:p>
        </w:tc>
        <w:tc>
          <w:tcPr>
            <w:tcW w:type="dxa" w:w="2952"/>
            <w:shd w:fill="17243B"/>
            <w:vAlign w:val="center"/>
            <w:tcMar>
              <w:top w:w="105" w:type="dxa"/>
              <w:start w:w="110" w:type="dxa"/>
              <w:bottom w:w="105" w:type="dxa"/>
              <w:end w:w="110" w:type="dxa"/>
            </w:tcMar>
          </w:tcPr>
          <w:p>
            <w:r>
              <w:rPr>
                <w:rFonts w:ascii="Arial" w:hAnsi="Arial"/>
                <w:b/>
                <w:color w:val="FFFFFF"/>
                <w:sz w:val="17"/>
              </w:rPr>
              <w:t>Action</w:t>
            </w:r>
          </w:p>
        </w:tc>
        <w:tc>
          <w:tcPr>
            <w:tcW w:type="dxa" w:w="5760"/>
            <w:shd w:fill="17243B"/>
            <w:vAlign w:val="center"/>
            <w:tcMar>
              <w:top w:w="105" w:type="dxa"/>
              <w:start w:w="110" w:type="dxa"/>
              <w:bottom w:w="105" w:type="dxa"/>
              <w:end w:w="110" w:type="dxa"/>
            </w:tcMar>
          </w:tcPr>
          <w:p>
            <w:r>
              <w:rPr>
                <w:rFonts w:ascii="Arial" w:hAnsi="Arial"/>
                <w:b/>
                <w:color w:val="FFFFFF"/>
                <w:sz w:val="17"/>
              </w:rPr>
              <w:t>Message</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7"/>
              </w:rPr>
              <w:t>0 to 1 min</w:t>
            </w:r>
          </w:p>
        </w:tc>
        <w:tc>
          <w:tcPr>
            <w:tcW w:type="dxa" w:w="2952"/>
            <w:vAlign w:val="center"/>
            <w:tcMar>
              <w:top w:w="95" w:type="dxa"/>
              <w:start w:w="110" w:type="dxa"/>
              <w:bottom w:w="95" w:type="dxa"/>
              <w:end w:w="110" w:type="dxa"/>
            </w:tcMar>
          </w:tcPr>
          <w:p>
            <w:pPr>
              <w:spacing w:after="0" w:line="252" w:lineRule="auto"/>
            </w:pPr>
            <w:r>
              <w:rPr>
                <w:rFonts w:ascii="Arial" w:hAnsi="Arial"/>
                <w:sz w:val="17"/>
              </w:rPr>
              <w:t>Introduce the objective</w:t>
            </w:r>
          </w:p>
        </w:tc>
        <w:tc>
          <w:tcPr>
            <w:tcW w:type="dxa" w:w="5760"/>
            <w:vAlign w:val="center"/>
            <w:tcMar>
              <w:top w:w="95" w:type="dxa"/>
              <w:start w:w="110" w:type="dxa"/>
              <w:bottom w:w="95" w:type="dxa"/>
              <w:end w:w="110" w:type="dxa"/>
            </w:tcMar>
          </w:tcPr>
          <w:p>
            <w:pPr>
              <w:spacing w:after="0" w:line="252" w:lineRule="auto"/>
            </w:pPr>
            <w:r>
              <w:rPr>
                <w:rFonts w:ascii="Arial" w:hAnsi="Arial"/>
                <w:sz w:val="17"/>
              </w:rPr>
              <w:t>ECDAT creates visibility into cryptographic dependencies and migration urgency.</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7"/>
              </w:rPr>
              <w:t>1 to 2 min</w:t>
            </w:r>
          </w:p>
        </w:tc>
        <w:tc>
          <w:tcPr>
            <w:tcW w:type="dxa" w:w="2952"/>
            <w:vAlign w:val="center"/>
            <w:tcMar>
              <w:top w:w="95" w:type="dxa"/>
              <w:start w:w="110" w:type="dxa"/>
              <w:bottom w:w="95" w:type="dxa"/>
              <w:end w:w="110" w:type="dxa"/>
            </w:tcMar>
            <w:shd w:fill="F4F7FA"/>
          </w:tcPr>
          <w:p>
            <w:pPr>
              <w:spacing w:after="0" w:line="252" w:lineRule="auto"/>
            </w:pPr>
            <w:r>
              <w:rPr>
                <w:rFonts w:ascii="Arial" w:hAnsi="Arial"/>
                <w:sz w:val="17"/>
              </w:rPr>
              <w:t>Start demo/workspace</w:t>
            </w:r>
          </w:p>
        </w:tc>
        <w:tc>
          <w:tcPr>
            <w:tcW w:type="dxa" w:w="5760"/>
            <w:vAlign w:val="center"/>
            <w:tcMar>
              <w:top w:w="95" w:type="dxa"/>
              <w:start w:w="110" w:type="dxa"/>
              <w:bottom w:w="95" w:type="dxa"/>
              <w:end w:w="110" w:type="dxa"/>
            </w:tcMar>
            <w:shd w:fill="F4F7FA"/>
          </w:tcPr>
          <w:p>
            <w:pPr>
              <w:spacing w:after="0" w:line="252" w:lineRule="auto"/>
            </w:pPr>
            <w:r>
              <w:rPr>
                <w:rFonts w:ascii="Arial" w:hAnsi="Arial"/>
                <w:sz w:val="17"/>
              </w:rPr>
              <w:t>Inputs are validated and scanned statically through one pipeline.</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7"/>
              </w:rPr>
              <w:t>2 to 3 min</w:t>
            </w:r>
          </w:p>
        </w:tc>
        <w:tc>
          <w:tcPr>
            <w:tcW w:type="dxa" w:w="2952"/>
            <w:vAlign w:val="center"/>
            <w:tcMar>
              <w:top w:w="95" w:type="dxa"/>
              <w:start w:w="110" w:type="dxa"/>
              <w:bottom w:w="95" w:type="dxa"/>
              <w:end w:w="110" w:type="dxa"/>
            </w:tcMar>
          </w:tcPr>
          <w:p>
            <w:pPr>
              <w:spacing w:after="0" w:line="252" w:lineRule="auto"/>
            </w:pPr>
            <w:r>
              <w:rPr>
                <w:rFonts w:ascii="Arial" w:hAnsi="Arial"/>
                <w:sz w:val="17"/>
              </w:rPr>
              <w:t>Explain Overview</w:t>
            </w:r>
          </w:p>
        </w:tc>
        <w:tc>
          <w:tcPr>
            <w:tcW w:type="dxa" w:w="5760"/>
            <w:vAlign w:val="center"/>
            <w:tcMar>
              <w:top w:w="95" w:type="dxa"/>
              <w:start w:w="110" w:type="dxa"/>
              <w:bottom w:w="95" w:type="dxa"/>
              <w:end w:w="110" w:type="dxa"/>
            </w:tcMar>
          </w:tcPr>
          <w:p>
            <w:pPr>
              <w:spacing w:after="0" w:line="252" w:lineRule="auto"/>
            </w:pPr>
            <w:r>
              <w:rPr>
                <w:rFonts w:ascii="Arial" w:hAnsi="Arial"/>
                <w:sz w:val="17"/>
              </w:rPr>
              <w:t>The dashboard makes scope and risk distribution visible.</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7"/>
              </w:rPr>
              <w:t>3 to 4 min</w:t>
            </w:r>
          </w:p>
        </w:tc>
        <w:tc>
          <w:tcPr>
            <w:tcW w:type="dxa" w:w="2952"/>
            <w:vAlign w:val="center"/>
            <w:tcMar>
              <w:top w:w="95" w:type="dxa"/>
              <w:start w:w="110" w:type="dxa"/>
              <w:bottom w:w="95" w:type="dxa"/>
              <w:end w:w="110" w:type="dxa"/>
            </w:tcMar>
            <w:shd w:fill="F4F7FA"/>
          </w:tcPr>
          <w:p>
            <w:pPr>
              <w:spacing w:after="0" w:line="252" w:lineRule="auto"/>
            </w:pPr>
            <w:r>
              <w:rPr>
                <w:rFonts w:ascii="Arial" w:hAnsi="Arial"/>
                <w:sz w:val="17"/>
              </w:rPr>
              <w:t>Search Inventory</w:t>
            </w:r>
          </w:p>
        </w:tc>
        <w:tc>
          <w:tcPr>
            <w:tcW w:type="dxa" w:w="5760"/>
            <w:vAlign w:val="center"/>
            <w:tcMar>
              <w:top w:w="95" w:type="dxa"/>
              <w:start w:w="110" w:type="dxa"/>
              <w:bottom w:w="95" w:type="dxa"/>
              <w:end w:w="110" w:type="dxa"/>
            </w:tcMar>
            <w:shd w:fill="F4F7FA"/>
          </w:tcPr>
          <w:p>
            <w:pPr>
              <w:spacing w:after="0" w:line="252" w:lineRule="auto"/>
            </w:pPr>
            <w:r>
              <w:rPr>
                <w:rFonts w:ascii="Arial" w:hAnsi="Arial"/>
                <w:sz w:val="17"/>
              </w:rPr>
              <w:t>Every finding retains a location and a normalized asset identity.</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7"/>
              </w:rPr>
              <w:t>4 to 5 min</w:t>
            </w:r>
          </w:p>
        </w:tc>
        <w:tc>
          <w:tcPr>
            <w:tcW w:type="dxa" w:w="2952"/>
            <w:vAlign w:val="center"/>
            <w:tcMar>
              <w:top w:w="95" w:type="dxa"/>
              <w:start w:w="110" w:type="dxa"/>
              <w:bottom w:w="95" w:type="dxa"/>
              <w:end w:w="110" w:type="dxa"/>
            </w:tcMar>
          </w:tcPr>
          <w:p>
            <w:pPr>
              <w:spacing w:after="0" w:line="252" w:lineRule="auto"/>
            </w:pPr>
            <w:r>
              <w:rPr>
                <w:rFonts w:ascii="Arial" w:hAnsi="Arial"/>
                <w:sz w:val="17"/>
              </w:rPr>
              <w:t>Open Asset Detail</w:t>
            </w:r>
          </w:p>
        </w:tc>
        <w:tc>
          <w:tcPr>
            <w:tcW w:type="dxa" w:w="5760"/>
            <w:vAlign w:val="center"/>
            <w:tcMar>
              <w:top w:w="95" w:type="dxa"/>
              <w:start w:w="110" w:type="dxa"/>
              <w:bottom w:w="95" w:type="dxa"/>
              <w:end w:w="110" w:type="dxa"/>
            </w:tcMar>
          </w:tcPr>
          <w:p>
            <w:pPr>
              <w:spacing w:after="0" w:line="252" w:lineRule="auto"/>
            </w:pPr>
            <w:r>
              <w:rPr>
                <w:rFonts w:ascii="Arial" w:hAnsi="Arial"/>
                <w:sz w:val="17"/>
              </w:rPr>
              <w:t>Mosca values explain timing; recommendations translate evidence into review work.</w:t>
            </w:r>
          </w:p>
        </w:tc>
      </w:tr>
      <w:tr>
        <w:trPr>
          <w:cantSplit/>
        </w:trPr>
        <w:tc>
          <w:tcPr>
            <w:tcW w:type="dxa" w:w="1440"/>
            <w:vAlign w:val="center"/>
            <w:tcMar>
              <w:top w:w="95" w:type="dxa"/>
              <w:start w:w="110" w:type="dxa"/>
              <w:bottom w:w="95" w:type="dxa"/>
              <w:end w:w="110" w:type="dxa"/>
            </w:tcMar>
            <w:shd w:fill="F4F7FA"/>
          </w:tcPr>
          <w:p>
            <w:pPr>
              <w:spacing w:after="0" w:line="252" w:lineRule="auto"/>
            </w:pPr>
            <w:r>
              <w:rPr>
                <w:rFonts w:ascii="Arial" w:hAnsi="Arial"/>
                <w:sz w:val="17"/>
              </w:rPr>
              <w:t>5 to 6 min</w:t>
            </w:r>
          </w:p>
        </w:tc>
        <w:tc>
          <w:tcPr>
            <w:tcW w:type="dxa" w:w="2952"/>
            <w:vAlign w:val="center"/>
            <w:tcMar>
              <w:top w:w="95" w:type="dxa"/>
              <w:start w:w="110" w:type="dxa"/>
              <w:bottom w:w="95" w:type="dxa"/>
              <w:end w:w="110" w:type="dxa"/>
            </w:tcMar>
            <w:shd w:fill="F4F7FA"/>
          </w:tcPr>
          <w:p>
            <w:pPr>
              <w:spacing w:after="0" w:line="252" w:lineRule="auto"/>
            </w:pPr>
            <w:r>
              <w:rPr>
                <w:rFonts w:ascii="Arial" w:hAnsi="Arial"/>
                <w:sz w:val="17"/>
              </w:rPr>
              <w:t>Adjust Risk Heatmap</w:t>
            </w:r>
          </w:p>
        </w:tc>
        <w:tc>
          <w:tcPr>
            <w:tcW w:type="dxa" w:w="5760"/>
            <w:vAlign w:val="center"/>
            <w:tcMar>
              <w:top w:w="95" w:type="dxa"/>
              <w:start w:w="110" w:type="dxa"/>
              <w:bottom w:w="95" w:type="dxa"/>
              <w:end w:w="110" w:type="dxa"/>
            </w:tcMar>
            <w:shd w:fill="F4F7FA"/>
          </w:tcPr>
          <w:p>
            <w:pPr>
              <w:spacing w:after="0" w:line="252" w:lineRule="auto"/>
            </w:pPr>
            <w:r>
              <w:rPr>
                <w:rFonts w:ascii="Arial" w:hAnsi="Arial"/>
                <w:sz w:val="17"/>
              </w:rPr>
              <w:t>Reviewers can compare different threat timelines without altering saved evidence.</w:t>
            </w:r>
          </w:p>
        </w:tc>
      </w:tr>
      <w:tr>
        <w:trPr>
          <w:cantSplit/>
        </w:trPr>
        <w:tc>
          <w:tcPr>
            <w:tcW w:type="dxa" w:w="1440"/>
            <w:vAlign w:val="center"/>
            <w:tcMar>
              <w:top w:w="95" w:type="dxa"/>
              <w:start w:w="110" w:type="dxa"/>
              <w:bottom w:w="95" w:type="dxa"/>
              <w:end w:w="110" w:type="dxa"/>
            </w:tcMar>
          </w:tcPr>
          <w:p>
            <w:pPr>
              <w:spacing w:after="0" w:line="252" w:lineRule="auto"/>
            </w:pPr>
            <w:r>
              <w:rPr>
                <w:rFonts w:ascii="Arial" w:hAnsi="Arial"/>
                <w:sz w:val="17"/>
              </w:rPr>
              <w:t>6 to 7 min</w:t>
            </w:r>
          </w:p>
        </w:tc>
        <w:tc>
          <w:tcPr>
            <w:tcW w:type="dxa" w:w="2952"/>
            <w:vAlign w:val="center"/>
            <w:tcMar>
              <w:top w:w="95" w:type="dxa"/>
              <w:start w:w="110" w:type="dxa"/>
              <w:bottom w:w="95" w:type="dxa"/>
              <w:end w:w="110" w:type="dxa"/>
            </w:tcMar>
          </w:tcPr>
          <w:p>
            <w:pPr>
              <w:spacing w:after="0" w:line="252" w:lineRule="auto"/>
            </w:pPr>
            <w:r>
              <w:rPr>
                <w:rFonts w:ascii="Arial" w:hAnsi="Arial"/>
                <w:sz w:val="17"/>
              </w:rPr>
              <w:t>Export and close</w:t>
            </w:r>
          </w:p>
        </w:tc>
        <w:tc>
          <w:tcPr>
            <w:tcW w:type="dxa" w:w="5760"/>
            <w:vAlign w:val="center"/>
            <w:tcMar>
              <w:top w:w="95" w:type="dxa"/>
              <w:start w:w="110" w:type="dxa"/>
              <w:bottom w:w="95" w:type="dxa"/>
              <w:end w:w="110" w:type="dxa"/>
            </w:tcMar>
          </w:tcPr>
          <w:p>
            <w:pPr>
              <w:spacing w:after="0" w:line="252" w:lineRule="auto"/>
            </w:pPr>
            <w:r>
              <w:rPr>
                <w:rFonts w:ascii="Arial" w:hAnsi="Arial"/>
                <w:sz w:val="17"/>
              </w:rPr>
              <w:t>Reports support handoff; current constraints and production roadmap are explicit.</w:t>
            </w:r>
          </w:p>
        </w:tc>
      </w:tr>
    </w:tbl>
    <w:p>
      <w:pPr>
        <w:spacing w:after="60"/>
      </w:pPr>
    </w:p>
    <w:p>
      <w:pPr>
        <w:pStyle w:val="Heading1"/>
      </w:pPr>
      <w:r>
        <w:t>Troubleshooting</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val="true"/>
          <w:cantSplit/>
        </w:trPr>
        <w:tc>
          <w:tcPr>
            <w:tcW w:type="dxa" w:w="2304"/>
            <w:shd w:fill="17243B"/>
            <w:vAlign w:val="center"/>
            <w:tcMar>
              <w:top w:w="105" w:type="dxa"/>
              <w:start w:w="110" w:type="dxa"/>
              <w:bottom w:w="105" w:type="dxa"/>
              <w:end w:w="110" w:type="dxa"/>
            </w:tcMar>
          </w:tcPr>
          <w:p>
            <w:r>
              <w:rPr>
                <w:rFonts w:ascii="Arial" w:hAnsi="Arial"/>
                <w:b/>
                <w:color w:val="FFFFFF"/>
                <w:sz w:val="16"/>
              </w:rPr>
              <w:t>Symptom</w:t>
            </w:r>
          </w:p>
        </w:tc>
        <w:tc>
          <w:tcPr>
            <w:tcW w:type="dxa" w:w="3240"/>
            <w:shd w:fill="17243B"/>
            <w:vAlign w:val="center"/>
            <w:tcMar>
              <w:top w:w="105" w:type="dxa"/>
              <w:start w:w="110" w:type="dxa"/>
              <w:bottom w:w="105" w:type="dxa"/>
              <w:end w:w="110" w:type="dxa"/>
            </w:tcMar>
          </w:tcPr>
          <w:p>
            <w:r>
              <w:rPr>
                <w:rFonts w:ascii="Arial" w:hAnsi="Arial"/>
                <w:b/>
                <w:color w:val="FFFFFF"/>
                <w:sz w:val="16"/>
              </w:rPr>
              <w:t>Check</w:t>
            </w:r>
          </w:p>
        </w:tc>
        <w:tc>
          <w:tcPr>
            <w:tcW w:type="dxa" w:w="4608"/>
            <w:shd w:fill="17243B"/>
            <w:vAlign w:val="center"/>
            <w:tcMar>
              <w:top w:w="105" w:type="dxa"/>
              <w:start w:w="110" w:type="dxa"/>
              <w:bottom w:w="105" w:type="dxa"/>
              <w:end w:w="110" w:type="dxa"/>
            </w:tcMar>
          </w:tcPr>
          <w:p>
            <w:r>
              <w:rPr>
                <w:rFonts w:ascii="Arial" w:hAnsi="Arial"/>
                <w:b/>
                <w:color w:val="FFFFFF"/>
                <w:sz w:val="16"/>
              </w:rPr>
              <w:t>Action</w:t>
            </w:r>
          </w:p>
        </w:tc>
      </w:tr>
      <w:tr>
        <w:trPr>
          <w:cantSplit/>
        </w:trPr>
        <w:tc>
          <w:tcPr>
            <w:tcW w:type="dxa" w:w="2304"/>
            <w:vAlign w:val="center"/>
            <w:tcMar>
              <w:top w:w="95" w:type="dxa"/>
              <w:start w:w="110" w:type="dxa"/>
              <w:bottom w:w="95" w:type="dxa"/>
              <w:end w:w="110" w:type="dxa"/>
            </w:tcMar>
          </w:tcPr>
          <w:p>
            <w:pPr>
              <w:spacing w:after="0" w:line="252" w:lineRule="auto"/>
            </w:pPr>
            <w:r>
              <w:rPr>
                <w:rFonts w:ascii="Arial" w:hAnsi="Arial"/>
                <w:sz w:val="16"/>
              </w:rPr>
              <w:t>Cannot reach backend</w:t>
            </w:r>
          </w:p>
        </w:tc>
        <w:tc>
          <w:tcPr>
            <w:tcW w:type="dxa" w:w="3240"/>
            <w:vAlign w:val="center"/>
            <w:tcMar>
              <w:top w:w="95" w:type="dxa"/>
              <w:start w:w="110" w:type="dxa"/>
              <w:bottom w:w="95" w:type="dxa"/>
              <w:end w:w="110" w:type="dxa"/>
            </w:tcMar>
          </w:tcPr>
          <w:p>
            <w:pPr>
              <w:spacing w:after="0" w:line="252" w:lineRule="auto"/>
            </w:pPr>
            <w:r>
              <w:rPr>
                <w:rFonts w:ascii="Arial" w:hAnsi="Arial"/>
                <w:sz w:val="16"/>
              </w:rPr>
              <w:t>Health URL and backend terminal</w:t>
            </w:r>
          </w:p>
        </w:tc>
        <w:tc>
          <w:tcPr>
            <w:tcW w:type="dxa" w:w="4608"/>
            <w:vAlign w:val="center"/>
            <w:tcMar>
              <w:top w:w="95" w:type="dxa"/>
              <w:start w:w="110" w:type="dxa"/>
              <w:bottom w:w="95" w:type="dxa"/>
              <w:end w:w="110" w:type="dxa"/>
            </w:tcMar>
          </w:tcPr>
          <w:p>
            <w:pPr>
              <w:spacing w:after="0" w:line="252" w:lineRule="auto"/>
            </w:pPr>
            <w:r>
              <w:rPr>
                <w:rFonts w:ascii="Arial" w:hAnsi="Arial"/>
                <w:sz w:val="16"/>
              </w:rPr>
              <w:t>Start Uvicorn on port 8000 and retry</w:t>
            </w:r>
          </w:p>
        </w:tc>
      </w:tr>
      <w:tr>
        <w:trPr>
          <w:cantSplit/>
        </w:trPr>
        <w:tc>
          <w:tcPr>
            <w:tcW w:type="dxa" w:w="2304"/>
            <w:vAlign w:val="center"/>
            <w:tcMar>
              <w:top w:w="95" w:type="dxa"/>
              <w:start w:w="110" w:type="dxa"/>
              <w:bottom w:w="95" w:type="dxa"/>
              <w:end w:w="110" w:type="dxa"/>
            </w:tcMar>
            <w:shd w:fill="F4F7FA"/>
          </w:tcPr>
          <w:p>
            <w:pPr>
              <w:spacing w:after="0" w:line="252" w:lineRule="auto"/>
            </w:pPr>
            <w:r>
              <w:rPr>
                <w:rFonts w:ascii="Arial" w:hAnsi="Arial"/>
                <w:sz w:val="16"/>
              </w:rPr>
              <w:t>401 response</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6"/>
              </w:rPr>
              <w:t>ECDAT_API_TOKEN</w:t>
            </w:r>
          </w:p>
        </w:tc>
        <w:tc>
          <w:tcPr>
            <w:tcW w:type="dxa" w:w="4608"/>
            <w:vAlign w:val="center"/>
            <w:tcMar>
              <w:top w:w="95" w:type="dxa"/>
              <w:start w:w="110" w:type="dxa"/>
              <w:bottom w:w="95" w:type="dxa"/>
              <w:end w:w="110" w:type="dxa"/>
            </w:tcMar>
            <w:shd w:fill="F4F7FA"/>
          </w:tcPr>
          <w:p>
            <w:pPr>
              <w:spacing w:after="0" w:line="252" w:lineRule="auto"/>
            </w:pPr>
            <w:r>
              <w:rPr>
                <w:rFonts w:ascii="Arial" w:hAnsi="Arial"/>
                <w:sz w:val="16"/>
              </w:rPr>
              <w:t>Enter the same token in Workspace access token</w:t>
            </w:r>
          </w:p>
        </w:tc>
      </w:tr>
      <w:tr>
        <w:trPr>
          <w:cantSplit/>
        </w:trPr>
        <w:tc>
          <w:tcPr>
            <w:tcW w:type="dxa" w:w="2304"/>
            <w:vAlign w:val="center"/>
            <w:tcMar>
              <w:top w:w="95" w:type="dxa"/>
              <w:start w:w="110" w:type="dxa"/>
              <w:bottom w:w="95" w:type="dxa"/>
              <w:end w:w="110" w:type="dxa"/>
            </w:tcMar>
          </w:tcPr>
          <w:p>
            <w:pPr>
              <w:spacing w:after="0" w:line="252" w:lineRule="auto"/>
            </w:pPr>
            <w:r>
              <w:rPr>
                <w:rFonts w:ascii="Arial" w:hAnsi="Arial"/>
                <w:sz w:val="16"/>
              </w:rPr>
              <w:t>Local path rejected</w:t>
            </w:r>
          </w:p>
        </w:tc>
        <w:tc>
          <w:tcPr>
            <w:tcW w:type="dxa" w:w="3240"/>
            <w:vAlign w:val="center"/>
            <w:tcMar>
              <w:top w:w="95" w:type="dxa"/>
              <w:start w:w="110" w:type="dxa"/>
              <w:bottom w:w="95" w:type="dxa"/>
              <w:end w:w="110" w:type="dxa"/>
            </w:tcMar>
          </w:tcPr>
          <w:p>
            <w:pPr>
              <w:spacing w:after="0" w:line="252" w:lineRule="auto"/>
            </w:pPr>
            <w:r>
              <w:rPr>
                <w:rFonts w:ascii="Arial" w:hAnsi="Arial"/>
                <w:sz w:val="16"/>
              </w:rPr>
              <w:t>Backend working directory and path spelling</w:t>
            </w:r>
          </w:p>
        </w:tc>
        <w:tc>
          <w:tcPr>
            <w:tcW w:type="dxa" w:w="4608"/>
            <w:vAlign w:val="center"/>
            <w:tcMar>
              <w:top w:w="95" w:type="dxa"/>
              <w:start w:w="110" w:type="dxa"/>
              <w:bottom w:w="95" w:type="dxa"/>
              <w:end w:w="110" w:type="dxa"/>
            </w:tcMar>
          </w:tcPr>
          <w:p>
            <w:pPr>
              <w:spacing w:after="0" w:line="252" w:lineRule="auto"/>
            </w:pPr>
            <w:r>
              <w:rPr>
                <w:rFonts w:ascii="Arial" w:hAnsi="Arial"/>
                <w:sz w:val="16"/>
              </w:rPr>
              <w:t>Use an existing relative or absolute path</w:t>
            </w:r>
          </w:p>
        </w:tc>
      </w:tr>
      <w:tr>
        <w:trPr>
          <w:cantSplit/>
        </w:trPr>
        <w:tc>
          <w:tcPr>
            <w:tcW w:type="dxa" w:w="2304"/>
            <w:vAlign w:val="center"/>
            <w:tcMar>
              <w:top w:w="95" w:type="dxa"/>
              <w:start w:w="110" w:type="dxa"/>
              <w:bottom w:w="95" w:type="dxa"/>
              <w:end w:w="110" w:type="dxa"/>
            </w:tcMar>
            <w:shd w:fill="F4F7FA"/>
          </w:tcPr>
          <w:p>
            <w:pPr>
              <w:spacing w:after="0" w:line="252" w:lineRule="auto"/>
            </w:pPr>
            <w:r>
              <w:rPr>
                <w:rFonts w:ascii="Arial" w:hAnsi="Arial"/>
                <w:sz w:val="16"/>
              </w:rPr>
              <w:t>Git input rejected</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6"/>
              </w:rPr>
              <w:t>HTTPS URL and allowed host</w:t>
            </w:r>
          </w:p>
        </w:tc>
        <w:tc>
          <w:tcPr>
            <w:tcW w:type="dxa" w:w="4608"/>
            <w:vAlign w:val="center"/>
            <w:tcMar>
              <w:top w:w="95" w:type="dxa"/>
              <w:start w:w="110" w:type="dxa"/>
              <w:bottom w:w="95" w:type="dxa"/>
              <w:end w:w="110" w:type="dxa"/>
            </w:tcMar>
            <w:shd w:fill="F4F7FA"/>
          </w:tcPr>
          <w:p>
            <w:pPr>
              <w:spacing w:after="0" w:line="252" w:lineRule="auto"/>
            </w:pPr>
            <w:r>
              <w:rPr>
                <w:rFonts w:ascii="Arial" w:hAnsi="Arial"/>
                <w:sz w:val="16"/>
              </w:rPr>
              <w:t>Remove credentials, query text, fragments, or nonstandard ports</w:t>
            </w:r>
          </w:p>
        </w:tc>
      </w:tr>
      <w:tr>
        <w:trPr>
          <w:cantSplit/>
        </w:trPr>
        <w:tc>
          <w:tcPr>
            <w:tcW w:type="dxa" w:w="2304"/>
            <w:vAlign w:val="center"/>
            <w:tcMar>
              <w:top w:w="95" w:type="dxa"/>
              <w:start w:w="110" w:type="dxa"/>
              <w:bottom w:w="95" w:type="dxa"/>
              <w:end w:w="110" w:type="dxa"/>
            </w:tcMar>
          </w:tcPr>
          <w:p>
            <w:pPr>
              <w:spacing w:after="0" w:line="252" w:lineRule="auto"/>
            </w:pPr>
            <w:r>
              <w:rPr>
                <w:rFonts w:ascii="Arial" w:hAnsi="Arial"/>
                <w:sz w:val="16"/>
              </w:rPr>
              <w:t>Upload rejected</w:t>
            </w:r>
          </w:p>
        </w:tc>
        <w:tc>
          <w:tcPr>
            <w:tcW w:type="dxa" w:w="3240"/>
            <w:vAlign w:val="center"/>
            <w:tcMar>
              <w:top w:w="95" w:type="dxa"/>
              <w:start w:w="110" w:type="dxa"/>
              <w:bottom w:w="95" w:type="dxa"/>
              <w:end w:w="110" w:type="dxa"/>
            </w:tcMar>
          </w:tcPr>
          <w:p>
            <w:pPr>
              <w:spacing w:after="0" w:line="252" w:lineRule="auto"/>
            </w:pPr>
            <w:r>
              <w:rPr>
                <w:rFonts w:ascii="Arial" w:hAnsi="Arial"/>
                <w:sz w:val="16"/>
              </w:rPr>
              <w:t>File size and ZIP contents</w:t>
            </w:r>
          </w:p>
        </w:tc>
        <w:tc>
          <w:tcPr>
            <w:tcW w:type="dxa" w:w="4608"/>
            <w:vAlign w:val="center"/>
            <w:tcMar>
              <w:top w:w="95" w:type="dxa"/>
              <w:start w:w="110" w:type="dxa"/>
              <w:bottom w:w="95" w:type="dxa"/>
              <w:end w:w="110" w:type="dxa"/>
            </w:tcMar>
          </w:tcPr>
          <w:p>
            <w:pPr>
              <w:spacing w:after="0" w:line="252" w:lineRule="auto"/>
            </w:pPr>
            <w:r>
              <w:rPr>
                <w:rFonts w:ascii="Arial" w:hAnsi="Arial"/>
                <w:sz w:val="16"/>
              </w:rPr>
              <w:t>Use a file under 20 MB and ordinary relative ZIP members</w:t>
            </w:r>
          </w:p>
        </w:tc>
      </w:tr>
      <w:tr>
        <w:trPr>
          <w:cantSplit/>
        </w:trPr>
        <w:tc>
          <w:tcPr>
            <w:tcW w:type="dxa" w:w="2304"/>
            <w:vAlign w:val="center"/>
            <w:tcMar>
              <w:top w:w="95" w:type="dxa"/>
              <w:start w:w="110" w:type="dxa"/>
              <w:bottom w:w="95" w:type="dxa"/>
              <w:end w:w="110" w:type="dxa"/>
            </w:tcMar>
            <w:shd w:fill="F4F7FA"/>
          </w:tcPr>
          <w:p>
            <w:pPr>
              <w:spacing w:after="0" w:line="252" w:lineRule="auto"/>
            </w:pPr>
            <w:r>
              <w:rPr>
                <w:rFonts w:ascii="Arial" w:hAnsi="Arial"/>
                <w:sz w:val="16"/>
              </w:rPr>
              <w:t>Live image fails</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6"/>
              </w:rPr>
              <w:t>Trivy installation and registry access</w:t>
            </w:r>
          </w:p>
        </w:tc>
        <w:tc>
          <w:tcPr>
            <w:tcW w:type="dxa" w:w="4608"/>
            <w:vAlign w:val="center"/>
            <w:tcMar>
              <w:top w:w="95" w:type="dxa"/>
              <w:start w:w="110" w:type="dxa"/>
              <w:bottom w:w="95" w:type="dxa"/>
              <w:end w:w="110" w:type="dxa"/>
            </w:tcMar>
            <w:shd w:fill="F4F7FA"/>
          </w:tcPr>
          <w:p>
            <w:pPr>
              <w:spacing w:after="0" w:line="252" w:lineRule="auto"/>
            </w:pPr>
            <w:r>
              <w:rPr>
                <w:rFonts w:ascii="Arial" w:hAnsi="Arial"/>
                <w:sz w:val="16"/>
              </w:rPr>
              <w:t>Use the offline JSON fixture or install and authenticate Trivy</w:t>
            </w:r>
          </w:p>
        </w:tc>
      </w:tr>
      <w:tr>
        <w:trPr>
          <w:cantSplit/>
        </w:trPr>
        <w:tc>
          <w:tcPr>
            <w:tcW w:type="dxa" w:w="2304"/>
            <w:vAlign w:val="center"/>
            <w:tcMar>
              <w:top w:w="95" w:type="dxa"/>
              <w:start w:w="110" w:type="dxa"/>
              <w:bottom w:w="95" w:type="dxa"/>
              <w:end w:w="110" w:type="dxa"/>
            </w:tcMar>
          </w:tcPr>
          <w:p>
            <w:pPr>
              <w:spacing w:after="0" w:line="252" w:lineRule="auto"/>
            </w:pPr>
            <w:r>
              <w:rPr>
                <w:rFonts w:ascii="Arial" w:hAnsi="Arial"/>
                <w:sz w:val="16"/>
              </w:rPr>
              <w:t>Frontend API error</w:t>
            </w:r>
          </w:p>
        </w:tc>
        <w:tc>
          <w:tcPr>
            <w:tcW w:type="dxa" w:w="3240"/>
            <w:vAlign w:val="center"/>
            <w:tcMar>
              <w:top w:w="95" w:type="dxa"/>
              <w:start w:w="110" w:type="dxa"/>
              <w:bottom w:w="95" w:type="dxa"/>
              <w:end w:w="110" w:type="dxa"/>
            </w:tcMar>
          </w:tcPr>
          <w:p>
            <w:pPr>
              <w:spacing w:after="0" w:line="252" w:lineRule="auto"/>
            </w:pPr>
            <w:r>
              <w:rPr>
                <w:rFonts w:ascii="Arial" w:hAnsi="Arial"/>
                <w:sz w:val="16"/>
              </w:rPr>
              <w:t>Vite proxy target</w:t>
            </w:r>
          </w:p>
        </w:tc>
        <w:tc>
          <w:tcPr>
            <w:tcW w:type="dxa" w:w="4608"/>
            <w:vAlign w:val="center"/>
            <w:tcMar>
              <w:top w:w="95" w:type="dxa"/>
              <w:start w:w="110" w:type="dxa"/>
              <w:bottom w:w="95" w:type="dxa"/>
              <w:end w:w="110" w:type="dxa"/>
            </w:tcMar>
          </w:tcPr>
          <w:p>
            <w:pPr>
              <w:spacing w:after="0" w:line="252" w:lineRule="auto"/>
            </w:pPr>
            <w:r>
              <w:rPr>
                <w:rFonts w:ascii="Arial" w:hAnsi="Arial"/>
                <w:sz w:val="16"/>
              </w:rPr>
              <w:t>Confirm API_PROXY_TARGET points to the backend</w:t>
            </w:r>
          </w:p>
        </w:tc>
      </w:tr>
      <w:tr>
        <w:trPr>
          <w:cantSplit/>
        </w:trPr>
        <w:tc>
          <w:tcPr>
            <w:tcW w:type="dxa" w:w="2304"/>
            <w:vAlign w:val="center"/>
            <w:tcMar>
              <w:top w:w="95" w:type="dxa"/>
              <w:start w:w="110" w:type="dxa"/>
              <w:bottom w:w="95" w:type="dxa"/>
              <w:end w:w="110" w:type="dxa"/>
            </w:tcMar>
            <w:shd w:fill="F4F7FA"/>
          </w:tcPr>
          <w:p>
            <w:pPr>
              <w:spacing w:after="0" w:line="252" w:lineRule="auto"/>
            </w:pPr>
            <w:r>
              <w:rPr>
                <w:rFonts w:ascii="Arial" w:hAnsi="Arial"/>
                <w:sz w:val="16"/>
              </w:rPr>
              <w:t>Worker lock error</w:t>
            </w:r>
          </w:p>
        </w:tc>
        <w:tc>
          <w:tcPr>
            <w:tcW w:type="dxa" w:w="3240"/>
            <w:vAlign w:val="center"/>
            <w:tcMar>
              <w:top w:w="95" w:type="dxa"/>
              <w:start w:w="110" w:type="dxa"/>
              <w:bottom w:w="95" w:type="dxa"/>
              <w:end w:w="110" w:type="dxa"/>
            </w:tcMar>
            <w:shd w:fill="F4F7FA"/>
          </w:tcPr>
          <w:p>
            <w:pPr>
              <w:spacing w:after="0" w:line="252" w:lineRule="auto"/>
            </w:pPr>
            <w:r>
              <w:rPr>
                <w:rFonts w:ascii="Arial" w:hAnsi="Arial"/>
                <w:sz w:val="16"/>
              </w:rPr>
              <w:t>Multiple API processes sharing state</w:t>
            </w:r>
          </w:p>
        </w:tc>
        <w:tc>
          <w:tcPr>
            <w:tcW w:type="dxa" w:w="4608"/>
            <w:vAlign w:val="center"/>
            <w:tcMar>
              <w:top w:w="95" w:type="dxa"/>
              <w:start w:w="110" w:type="dxa"/>
              <w:bottom w:w="95" w:type="dxa"/>
              <w:end w:w="110" w:type="dxa"/>
            </w:tcMar>
            <w:shd w:fill="F4F7FA"/>
          </w:tcPr>
          <w:p>
            <w:pPr>
              <w:spacing w:after="0" w:line="252" w:lineRule="auto"/>
            </w:pPr>
            <w:r>
              <w:rPr>
                <w:rFonts w:ascii="Arial" w:hAnsi="Arial"/>
                <w:sz w:val="16"/>
              </w:rPr>
              <w:t>Run one API worker for each ECDAT_STATE_DIR</w:t>
            </w:r>
          </w:p>
        </w:tc>
      </w:tr>
    </w:tbl>
    <w:p>
      <w:pPr>
        <w:spacing w:after="60"/>
      </w:pPr>
    </w:p>
    <w:p>
      <w:pPr>
        <w:pStyle w:val="Heading1"/>
      </w:pPr>
      <w:r>
        <w:t>Demo Checklist</w:t>
      </w:r>
    </w:p>
    <w:p>
      <w:pPr>
        <w:pStyle w:val="ListBullet"/>
        <w:spacing w:after="60"/>
      </w:pPr>
      <w:r>
        <w:t>Backend health endpoint responds.</w:t>
      </w:r>
    </w:p>
    <w:p>
      <w:pPr>
        <w:pStyle w:val="ListBullet"/>
        <w:spacing w:after="60"/>
      </w:pPr>
      <w:r>
        <w:t>Frontend opens and shows connected status.</w:t>
      </w:r>
    </w:p>
    <w:p>
      <w:pPr>
        <w:pStyle w:val="ListBullet"/>
        <w:spacing w:after="60"/>
      </w:pPr>
      <w:r>
        <w:t>demo/workspace completes and shows 10 assets in the verified build.</w:t>
      </w:r>
    </w:p>
    <w:p>
      <w:pPr>
        <w:pStyle w:val="ListBullet"/>
        <w:spacing w:after="60"/>
      </w:pPr>
      <w:r>
        <w:t>Inventory search and asset detail work.</w:t>
      </w:r>
    </w:p>
    <w:p>
      <w:pPr>
        <w:pStyle w:val="ListBullet"/>
        <w:spacing w:after="60"/>
      </w:pPr>
      <w:r>
        <w:t>Heatmap Z control changes the exploratory risk view.</w:t>
      </w:r>
    </w:p>
    <w:p>
      <w:pPr>
        <w:pStyle w:val="ListBullet"/>
        <w:spacing w:after="60"/>
      </w:pPr>
      <w:r>
        <w:t>At least one report downloads successfully.</w:t>
      </w:r>
    </w:p>
    <w:p>
      <w:pPr>
        <w:pStyle w:val="ListBullet"/>
        <w:spacing w:after="60"/>
      </w:pPr>
      <w:r>
        <w:t>Offline image inventory completes when container tooling is unavailable.</w:t>
      </w:r>
    </w:p>
    <w:p>
      <w:pPr>
        <w:pStyle w:val="ListBullet"/>
        <w:spacing w:after="60"/>
      </w:pPr>
      <w:r>
        <w:t>Limitations are stated before questions about production readiness.</w:t>
      </w:r>
    </w:p>
    <w:p>
      <w:pPr>
        <w:pStyle w:val="Heading1"/>
      </w:pPr>
      <w:r>
        <w:t>Stop and Reset</w:t>
      </w:r>
    </w:p>
    <w:p>
      <w:r>
        <w:t>Stop the frontend and backend with Ctrl C in their terminals. The default database is ecdat.db and the default state directory is .ecdat. Keep them when scan history is needed. For a clean local reset, stop the application first, then remove those local state files only after confirming the history is no longer needed.</w:t>
      </w:r>
    </w:p>
    <w:sectPr w:rsidR="00FC693F" w:rsidRPr="0006063C" w:rsidSect="00034616">
      <w:headerReference w:type="default" r:id="rId9"/>
      <w:footerReference w:type="default" r:id="rId10"/>
      <w:pgSz w:w="12240" w:h="15840"/>
      <w:pgMar w:top="1008" w:right="1123" w:bottom="1008"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6370"/>
        <w:sz w:val="16"/>
      </w:rPr>
      <w:t xml:space="preserve">ECDAT review build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96370"/>
        <w:sz w:val="17"/>
      </w:rPr>
      <w:t>ECDAT Usage and Demo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81F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