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8" w:lineRule="auto"/>
        <w:jc w:val="center"/>
      </w:pPr>
      <w:r>
        <w:rPr>
          <w:b w:val="0"/>
          <w:color w:val="999999"/>
          <w:sz w:val="18"/>
          <w:rFonts w:ascii="맑은 고딕" w:hAnsi="맑은 고딕" w:eastAsia="맑은 고딕" w:cs="맑은 고딕"/>
        </w:rPr>
        <w:t>[ 한국투자신탁운용 레터헤드 로고 자리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우) 07320 서울특별시 영등포구 여의대로 24</w:t>
            </w:r>
          </w:p>
        </w:tc>
      </w:tr>
      <w:tr>
        <w:tc>
          <w:tcPr>
            <w:tcW w:type="dxa" w:w="102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  <w:rFonts w:ascii="맑은 고딕" w:hAnsi="맑은 고딕" w:eastAsia="맑은 고딕" w:cs="맑은 고딕"/>
              </w:rPr>
              <w:t>전 화 : 02-2055-5348    / FAX :        / 문의 안내 : ETF마케팅부 채보라[부서원]</w:t>
            </w:r>
          </w:p>
        </w:tc>
      </w:tr>
    </w:tbl>
    <w:p>
      <w:pPr>
        <w:spacing w:after="120" w:before="0" w:line="288" w:lineRule="auto"/>
      </w:pP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문서번호        </w:t>
      </w:r>
      <w:r>
        <w:rPr>
          <w:b w:val="0"/>
          <w:sz w:val="20"/>
          <w:rFonts w:ascii="맑은 고딕" w:hAnsi="맑은 고딕" w:eastAsia="맑은 고딕" w:cs="맑은 고딕"/>
        </w:rPr>
        <w:t>한국투자신탁운용-2026-____   (신규 채번)</w:t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발신일자        </w:t>
      </w:r>
      <w:r>
        <w:rPr>
          <w:b w:val="0"/>
          <w:sz w:val="20"/>
          <w:rFonts w:ascii="맑은 고딕" w:hAnsi="맑은 고딕" w:eastAsia="맑은 고딕" w:cs="맑은 고딕"/>
        </w:rPr>
        <w:t>2026-08-__   (발송일 기입)</w:t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수    신        </w:t>
      </w:r>
      <w:r>
        <w:rPr>
          <w:b w:val="0"/>
          <w:sz w:val="20"/>
          <w:rFonts w:ascii="맑은 고딕" w:hAnsi="맑은 고딕" w:eastAsia="맑은 고딕" w:cs="맑은 고딕"/>
        </w:rPr>
        <w:t>삼성증권 대표이사</w:t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참    조        </w:t>
      </w:r>
      <w:r>
        <w:rPr>
          <w:b w:val="0"/>
          <w:sz w:val="20"/>
          <w:rFonts w:ascii="맑은 고딕" w:hAnsi="맑은 고딕" w:eastAsia="맑은 고딕" w:cs="맑은 고딕"/>
        </w:rPr>
      </w:r>
    </w:p>
    <w:p>
      <w:pPr>
        <w:spacing w:after="40" w:line="288" w:lineRule="auto"/>
      </w:pPr>
      <w:r>
        <w:rPr>
          <w:b/>
          <w:sz w:val="20"/>
          <w:rFonts w:ascii="맑은 고딕" w:hAnsi="맑은 고딕" w:eastAsia="맑은 고딕" w:cs="맑은 고딕"/>
        </w:rPr>
        <w:t xml:space="preserve">제    목        </w:t>
      </w:r>
      <w:r>
        <w:rPr>
          <w:b w:val="0"/>
          <w:sz w:val="20"/>
          <w:rFonts w:ascii="맑은 고딕" w:hAnsi="맑은 고딕" w:eastAsia="맑은 고딕" w:cs="맑은 고딕"/>
        </w:rPr>
        <w:t>삼성증권 거래고객 대상 ACE ETF 거래량 이벤트 제안의 건 (ACE 삼성전자SK하이닉스플러스채권혼합50)</w:t>
      </w:r>
    </w:p>
    <w:p>
      <w:pPr>
        <w:pBdr>
          <w:bottom w:val="single" w:sz="12" w:space="1" w:color="1F3864"/>
        </w:pBdr>
      </w:pPr>
    </w:p>
    <w:p>
      <w:pPr>
        <w:spacing w:after="160" w:before="0" w:line="288" w:lineRule="auto"/>
      </w:pPr>
    </w:p>
    <w:p>
      <w:pPr>
        <w:spacing w:after="160" w:before="0" w:line="288" w:lineRule="auto"/>
        <w:jc w:val="left"/>
      </w:pPr>
      <w:r>
        <w:rPr>
          <w:b w:val="0"/>
          <w:sz w:val="20"/>
          <w:rFonts w:ascii="맑은 고딕" w:hAnsi="맑은 고딕" w:eastAsia="맑은 고딕" w:cs="맑은 고딕"/>
        </w:rPr>
        <w:t xml:space="preserve">        귀사의 무궁한 발전을 기원드리며, 아래와 같이 당사 ETF 상품에 대한 판매 활성화 차원의 프로모션을 제안하오니 검토하여 주시기 바랍니다.</w:t>
      </w:r>
    </w:p>
    <w:p>
      <w:pPr>
        <w:spacing w:after="160" w:before="0" w:line="288" w:lineRule="auto"/>
        <w:jc w:val="center"/>
      </w:pPr>
      <w:r>
        <w:rPr>
          <w:b/>
          <w:sz w:val="20"/>
          <w:rFonts w:ascii="맑은 고딕" w:hAnsi="맑은 고딕" w:eastAsia="맑은 고딕" w:cs="맑은 고딕"/>
        </w:rPr>
        <w:t>- 아    래 -</w:t>
      </w:r>
    </w:p>
    <w:p>
      <w:pPr>
        <w:spacing w:after="12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1. 목적 : ACE ETF 상품에 대한 투자자의 인지도 제고 및 거래 활성화</w:t>
      </w:r>
    </w:p>
    <w:p>
      <w:pPr>
        <w:spacing w:after="80" w:before="0" w:line="288" w:lineRule="auto"/>
      </w:pPr>
      <w:r>
        <w:rPr>
          <w:b w:val="0"/>
          <w:sz w:val="20"/>
          <w:rFonts w:ascii="맑은 고딕" w:hAnsi="맑은 고딕" w:eastAsia="맑은 고딕" w:cs="맑은 고딕"/>
        </w:rPr>
        <w:t>2. 주요내용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957"/>
      </w:tblGrid>
      <w:tr>
        <w:tc>
          <w:tcPr>
            <w:tcW w:type="dxa" w:w="90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구 분</w:t>
            </w:r>
          </w:p>
        </w:tc>
        <w:tc>
          <w:tcPr>
            <w:tcW w:type="dxa" w:w="8957"/>
            <w:vAlign w:val="center"/>
            <w:shd w:val="clear"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세부 내용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기 간</w:t>
            </w:r>
          </w:p>
        </w:tc>
        <w:tc>
          <w:tcPr>
            <w:tcW w:type="dxa" w:w="8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2026년 8월 25일 ~ 2026년 9월 7일 / 10영업일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프로모션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내용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40" w:before="0" w:line="276" w:lineRule="auto"/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 w:cs="맑은 고딕"/>
              </w:rPr>
              <w:t>1. 대상고객 : 삼성증권 거래고객</w:t>
            </w:r>
          </w:p>
          <w:p>
            <w:pPr>
              <w:spacing w:after="8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2. 대상상품 : ACE 삼성전자SK하이닉스플러스채권혼합50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494"/>
              <w:gridCol w:w="1361"/>
              <w:gridCol w:w="907"/>
              <w:gridCol w:w="907"/>
              <w:gridCol w:w="907"/>
              <w:gridCol w:w="907"/>
              <w:gridCol w:w="907"/>
            </w:tblGrid>
            <w:tr>
              <w:tc>
                <w:tcPr>
                  <w:tcW w:type="dxa" w:w="249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상품명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위험등급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총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보수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집합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투자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지정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참가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신탁</w:t>
                  </w:r>
                </w:p>
              </w:tc>
              <w:tc>
                <w:tcPr>
                  <w:tcW w:type="dxa" w:w="90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일반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사무</w:t>
                  </w:r>
                </w:p>
              </w:tc>
            </w:tr>
            <w:tr>
              <w:tc>
                <w:tcPr>
                  <w:tcW w:type="dxa" w:w="249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ACE 삼성전자SK하이닉스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플러스채권혼합50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(0233A0)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4등급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(보통 위험)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0.070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0.049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0.001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  <w:tc>
                <w:tcPr>
                  <w:tcW w:type="dxa" w:w="90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0.010</w:t>
                  </w:r>
                </w:p>
              </w:tc>
            </w:tr>
          </w:tbl>
          <w:p/>
          <w:p>
            <w:pPr>
              <w:spacing w:before="20" w:after="40"/>
              <w:jc w:val="left"/>
            </w:pPr>
            <w:r>
              <w:rPr>
                <w:b w:val="0"/>
                <w:sz w:val="18"/>
                <w:rFonts w:ascii="맑은 고딕" w:hAnsi="맑은 고딕" w:eastAsia="맑은 고딕" w:cs="맑은 고딕"/>
              </w:rPr>
              <w:t>* 상장일 : 2026년 8월 25일 (신규상장)</w:t>
            </w:r>
          </w:p>
          <w:p>
            <w:pPr>
              <w:spacing w:after="60" w:before="0" w:line="276" w:lineRule="auto"/>
              <w:jc w:val="left"/>
            </w:pPr>
            <w:r>
              <w:rPr>
                <w:b w:val="0"/>
                <w:sz w:val="20"/>
                <w:rFonts w:ascii="맑은 고딕" w:hAnsi="맑은 고딕" w:eastAsia="맑은 고딕" w:cs="맑은 고딕"/>
              </w:rPr>
              <w:t>3. 주요내용 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644"/>
              <w:gridCol w:w="4139"/>
              <w:gridCol w:w="2608"/>
            </w:tblGrid>
            <w:tr>
              <w:tc>
                <w:tcPr>
                  <w:tcW w:type="dxa" w:w="164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4139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주요내용</w:t>
                  </w:r>
                </w:p>
              </w:tc>
              <w:tc>
                <w:tcPr>
                  <w:tcW w:type="dxa" w:w="2608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기타</w:t>
                  </w:r>
                </w:p>
              </w:tc>
            </w:tr>
            <w:tr>
              <w:tc>
                <w:tcPr>
                  <w:tcW w:type="dxa" w:w="164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거래량 이벤트</w:t>
                  </w:r>
                </w:p>
              </w:tc>
              <w:tc>
                <w:tcPr>
                  <w:tcW w:type="dxa" w:w="4139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lef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일 약정금액 6천만원 이상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일 조건 충족 추첨 50명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- 1만원 모바일 문화상품권 증정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 xml:space="preserve">  (인당 최대 5만원)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- 운용사 비용 부담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20" w:before="0" w:line="276" w:lineRule="auto"/>
              <w:jc w:val="left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* 동일 거래 상대방 제공 한도 : 50,000원 (10,000원 × 최대 5회)</w:t>
            </w:r>
          </w:p>
        </w:tc>
      </w:tr>
      <w:tr>
        <w:tc>
          <w:tcPr>
            <w:tcW w:type="dxa" w:w="9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  <w:rFonts w:ascii="맑은 고딕" w:hAnsi="맑은 고딕" w:eastAsia="맑은 고딕" w:cs="맑은 고딕"/>
              </w:rPr>
              <w:t>예상</w:t>
            </w:r>
          </w:p>
          <w:p>
            <w:pPr>
              <w:spacing w:after="0" w:before="0"/>
              <w:jc w:val="center"/>
            </w:pPr>
            <w:r>
              <w:rPr>
                <w:b/>
                <w:sz w:val="20"/>
                <w:rFonts w:ascii="맑은 고딕" w:hAnsi="맑은 고딕" w:eastAsia="맑은 고딕" w:cs="맑은 고딕"/>
              </w:rPr>
              <w:t>비용</w:t>
            </w:r>
          </w:p>
        </w:tc>
        <w:tc>
          <w:tcPr>
            <w:tcW w:type="dxa" w:w="8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1361"/>
              <w:gridCol w:w="964"/>
              <w:gridCol w:w="1871"/>
              <w:gridCol w:w="1361"/>
              <w:gridCol w:w="1077"/>
            </w:tblGrid>
            <w:tr>
              <w:tc>
                <w:tcPr>
                  <w:tcW w:type="dxa" w:w="175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구분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대상</w:t>
                  </w:r>
                </w:p>
              </w:tc>
              <w:tc>
                <w:tcPr>
                  <w:tcW w:type="dxa" w:w="964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영업일수</w:t>
                  </w:r>
                </w:p>
              </w:tc>
              <w:tc>
                <w:tcPr>
                  <w:tcW w:type="dxa" w:w="187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포상금(원)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비용(원)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비용부담</w:t>
                  </w:r>
                </w:p>
              </w:tc>
            </w:tr>
            <w:tr>
              <w:tc>
                <w:tcPr>
                  <w:tcW w:type="dxa" w:w="175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거래량 이벤트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일 추첨 50명</w:t>
                  </w:r>
                </w:p>
              </w:tc>
              <w:tc>
                <w:tcPr>
                  <w:tcW w:type="dxa" w:w="964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</w:t>
                  </w:r>
                </w:p>
              </w:tc>
              <w:tc>
                <w:tcPr>
                  <w:tcW w:type="dxa" w:w="187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모바일 문화상품권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10,000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5,000,000</w:t>
                  </w:r>
                </w:p>
              </w:tc>
              <w:tc>
                <w:tcPr>
                  <w:tcW w:type="dxa" w:w="107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한국투자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  <w:t>신탁운용</w:t>
                  </w:r>
                </w:p>
              </w:tc>
            </w:tr>
            <w:tr>
              <w:tc>
                <w:tcPr>
                  <w:tcW w:type="dxa" w:w="1871"/>
                  <w:vAlign w:val="center"/>
                  <w:shd w:val="clear" w:fill="F2F2F2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한국투자신탁운용 비용 총액</w:t>
                  </w:r>
                </w:p>
              </w:tc>
              <w:tc>
                <w:tcPr>
                  <w:tcW w:type="dxa" w:w="1361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right"/>
                  </w:pPr>
                  <w:r/>
                  <w:r>
                    <w:rPr>
                      <w:b/>
                      <w:sz w:val="18"/>
                      <w:rFonts w:ascii="맑은 고딕" w:hAnsi="맑은 고딕" w:eastAsia="맑은 고딕" w:cs="맑은 고딕"/>
                    </w:rPr>
                    <w:t>5,000,000</w:t>
                  </w:r>
                </w:p>
              </w:tc>
              <w:tc>
                <w:tcPr>
                  <w:tcW w:type="dxa" w:w="1077"/>
                  <w:vAlign w:val="center"/>
                  <w:shd w:val="clear" w:fill="F2F2F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spacing w:after="0" w:before="0"/>
                    <w:jc w:val="center"/>
                  </w:pPr>
                  <w:r/>
                  <w:r>
                    <w:rPr>
                      <w:b w:val="0"/>
                      <w:sz w:val="18"/>
                      <w:rFonts w:ascii="맑은 고딕" w:hAnsi="맑은 고딕" w:eastAsia="맑은 고딕" w:cs="맑은 고딕"/>
                    </w:rPr>
                  </w:r>
                </w:p>
              </w:tc>
            </w:tr>
          </w:tbl>
          <w:p/>
          <w:p>
            <w:pPr>
              <w:spacing w:before="40" w:after="0"/>
            </w:pPr>
            <w:r>
              <w:rPr>
                <w:b/>
                <w:sz w:val="18"/>
                <w:rFonts w:ascii="맑은 고딕" w:hAnsi="맑은 고딕" w:eastAsia="맑은 고딕" w:cs="맑은 고딕"/>
              </w:rPr>
              <w:t>※ 상기 비용은 예상비용으로 실제 거래체결에 따른 결과 달라질 수 있음</w:t>
            </w:r>
          </w:p>
        </w:tc>
      </w:tr>
    </w:tbl>
    <w:p>
      <w:pPr>
        <w:spacing w:after="240" w:before="0" w:line="288" w:lineRule="auto"/>
      </w:pPr>
    </w:p>
    <w:p>
      <w:pPr>
        <w:spacing w:after="20" w:before="0" w:line="288" w:lineRule="auto"/>
        <w:jc w:val="center"/>
      </w:pPr>
      <w:r>
        <w:rPr>
          <w:b/>
          <w:sz w:val="26"/>
          <w:rFonts w:ascii="맑은 고딕" w:hAnsi="맑은 고딕" w:eastAsia="맑은 고딕" w:cs="맑은 고딕"/>
        </w:rPr>
        <w:t>한국투자신탁운용(주)</w:t>
      </w:r>
    </w:p>
    <w:p>
      <w:pPr>
        <w:spacing w:after="0" w:before="0" w:line="288" w:lineRule="auto"/>
        <w:jc w:val="center"/>
      </w:pPr>
      <w:r>
        <w:rPr>
          <w:b/>
          <w:sz w:val="24"/>
          <w:rFonts w:ascii="맑은 고딕" w:hAnsi="맑은 고딕" w:eastAsia="맑은 고딕" w:cs="맑은 고딕"/>
        </w:rPr>
        <w:t>대표이사 배 재 규   (직인)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