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4BE1" w14:textId="77777777" w:rsidR="00BF566A" w:rsidRDefault="00000000">
      <w:pPr>
        <w:spacing w:after="700"/>
      </w:pPr>
      <w:r>
        <w:rPr>
          <w:noProof/>
        </w:rPr>
        <w:drawing>
          <wp:inline distT="0" distB="0" distL="0" distR="0" wp14:anchorId="563BA922" wp14:editId="49D45D42">
            <wp:extent cx="1981200" cy="77152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F566A" w14:paraId="42955C2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04C1C8"/>
            <w:tcMar>
              <w:top w:w="520" w:type="dxa"/>
              <w:left w:w="340" w:type="dxa"/>
              <w:bottom w:w="520" w:type="dxa"/>
              <w:right w:w="340" w:type="dxa"/>
            </w:tcMar>
          </w:tcPr>
          <w:p w14:paraId="6F25CFC0" w14:textId="77777777" w:rsidR="00BF566A" w:rsidRDefault="00000000">
            <w:pPr>
              <w:spacing w:after="220"/>
            </w:pPr>
            <w:r>
              <w:rPr>
                <w:b/>
                <w:bCs/>
                <w:spacing w:val="60"/>
                <w:sz w:val="17"/>
                <w:szCs w:val="17"/>
              </w:rPr>
              <w:t>DOCUMENTAZIONE TECNICA</w:t>
            </w:r>
          </w:p>
          <w:p w14:paraId="189FF0DD" w14:textId="77777777" w:rsidR="00BF566A" w:rsidRDefault="00000000">
            <w:pPr>
              <w:spacing w:line="420" w:lineRule="auto"/>
            </w:pPr>
            <w:r>
              <w:rPr>
                <w:b/>
                <w:bCs/>
                <w:sz w:val="56"/>
                <w:szCs w:val="56"/>
              </w:rPr>
              <w:t>High Level Design</w:t>
            </w:r>
          </w:p>
          <w:p w14:paraId="4AE8085B" w14:textId="77777777" w:rsidR="00BF566A" w:rsidRDefault="00000000">
            <w:pPr>
              <w:spacing w:after="0" w:line="300" w:lineRule="auto"/>
            </w:pPr>
            <w:r>
              <w:rPr>
                <w:sz w:val="24"/>
                <w:szCs w:val="24"/>
              </w:rPr>
              <w:t>Architettura della soluzione di gestione degli accessi Wi-Fi ospiti sui controller Cisco Catalyst 9800</w:t>
            </w:r>
          </w:p>
        </w:tc>
      </w:tr>
    </w:tbl>
    <w:p w14:paraId="76FC4C5B" w14:textId="77777777" w:rsidR="00BF566A" w:rsidRDefault="00000000">
      <w:pPr>
        <w:spacing w:before="160" w:after="360"/>
      </w:pPr>
      <w:r>
        <w:rPr>
          <w:color w:val="DC3230"/>
          <w:sz w:val="26"/>
          <w:szCs w:val="26"/>
        </w:rPr>
        <w:t>●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BF566A" w14:paraId="3021CA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A2E41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D3C5E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Valore</w:t>
            </w:r>
          </w:p>
        </w:tc>
      </w:tr>
      <w:tr w:rsidR="00BF566A" w14:paraId="652A6645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AB1E2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Applicativo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6F0A4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Guest Portal — Cisco Catalyst 9800 Guest Management Desk</w:t>
            </w:r>
          </w:p>
        </w:tc>
      </w:tr>
      <w:tr w:rsidR="00BF566A" w14:paraId="64801DAA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242BB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Documento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6C0D2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HLD — High Level Design</w:t>
            </w:r>
          </w:p>
        </w:tc>
      </w:tr>
      <w:tr w:rsidR="00BF566A" w14:paraId="53F29D78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EF9BF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Versione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FD8F2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1.0</w:t>
            </w:r>
          </w:p>
        </w:tc>
      </w:tr>
      <w:tr w:rsidR="00BF566A" w14:paraId="4CB03541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8FF178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Data di emissione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F3926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22 settembre 2026</w:t>
            </w:r>
          </w:p>
        </w:tc>
      </w:tr>
      <w:tr w:rsidR="00BF566A" w14:paraId="16CEC801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F7DF46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Stato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3D400C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Emesso</w:t>
            </w:r>
          </w:p>
        </w:tc>
      </w:tr>
      <w:tr w:rsidR="00BF566A" w14:paraId="5AF650E1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B9852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Destinatari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F3FFB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IT Infrastructure, Security, Sviluppo, Service Desk</w:t>
            </w:r>
          </w:p>
        </w:tc>
      </w:tr>
      <w:tr w:rsidR="00BF566A" w14:paraId="7BE574FA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9B9A1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Classificazione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332EC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Uso interno</w:t>
            </w:r>
          </w:p>
        </w:tc>
      </w:tr>
      <w:tr w:rsidR="00BF566A" w14:paraId="1C43FFDC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59495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Repository di riferimento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1D20D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github.com/ACF-Dompe/Centralino</w:t>
            </w:r>
          </w:p>
        </w:tc>
      </w:tr>
      <w:tr w:rsidR="00BF566A" w14:paraId="067F3F21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B6B2B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Revisione del codice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0B3F10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main · f427890</w:t>
            </w:r>
          </w:p>
        </w:tc>
      </w:tr>
    </w:tbl>
    <w:p w14:paraId="1A5D1B52" w14:textId="77777777" w:rsidR="00BF566A" w:rsidRDefault="00000000">
      <w:r>
        <w:br w:type="page"/>
      </w:r>
    </w:p>
    <w:p w14:paraId="00EDD7CF" w14:textId="77777777" w:rsidR="00BF566A" w:rsidRDefault="00000000">
      <w:pPr>
        <w:pBdr>
          <w:bottom w:val="single" w:sz="12" w:space="8" w:color="04C1C8"/>
        </w:pBdr>
        <w:spacing w:after="240"/>
      </w:pPr>
      <w:r>
        <w:rPr>
          <w:b/>
          <w:bCs/>
          <w:sz w:val="34"/>
          <w:szCs w:val="34"/>
        </w:rPr>
        <w:lastRenderedPageBreak/>
        <w:t>Indice</w:t>
      </w:r>
    </w:p>
    <w:sdt>
      <w:sdtPr>
        <w:alias w:val="Indice"/>
        <w:id w:val="730583920"/>
      </w:sdtPr>
      <w:sdtContent>
        <w:p w14:paraId="3F7CCA76" w14:textId="77777777" w:rsidR="00F90D08" w:rsidRDefault="00000000">
          <w:pPr>
            <w:pStyle w:val="Somma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987600" w:history="1">
            <w:r w:rsidR="00F90D08" w:rsidRPr="00CC1765">
              <w:rPr>
                <w:rStyle w:val="Collegamentoipertestuale"/>
                <w:noProof/>
              </w:rPr>
              <w:t>1  Scopo e ambito del documento</w:t>
            </w:r>
            <w:r w:rsidR="00F90D08">
              <w:rPr>
                <w:noProof/>
              </w:rPr>
              <w:tab/>
            </w:r>
            <w:r w:rsidR="00F90D08">
              <w:rPr>
                <w:noProof/>
              </w:rPr>
              <w:fldChar w:fldCharType="begin"/>
            </w:r>
            <w:r w:rsidR="00F90D08">
              <w:rPr>
                <w:noProof/>
              </w:rPr>
              <w:instrText xml:space="preserve"> PAGEREF _Toc240987600 \h </w:instrText>
            </w:r>
            <w:r w:rsidR="00F90D08">
              <w:rPr>
                <w:noProof/>
              </w:rPr>
            </w:r>
            <w:r w:rsidR="00F90D08">
              <w:rPr>
                <w:noProof/>
              </w:rPr>
              <w:fldChar w:fldCharType="separate"/>
            </w:r>
            <w:r w:rsidR="00F90D08">
              <w:rPr>
                <w:noProof/>
              </w:rPr>
              <w:t>3</w:t>
            </w:r>
            <w:r w:rsidR="00F90D08">
              <w:rPr>
                <w:noProof/>
              </w:rPr>
              <w:fldChar w:fldCharType="end"/>
            </w:r>
          </w:hyperlink>
        </w:p>
        <w:p w14:paraId="316FD56E" w14:textId="77777777" w:rsidR="00F90D08" w:rsidRDefault="00F90D08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01" w:history="1">
            <w:r w:rsidRPr="00CC1765">
              <w:rPr>
                <w:rStyle w:val="Collegamentoipertestuale"/>
                <w:noProof/>
              </w:rPr>
              <w:t>1.1  Obiettivo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5BA39F" w14:textId="77777777" w:rsidR="00F90D08" w:rsidRDefault="00F90D08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02" w:history="1">
            <w:r w:rsidRPr="00CC1765">
              <w:rPr>
                <w:rStyle w:val="Collegamentoipertestuale"/>
                <w:noProof/>
              </w:rPr>
              <w:t>1.2  Destinatari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8A0C941" w14:textId="77777777" w:rsidR="00F90D08" w:rsidRDefault="00F90D08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03" w:history="1">
            <w:r w:rsidRPr="00CC1765">
              <w:rPr>
                <w:rStyle w:val="Collegamentoipertestuale"/>
                <w:noProof/>
              </w:rPr>
              <w:t>1.3  Documenti correlati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B5588D2" w14:textId="77777777" w:rsidR="00F90D08" w:rsidRDefault="00F90D08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04" w:history="1">
            <w:r w:rsidRPr="00CC1765">
              <w:rPr>
                <w:rStyle w:val="Collegamentoipertestuale"/>
                <w:noProof/>
              </w:rPr>
              <w:t>2  Contesto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6EC1B2" w14:textId="77777777" w:rsidR="00F90D08" w:rsidRDefault="00F90D08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05" w:history="1">
            <w:r w:rsidRPr="00CC1765">
              <w:rPr>
                <w:rStyle w:val="Collegamentoipertestuale"/>
                <w:noProof/>
              </w:rPr>
              <w:t>2.1  Il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309A898" w14:textId="77777777" w:rsidR="00F90D08" w:rsidRDefault="00F90D08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06" w:history="1">
            <w:r w:rsidRPr="00CC1765">
              <w:rPr>
                <w:rStyle w:val="Collegamentoipertestuale"/>
                <w:noProof/>
              </w:rPr>
              <w:t>2.2  Gli attori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95D4BD" w14:textId="77777777" w:rsidR="00F90D08" w:rsidRDefault="00F90D08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07" w:history="1">
            <w:r w:rsidRPr="00CC1765">
              <w:rPr>
                <w:rStyle w:val="Collegamentoipertestuale"/>
                <w:noProof/>
              </w:rPr>
              <w:t>2.3  Perimetro funzionale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0F4AE1" w14:textId="77777777" w:rsidR="00F90D08" w:rsidRDefault="00F90D08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08" w:history="1">
            <w:r w:rsidRPr="00CC1765">
              <w:rPr>
                <w:rStyle w:val="Collegamentoipertestuale"/>
                <w:noProof/>
              </w:rPr>
              <w:t>2.4  Sedi servite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B842A6" w14:textId="77777777" w:rsidR="00F90D08" w:rsidRDefault="00F90D08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09" w:history="1">
            <w:r w:rsidRPr="00CC1765">
              <w:rPr>
                <w:rStyle w:val="Collegamentoipertestuale"/>
                <w:noProof/>
              </w:rPr>
              <w:t>3  Visione d’insieme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E1BAE3" w14:textId="77777777" w:rsidR="00F90D08" w:rsidRDefault="00F90D08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10" w:history="1">
            <w:r w:rsidRPr="00CC1765">
              <w:rPr>
                <w:rStyle w:val="Collegamentoipertestuale"/>
                <w:noProof/>
              </w:rPr>
              <w:t>3.1  Principi architetturali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5CB757A" w14:textId="77777777" w:rsidR="00F90D08" w:rsidRDefault="00F90D08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11" w:history="1">
            <w:r w:rsidRPr="00CC1765">
              <w:rPr>
                <w:rStyle w:val="Collegamentoipertestuale"/>
                <w:noProof/>
              </w:rPr>
              <w:t>3.2  Componenti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9668916" w14:textId="77777777" w:rsidR="00F90D08" w:rsidRDefault="00F90D08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12" w:history="1">
            <w:r w:rsidRPr="00CC1765">
              <w:rPr>
                <w:rStyle w:val="Collegamentoipertestuale"/>
                <w:noProof/>
              </w:rPr>
              <w:t>3.3  Perché nessun CORS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DA5DA93" w14:textId="77777777" w:rsidR="00F90D08" w:rsidRDefault="00F90D08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13" w:history="1">
            <w:r w:rsidRPr="00CC1765">
              <w:rPr>
                <w:rStyle w:val="Collegamentoipertestuale"/>
                <w:noProof/>
              </w:rPr>
              <w:t>4  Flussi principali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EBEFB1D" w14:textId="77777777" w:rsidR="00F90D08" w:rsidRDefault="00F90D08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14" w:history="1">
            <w:r w:rsidRPr="00CC1765">
              <w:rPr>
                <w:rStyle w:val="Collegamentoipertestuale"/>
                <w:noProof/>
              </w:rPr>
              <w:t>4.1  Accesso alla console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FB46CD7" w14:textId="77777777" w:rsidR="00F90D08" w:rsidRDefault="00F90D08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15" w:history="1">
            <w:r w:rsidRPr="00CC1765">
              <w:rPr>
                <w:rStyle w:val="Collegamentoipertestuale"/>
                <w:noProof/>
              </w:rPr>
              <w:t>4.2  Rilascio di un accesso ospite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C03DC3" w14:textId="77777777" w:rsidR="00F90D08" w:rsidRDefault="00F90D08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16" w:history="1">
            <w:r w:rsidRPr="00CC1765">
              <w:rPr>
                <w:rStyle w:val="Collegamentoipertestuale"/>
                <w:noProof/>
              </w:rPr>
              <w:t>4.3  Scadenza e revoca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50E2A85" w14:textId="77777777" w:rsidR="00F90D08" w:rsidRDefault="00F90D08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17" w:history="1">
            <w:r w:rsidRPr="00CC1765">
              <w:rPr>
                <w:rStyle w:val="Collegamentoipertestuale"/>
                <w:noProof/>
              </w:rPr>
              <w:t>4.4  Amministrazione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B82117F" w14:textId="77777777" w:rsidR="00F90D08" w:rsidRDefault="00F90D08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18" w:history="1">
            <w:r w:rsidRPr="00CC1765">
              <w:rPr>
                <w:rStyle w:val="Collegamentoipertestuale"/>
                <w:noProof/>
              </w:rPr>
              <w:t>5  Modello di sicurezza (sintesi)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E62587" w14:textId="77777777" w:rsidR="00F90D08" w:rsidRDefault="00F90D08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19" w:history="1">
            <w:r w:rsidRPr="00CC1765">
              <w:rPr>
                <w:rStyle w:val="Collegamentoipertestuale"/>
                <w:noProof/>
              </w:rPr>
              <w:t>5.1  Autenticazione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3A9791" w14:textId="77777777" w:rsidR="00F90D08" w:rsidRDefault="00F90D08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20" w:history="1">
            <w:r w:rsidRPr="00CC1765">
              <w:rPr>
                <w:rStyle w:val="Collegamentoipertestuale"/>
                <w:noProof/>
              </w:rPr>
              <w:t>5.2  Autorizzazione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9D56240" w14:textId="77777777" w:rsidR="00F90D08" w:rsidRDefault="00F90D08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21" w:history="1">
            <w:r w:rsidRPr="00CC1765">
              <w:rPr>
                <w:rStyle w:val="Collegamentoipertestuale"/>
                <w:noProof/>
              </w:rPr>
              <w:t>5.3  Segreti e dati sensibili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A272384" w14:textId="77777777" w:rsidR="00F90D08" w:rsidRDefault="00F90D08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22" w:history="1">
            <w:r w:rsidRPr="00CC1765">
              <w:rPr>
                <w:rStyle w:val="Collegamentoipertestuale"/>
                <w:noProof/>
              </w:rPr>
              <w:t>6  Modello dati (sintesi)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A8A58DF" w14:textId="77777777" w:rsidR="00F90D08" w:rsidRDefault="00F90D08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23" w:history="1">
            <w:r w:rsidRPr="00CC1765">
              <w:rPr>
                <w:rStyle w:val="Collegamentoipertestuale"/>
                <w:noProof/>
              </w:rPr>
              <w:t>7  Architettura di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8801549" w14:textId="77777777" w:rsidR="00F90D08" w:rsidRDefault="00F90D08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24" w:history="1">
            <w:r w:rsidRPr="00CC1765">
              <w:rPr>
                <w:rStyle w:val="Collegamentoipertestuale"/>
                <w:noProof/>
              </w:rPr>
              <w:t>7.1  Ambienti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4BD8D26" w14:textId="77777777" w:rsidR="00F90D08" w:rsidRDefault="00F90D08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25" w:history="1">
            <w:r w:rsidRPr="00CC1765">
              <w:rPr>
                <w:rStyle w:val="Collegamentoipertestuale"/>
                <w:noProof/>
              </w:rPr>
              <w:t>7.2 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6DCDFEB" w14:textId="77777777" w:rsidR="00F90D08" w:rsidRDefault="00F90D08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26" w:history="1">
            <w:r w:rsidRPr="00CC1765">
              <w:rPr>
                <w:rStyle w:val="Collegamentoipertestuale"/>
                <w:noProof/>
              </w:rPr>
              <w:t>7.3  Modello consume-only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2871089" w14:textId="77777777" w:rsidR="00F90D08" w:rsidRDefault="00F90D08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27" w:history="1">
            <w:r w:rsidRPr="00CC1765">
              <w:rPr>
                <w:rStyle w:val="Collegamentoipertestuale"/>
                <w:noProof/>
              </w:rPr>
              <w:t>7.4  Ingress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29253A0" w14:textId="77777777" w:rsidR="00F90D08" w:rsidRDefault="00F90D08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28" w:history="1">
            <w:r w:rsidRPr="00CC1765">
              <w:rPr>
                <w:rStyle w:val="Collegamentoipertestuale"/>
                <w:noProof/>
              </w:rPr>
              <w:t>8  Requisiti non funzionali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29F04B5" w14:textId="77777777" w:rsidR="00F90D08" w:rsidRDefault="00F90D08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29" w:history="1">
            <w:r w:rsidRPr="00CC1765">
              <w:rPr>
                <w:rStyle w:val="Collegamentoipertestuale"/>
                <w:noProof/>
              </w:rPr>
              <w:t>9  Decisioni architetturali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9845697" w14:textId="77777777" w:rsidR="00F90D08" w:rsidRDefault="00F90D08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30" w:history="1">
            <w:r w:rsidRPr="00CC1765">
              <w:rPr>
                <w:rStyle w:val="Collegamentoipertestuale"/>
                <w:noProof/>
              </w:rPr>
              <w:t>10  Rischi e deviazioni accettate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4FAB998" w14:textId="77777777" w:rsidR="00F90D08" w:rsidRDefault="00F90D08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31" w:history="1">
            <w:r w:rsidRPr="00CC1765">
              <w:rPr>
                <w:rStyle w:val="Collegamentoipertestuale"/>
                <w:noProof/>
              </w:rPr>
              <w:t>10.1  Rischi residui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1AEEBCA" w14:textId="77777777" w:rsidR="00F90D08" w:rsidRDefault="00F90D08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32" w:history="1">
            <w:r w:rsidRPr="00CC1765">
              <w:rPr>
                <w:rStyle w:val="Collegamentoipertestuale"/>
                <w:noProof/>
              </w:rPr>
              <w:t>11  Evoluzioni previste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E98699E" w14:textId="77777777" w:rsidR="00BF566A" w:rsidRDefault="00000000">
          <w:r>
            <w:fldChar w:fldCharType="end"/>
          </w:r>
        </w:p>
      </w:sdtContent>
    </w:sdt>
    <w:p w14:paraId="5818A5F1" w14:textId="77777777" w:rsidR="00BF566A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0" w:name="_Toc240987600"/>
      <w:r>
        <w:rPr>
          <w:color w:val="DC3230"/>
        </w:rPr>
        <w:lastRenderedPageBreak/>
        <w:t xml:space="preserve">1  </w:t>
      </w:r>
      <w:r>
        <w:t>Scopo e ambito del documento</w:t>
      </w:r>
      <w:bookmarkEnd w:id="0"/>
    </w:p>
    <w:p w14:paraId="44A2FCB2" w14:textId="77777777" w:rsidR="00BF566A" w:rsidRDefault="00000000">
      <w:pPr>
        <w:pBdr>
          <w:left w:val="single" w:sz="18" w:space="12" w:color="04C1C8"/>
        </w:pBdr>
        <w:spacing w:after="240" w:line="300" w:lineRule="auto"/>
        <w:ind w:left="170"/>
      </w:pPr>
      <w:r>
        <w:rPr>
          <w:color w:val="5A5A5A"/>
          <w:sz w:val="23"/>
          <w:szCs w:val="23"/>
        </w:rPr>
        <w:t>Questo documento descrive l’architettura di alto livello del Guest Portal: quali componenti esistono, come sono collegati, quali responsabilità hanno e su quali decisioni progettuali si regge l’insieme. Non entra nel dettaglio implementativo, che è oggetto del documento LLD.</w:t>
      </w:r>
    </w:p>
    <w:p w14:paraId="3BC512F4" w14:textId="77777777" w:rsidR="00BF566A" w:rsidRDefault="00000000">
      <w:pPr>
        <w:pStyle w:val="Titolo2"/>
        <w:keepNext/>
        <w:spacing w:before="340" w:after="130"/>
      </w:pPr>
      <w:bookmarkStart w:id="1" w:name="_Toc240987601"/>
      <w:r>
        <w:rPr>
          <w:color w:val="DC3230"/>
        </w:rPr>
        <w:t xml:space="preserve">1.1  </w:t>
      </w:r>
      <w:r>
        <w:t>Obiettivo</w:t>
      </w:r>
      <w:bookmarkEnd w:id="1"/>
    </w:p>
    <w:p w14:paraId="1274EFC3" w14:textId="77777777" w:rsidR="00BF566A" w:rsidRDefault="00000000">
      <w:r>
        <w:t xml:space="preserve">Il Guest Portal è la console con cui il personale Dompé rilascia, sorveglia e revoca gli accessi Wi-Fi destinati ai visitatori delle sedi aziendali. Sostituisce l’uso diretto della interfaccia di amministrazione dei controller wireless </w:t>
      </w:r>
      <w:r>
        <w:rPr>
          <w:b/>
          <w:bCs/>
        </w:rPr>
        <w:t>Cisco Catalyst 9800</w:t>
      </w:r>
      <w:r>
        <w:t>, che richiedeva credenziali di rete privilegiate e non lasciava traccia di chi avesse rilasciato quale accesso.</w:t>
      </w:r>
    </w:p>
    <w:p w14:paraId="2B1ECC81" w14:textId="77777777" w:rsidR="00BF566A" w:rsidRDefault="00000000">
      <w:r>
        <w:t xml:space="preserve">L’applicazione persegue tre risultati: </w:t>
      </w:r>
      <w:r>
        <w:rPr>
          <w:b/>
          <w:bCs/>
        </w:rPr>
        <w:t>rendere l’operazione accessibile</w:t>
      </w:r>
      <w:r>
        <w:t xml:space="preserve"> a personale non specialistico (reception, service desk), </w:t>
      </w:r>
      <w:r>
        <w:rPr>
          <w:b/>
          <w:bCs/>
        </w:rPr>
        <w:t>mantenere il controllo</w:t>
      </w:r>
      <w:r>
        <w:t xml:space="preserve"> su chi può operare e su quale sede, e </w:t>
      </w:r>
      <w:r>
        <w:rPr>
          <w:b/>
          <w:bCs/>
        </w:rPr>
        <w:t>lasciare una traccia</w:t>
      </w:r>
      <w:r>
        <w:t xml:space="preserve"> di ogni azione eseguita sui controller.</w:t>
      </w:r>
    </w:p>
    <w:p w14:paraId="57984156" w14:textId="77777777" w:rsidR="00BF566A" w:rsidRDefault="00000000">
      <w:pPr>
        <w:pStyle w:val="Titolo2"/>
        <w:keepNext/>
        <w:spacing w:before="340" w:after="130"/>
      </w:pPr>
      <w:bookmarkStart w:id="2" w:name="_Toc240987602"/>
      <w:r>
        <w:rPr>
          <w:color w:val="DC3230"/>
        </w:rPr>
        <w:t xml:space="preserve">1.2  </w:t>
      </w:r>
      <w:r>
        <w:t>Destinatari</w:t>
      </w:r>
      <w:bookmarkEnd w:id="2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7132"/>
      </w:tblGrid>
      <w:tr w:rsidR="00BF566A" w14:paraId="6C9C27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F5D3B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Ruolo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863DE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Che cosa trova in questo documento</w:t>
            </w:r>
          </w:p>
        </w:tc>
      </w:tr>
      <w:tr w:rsidR="00BF566A" w14:paraId="0B100A48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E8E9A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Architetti e IT Infrastructure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A18249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Vista d’insieme, componenti, dipendenze di piattaforma, requisiti non funzionali.</w:t>
            </w:r>
          </w:p>
        </w:tc>
      </w:tr>
      <w:tr w:rsidR="00BF566A" w14:paraId="59D2C532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72508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Sicurezza e Compliance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045236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Perimetro, modello di autenticazione e autorizzazione, deviazioni accettate (dettaglio nel documento SEC).</w:t>
            </w:r>
          </w:p>
        </w:tc>
      </w:tr>
      <w:tr w:rsidR="00BF566A" w14:paraId="2890244D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403FB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Sviluppo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96E7B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Contesto architetturale entro cui si collocano le scelte di dettaglio descritte nel documento LLD.</w:t>
            </w:r>
          </w:p>
        </w:tc>
      </w:tr>
      <w:tr w:rsidR="00BF566A" w14:paraId="1FF37D40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D599E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Esercizio e Service Desk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3CC5B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Comprensione dei flussi e dei modi di degrado del servizio (dettaglio nei documenti FUN e OPS).</w:t>
            </w:r>
          </w:p>
        </w:tc>
      </w:tr>
    </w:tbl>
    <w:p w14:paraId="5B18D0F2" w14:textId="77777777" w:rsidR="00BF566A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 — </w:t>
      </w:r>
      <w:r>
        <w:rPr>
          <w:i/>
          <w:iCs/>
          <w:color w:val="5A5A5A"/>
          <w:sz w:val="17"/>
          <w:szCs w:val="17"/>
        </w:rPr>
        <w:t>Destinatari del documento e relative sezioni di interesse.</w:t>
      </w:r>
    </w:p>
    <w:p w14:paraId="6214C5CE" w14:textId="77777777" w:rsidR="00BF566A" w:rsidRDefault="00000000">
      <w:pPr>
        <w:pStyle w:val="Titolo2"/>
        <w:keepNext/>
        <w:spacing w:before="340" w:after="130"/>
      </w:pPr>
      <w:bookmarkStart w:id="3" w:name="_Toc240987603"/>
      <w:r>
        <w:rPr>
          <w:color w:val="DC3230"/>
        </w:rPr>
        <w:t xml:space="preserve">1.3  </w:t>
      </w:r>
      <w:r>
        <w:t>Documenti correlati</w:t>
      </w:r>
      <w:bookmarkEnd w:id="3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3084"/>
        <w:gridCol w:w="5590"/>
      </w:tblGrid>
      <w:tr w:rsidR="00BF566A" w14:paraId="056CDD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54D45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Codice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A23D50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Documento</w:t>
            </w:r>
          </w:p>
        </w:tc>
        <w:tc>
          <w:tcPr>
            <w:tcW w:w="5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6F975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Contenuto</w:t>
            </w:r>
          </w:p>
        </w:tc>
      </w:tr>
      <w:tr w:rsidR="00BF566A" w14:paraId="633C07FB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271A6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HLD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4EC1AC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High Level Design</w:t>
            </w:r>
          </w:p>
        </w:tc>
        <w:tc>
          <w:tcPr>
            <w:tcW w:w="5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8D18E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Questo documento: architettura d’insieme.</w:t>
            </w:r>
          </w:p>
        </w:tc>
      </w:tr>
      <w:tr w:rsidR="00BF566A" w14:paraId="5041971A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0B0865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LLD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4DC6DB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Low Level Design</w:t>
            </w:r>
          </w:p>
        </w:tc>
        <w:tc>
          <w:tcPr>
            <w:tcW w:w="5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2BA4B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Struttura del codice, moduli, contratti interni, test.</w:t>
            </w:r>
          </w:p>
        </w:tc>
      </w:tr>
      <w:tr w:rsidR="00BF566A" w14:paraId="17F02AF9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4EA1B3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DB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E4764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Schema del database</w:t>
            </w:r>
          </w:p>
        </w:tc>
        <w:tc>
          <w:tcPr>
            <w:tcW w:w="5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258872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Tabelle, vincoli, indici, migrazioni, dati di riferimento.</w:t>
            </w:r>
          </w:p>
        </w:tc>
      </w:tr>
      <w:tr w:rsidR="00BF566A" w14:paraId="512F6CD7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D56B7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FUN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4A207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Funzionamento dell’applicativo</w:t>
            </w:r>
          </w:p>
        </w:tc>
        <w:tc>
          <w:tcPr>
            <w:tcW w:w="5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28CC38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Flussi funzionali passo per passo e comportamento dell’interfaccia.</w:t>
            </w:r>
          </w:p>
        </w:tc>
      </w:tr>
      <w:tr w:rsidR="00BF566A" w14:paraId="2D1752F4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F4E8C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API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50D8E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API Reference</w:t>
            </w:r>
          </w:p>
        </w:tc>
        <w:tc>
          <w:tcPr>
            <w:tcW w:w="5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85B902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Contratto REST e WebSocket, codici di errore, matrice permessi.</w:t>
            </w:r>
          </w:p>
        </w:tc>
      </w:tr>
      <w:tr w:rsidR="00BF566A" w14:paraId="27DE8E51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6189B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SEC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AD478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Sicurezza e conformità</w:t>
            </w:r>
          </w:p>
        </w:tc>
        <w:tc>
          <w:tcPr>
            <w:tcW w:w="5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5B145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Modello di sicurezza, controlli, deviazioni consapevoli, stato di conformità.</w:t>
            </w:r>
          </w:p>
        </w:tc>
      </w:tr>
      <w:tr w:rsidR="00BF566A" w14:paraId="54D24F52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682C8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OPS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405D4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Runbook operativo</w:t>
            </w:r>
          </w:p>
        </w:tc>
        <w:tc>
          <w:tcPr>
            <w:tcW w:w="5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06152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Deploy, configurazione, manutenzione, troubleshooting, rollback.</w:t>
            </w:r>
          </w:p>
        </w:tc>
      </w:tr>
    </w:tbl>
    <w:p w14:paraId="2339D009" w14:textId="77777777" w:rsidR="00BF566A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2 — </w:t>
      </w:r>
      <w:r>
        <w:rPr>
          <w:i/>
          <w:iCs/>
          <w:color w:val="5A5A5A"/>
          <w:sz w:val="17"/>
          <w:szCs w:val="17"/>
        </w:rPr>
        <w:t>Insieme documentale della soluzione.</w:t>
      </w:r>
    </w:p>
    <w:p w14:paraId="7BEEBB8A" w14:textId="77777777" w:rsidR="00BF566A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4" w:name="_Toc240987604"/>
      <w:r>
        <w:rPr>
          <w:color w:val="DC3230"/>
        </w:rPr>
        <w:lastRenderedPageBreak/>
        <w:t xml:space="preserve">2  </w:t>
      </w:r>
      <w:r>
        <w:t>Contesto</w:t>
      </w:r>
      <w:bookmarkEnd w:id="4"/>
    </w:p>
    <w:p w14:paraId="109D87E9" w14:textId="77777777" w:rsidR="00BF566A" w:rsidRDefault="00000000">
      <w:pPr>
        <w:pStyle w:val="Titolo2"/>
        <w:keepNext/>
        <w:spacing w:before="340" w:after="130"/>
      </w:pPr>
      <w:bookmarkStart w:id="5" w:name="_Toc240987605"/>
      <w:r>
        <w:rPr>
          <w:color w:val="DC3230"/>
        </w:rPr>
        <w:t xml:space="preserve">2.1  </w:t>
      </w:r>
      <w:r>
        <w:t>Il problema</w:t>
      </w:r>
      <w:bookmarkEnd w:id="5"/>
    </w:p>
    <w:p w14:paraId="0673A2FB" w14:textId="77777777" w:rsidR="00BF566A" w:rsidRDefault="00000000">
      <w:r>
        <w:t xml:space="preserve">Un visitatore che arriva in una sede Dompé ha bisogno di una connessione Wi-Fi temporanea. Sui controller Catalyst 9800 questo si traduce nella creazione di un utente locale di tipo </w:t>
      </w:r>
      <w:r>
        <w:rPr>
          <w:rFonts w:ascii="Consolas" w:eastAsia="Consolas" w:hAnsi="Consolas" w:cs="Consolas"/>
          <w:color w:val="0A5D65"/>
          <w:sz w:val="19"/>
          <w:szCs w:val="19"/>
        </w:rPr>
        <w:t>network-user</w:t>
      </w:r>
      <w:r>
        <w:t xml:space="preserve"> con una durata (</w:t>
      </w:r>
      <w:r>
        <w:rPr>
          <w:rFonts w:ascii="Consolas" w:eastAsia="Consolas" w:hAnsi="Consolas" w:cs="Consolas"/>
          <w:color w:val="0A5D65"/>
          <w:sz w:val="19"/>
          <w:szCs w:val="19"/>
        </w:rPr>
        <w:t>lifetime</w:t>
      </w:r>
      <w:r>
        <w:t>) e nella sua rimozione a scadenza. Farlo a mano comporta tre problemi: richiede accesso amministrativo al controller, è soggetto a errore, e non lascia una traccia consultabile di chi ha rilasciato l’accesso e a chi.</w:t>
      </w:r>
    </w:p>
    <w:p w14:paraId="1D40268A" w14:textId="77777777" w:rsidR="00BF566A" w:rsidRDefault="00000000">
      <w:pPr>
        <w:pStyle w:val="Titolo2"/>
        <w:keepNext/>
        <w:spacing w:before="340" w:after="130"/>
      </w:pPr>
      <w:bookmarkStart w:id="6" w:name="_Toc240987606"/>
      <w:r>
        <w:rPr>
          <w:color w:val="DC3230"/>
        </w:rPr>
        <w:t xml:space="preserve">2.2  </w:t>
      </w:r>
      <w:r>
        <w:t>Gli attori</w:t>
      </w:r>
      <w:bookmarkEnd w:id="6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2506"/>
        <w:gridCol w:w="5204"/>
      </w:tblGrid>
      <w:tr w:rsidR="00BF566A" w14:paraId="67F2DC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34E2E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Attore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B1095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Descrizione</w:t>
            </w:r>
          </w:p>
        </w:tc>
        <w:tc>
          <w:tcPr>
            <w:tcW w:w="5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7DDBF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Interazione con il sistema</w:t>
            </w:r>
          </w:p>
        </w:tc>
      </w:tr>
      <w:tr w:rsidR="00BF566A" w14:paraId="07359193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D2F9B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Operatore di sede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183A42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Reception, front office, service desk.</w:t>
            </w:r>
          </w:p>
        </w:tc>
        <w:tc>
          <w:tcPr>
            <w:tcW w:w="5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FADA6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Registra ospiti, consegna o rinvia credenziali, elimina accessi della propria sede.</w:t>
            </w:r>
          </w:p>
        </w:tc>
      </w:tr>
      <w:tr w:rsidR="00BF566A" w14:paraId="7533A828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E66D5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Amministratore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BB63A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IT Infrastructure / Network.</w:t>
            </w:r>
          </w:p>
        </w:tc>
        <w:tc>
          <w:tcPr>
            <w:tcW w:w="5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A6F11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Profila gli utenti, configura le sedi e i controller, consulta lo storico, gestisce gli account di emergenza.</w:t>
            </w:r>
          </w:p>
        </w:tc>
      </w:tr>
      <w:tr w:rsidR="00BF566A" w14:paraId="42A5DB30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6F43A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Osservatore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42BEA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Ruolo di sola lettura.</w:t>
            </w:r>
          </w:p>
        </w:tc>
        <w:tc>
          <w:tcPr>
            <w:tcW w:w="5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5777E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Consulta la lista ospiti delle sedi concesse, senza poter modificare nulla.</w:t>
            </w:r>
          </w:p>
        </w:tc>
      </w:tr>
      <w:tr w:rsidR="00BF566A" w14:paraId="303AC6B1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6A60A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Ospite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CB32A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Il visitatore.</w:t>
            </w:r>
          </w:p>
        </w:tc>
        <w:tc>
          <w:tcPr>
            <w:tcW w:w="5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20A88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Non usa l’applicazione: riceve le credenziali via e-mail o su carta e si connette alla rete Wi-Fi.</w:t>
            </w:r>
          </w:p>
        </w:tc>
      </w:tr>
      <w:tr w:rsidR="00BF566A" w14:paraId="13AA0E11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5527C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Team di piattaforma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A4540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Chi possiede le risorse Azure.</w:t>
            </w:r>
          </w:p>
        </w:tc>
        <w:tc>
          <w:tcPr>
            <w:tcW w:w="5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F78CD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Pre-provisiona l’infrastruttura, popola Key Vault, gestisce rete e ingress.</w:t>
            </w:r>
          </w:p>
        </w:tc>
      </w:tr>
    </w:tbl>
    <w:p w14:paraId="7DEA617D" w14:textId="77777777" w:rsidR="00BF566A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3 — </w:t>
      </w:r>
      <w:r>
        <w:rPr>
          <w:i/>
          <w:iCs/>
          <w:color w:val="5A5A5A"/>
          <w:sz w:val="17"/>
          <w:szCs w:val="17"/>
        </w:rPr>
        <w:t>Attori del sistema.</w:t>
      </w:r>
    </w:p>
    <w:p w14:paraId="23AAE4E9" w14:textId="77777777" w:rsidR="00BF566A" w:rsidRDefault="00000000">
      <w:pPr>
        <w:pStyle w:val="Titolo2"/>
        <w:keepNext/>
        <w:spacing w:before="340" w:after="130"/>
      </w:pPr>
      <w:bookmarkStart w:id="7" w:name="_Toc240987607"/>
      <w:r>
        <w:rPr>
          <w:color w:val="DC3230"/>
        </w:rPr>
        <w:t xml:space="preserve">2.3  </w:t>
      </w:r>
      <w:r>
        <w:t>Perimetro funzionale</w:t>
      </w:r>
      <w:bookmarkEnd w:id="7"/>
    </w:p>
    <w:p w14:paraId="6E1C72B8" w14:textId="77777777" w:rsidR="00BF566A" w:rsidRDefault="00000000">
      <w:r>
        <w:rPr>
          <w:b/>
          <w:bCs/>
        </w:rPr>
        <w:t>Nel perimetro:</w:t>
      </w:r>
      <w:r>
        <w:t xml:space="preserve"> autenticazione aziendale degli operatori, selezione della sede di lavoro, creazione e revoca degli account ospite sul controller della sede, consegna delle credenziali via e-mail o a voce, monitoraggio in tempo reale della durata residua, riconciliazione periodica con i controller, amministrazione di utenti e sedi.</w:t>
      </w:r>
    </w:p>
    <w:p w14:paraId="5469DFE6" w14:textId="77777777" w:rsidR="00BF566A" w:rsidRDefault="00000000">
      <w:r>
        <w:rPr>
          <w:b/>
          <w:bCs/>
        </w:rPr>
        <w:t>Fuori perimetro:</w:t>
      </w:r>
      <w:r>
        <w:t xml:space="preserve"> la configurazione radio e di rete dei controller, la gestione del captive portal, l’anagrafica dei visitatori in sistemi terzi, l’invio SMS (la funzione è presente a schema ma dormiente), e la creazione delle risorse Azure, che appartiene al team di piattaforma.</w:t>
      </w:r>
    </w:p>
    <w:p w14:paraId="7CBF597C" w14:textId="77777777" w:rsidR="00BF566A" w:rsidRDefault="00000000">
      <w:pPr>
        <w:pStyle w:val="Titolo2"/>
        <w:keepNext/>
        <w:spacing w:before="340" w:after="130"/>
      </w:pPr>
      <w:bookmarkStart w:id="8" w:name="_Toc240987608"/>
      <w:r>
        <w:rPr>
          <w:color w:val="DC3230"/>
        </w:rPr>
        <w:t xml:space="preserve">2.4  </w:t>
      </w:r>
      <w:r>
        <w:t>Sedi servite</w:t>
      </w:r>
      <w:bookmarkEnd w:id="8"/>
    </w:p>
    <w:p w14:paraId="53D8EF91" w14:textId="77777777" w:rsidR="00BF566A" w:rsidRDefault="00000000">
      <w:r>
        <w:t>L’applicazione è multi-sede per costruzione: ogni sede ha il proprio controller, i propri operatori abilitati e i propri ospiti. Il confine fra sedi è applicato dall’API, non soltanto dall’interfaccia.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7"/>
        <w:gridCol w:w="2891"/>
        <w:gridCol w:w="1928"/>
        <w:gridCol w:w="2024"/>
        <w:gridCol w:w="1638"/>
      </w:tblGrid>
      <w:tr w:rsidR="00BF566A" w14:paraId="6F6A23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6B81E4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Codice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62D71A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Sede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2E107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Città</w:t>
            </w:r>
          </w:p>
        </w:tc>
        <w:tc>
          <w:tcPr>
            <w:tcW w:w="2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FA8A1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Controller</w:t>
            </w:r>
          </w:p>
        </w:tc>
        <w:tc>
          <w:tcPr>
            <w:tcW w:w="16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54EF38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SSID</w:t>
            </w:r>
          </w:p>
        </w:tc>
      </w:tr>
      <w:tr w:rsidR="00BF566A" w14:paraId="0D45B9A6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3EAB5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MIL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003B0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Dompé Milano HQ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A39EC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Milano</w:t>
            </w:r>
          </w:p>
        </w:tc>
        <w:tc>
          <w:tcPr>
            <w:tcW w:w="2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8CFB68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172.18.106.100</w:t>
            </w:r>
          </w:p>
        </w:tc>
        <w:tc>
          <w:tcPr>
            <w:tcW w:w="16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95BB77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Dompe Guest</w:t>
            </w:r>
          </w:p>
        </w:tc>
      </w:tr>
      <w:tr w:rsidR="00BF566A" w14:paraId="6D3C50FE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FBA9E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AQ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D72AC5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Dompé L’Aquila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0AC92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L’Aquila</w:t>
            </w:r>
          </w:p>
        </w:tc>
        <w:tc>
          <w:tcPr>
            <w:tcW w:w="2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39312E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172.18.106.101</w:t>
            </w:r>
          </w:p>
        </w:tc>
        <w:tc>
          <w:tcPr>
            <w:tcW w:w="16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0B13D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Dompe Guest AQ</w:t>
            </w:r>
          </w:p>
        </w:tc>
      </w:tr>
      <w:tr w:rsidR="00BF566A" w14:paraId="4E66F636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C0654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lastRenderedPageBreak/>
              <w:t>NA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B8748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Dompé Napoli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D1828F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Napoli</w:t>
            </w:r>
          </w:p>
        </w:tc>
        <w:tc>
          <w:tcPr>
            <w:tcW w:w="2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AAAFF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172.18.106.102</w:t>
            </w:r>
          </w:p>
        </w:tc>
        <w:tc>
          <w:tcPr>
            <w:tcW w:w="16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EED00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Dompe Guest NA</w:t>
            </w:r>
          </w:p>
        </w:tc>
      </w:tr>
      <w:tr w:rsidR="00BF566A" w14:paraId="19883632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04DF5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TIR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B8FC4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Dompé Tirana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870AED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Tirana (AL)</w:t>
            </w:r>
          </w:p>
        </w:tc>
        <w:tc>
          <w:tcPr>
            <w:tcW w:w="2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AECD5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172.18.106.103</w:t>
            </w:r>
          </w:p>
        </w:tc>
        <w:tc>
          <w:tcPr>
            <w:tcW w:w="16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C6CD6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Dompe Guest TIR</w:t>
            </w:r>
          </w:p>
        </w:tc>
      </w:tr>
      <w:tr w:rsidR="00BF566A" w14:paraId="684BD9BA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93D7BC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SM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80A48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Dompé San Mateo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F54D5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San Mateo (USA)</w:t>
            </w:r>
          </w:p>
        </w:tc>
        <w:tc>
          <w:tcPr>
            <w:tcW w:w="2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A63FB5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172.18.106.104</w:t>
            </w:r>
          </w:p>
        </w:tc>
        <w:tc>
          <w:tcPr>
            <w:tcW w:w="16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6AB70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Dompe Guest SM</w:t>
            </w:r>
          </w:p>
        </w:tc>
      </w:tr>
    </w:tbl>
    <w:p w14:paraId="40ECA018" w14:textId="77777777" w:rsidR="00BF566A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4 — </w:t>
      </w:r>
      <w:r>
        <w:rPr>
          <w:i/>
          <w:iCs/>
          <w:color w:val="5A5A5A"/>
          <w:sz w:val="17"/>
          <w:szCs w:val="17"/>
        </w:rPr>
        <w:t>Sedi configurate come dati di riferimento (`backend/src/db/seed.ts`).</w:t>
      </w:r>
    </w:p>
    <w:p w14:paraId="50C6854B" w14:textId="77777777" w:rsidR="00BF566A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9" w:name="_Toc240987609"/>
      <w:r>
        <w:rPr>
          <w:color w:val="DC3230"/>
        </w:rPr>
        <w:lastRenderedPageBreak/>
        <w:t xml:space="preserve">3  </w:t>
      </w:r>
      <w:r>
        <w:t>Visione d’insieme</w:t>
      </w:r>
      <w:bookmarkEnd w:id="9"/>
    </w:p>
    <w:p w14:paraId="6AF48082" w14:textId="77777777" w:rsidR="00BF566A" w:rsidRDefault="00000000">
      <w:r>
        <w:t>La soluzione è composta da due container indipendenti — una single-page application servita da nginx e una API Node.js — pubblicati su Azure Container Apps dietro un Application Gateway con WAF. La API è l’unico componente che parla con il database, con Key Vault, con Microsoft Graph e con i controller wireless.</w:t>
      </w:r>
    </w:p>
    <w:p w14:paraId="40F2FB81" w14:textId="77777777" w:rsidR="00BF566A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730A99FF" wp14:editId="78C2B07D">
            <wp:extent cx="6096000" cy="4648200"/>
            <wp:effectExtent l="0" t="0" r="0" b="0"/>
            <wp:docPr id="1750494890" name="Immagine 1750494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5C81" w14:textId="77777777" w:rsidR="00BF566A" w:rsidRDefault="00000000">
      <w:pPr>
        <w:spacing w:after="260"/>
        <w:jc w:val="center"/>
      </w:pPr>
      <w:r>
        <w:rPr>
          <w:b/>
          <w:bCs/>
          <w:color w:val="0A5D65"/>
          <w:sz w:val="17"/>
          <w:szCs w:val="17"/>
        </w:rPr>
        <w:t xml:space="preserve">Figura 1 — </w:t>
      </w:r>
      <w:r>
        <w:rPr>
          <w:i/>
          <w:iCs/>
          <w:color w:val="5A5A5A"/>
          <w:sz w:val="17"/>
          <w:szCs w:val="17"/>
        </w:rPr>
        <w:t>Architettura logica: percorso della richiesta, servizi di piattaforma consumati e unico punto di uscita verso la rete di gestione.</w:t>
      </w:r>
    </w:p>
    <w:p w14:paraId="63949621" w14:textId="77777777" w:rsidR="00BF566A" w:rsidRDefault="00000000">
      <w:pPr>
        <w:pStyle w:val="Titolo2"/>
        <w:keepNext/>
        <w:spacing w:before="340" w:after="130"/>
      </w:pPr>
      <w:bookmarkStart w:id="10" w:name="_Toc240987610"/>
      <w:r>
        <w:rPr>
          <w:color w:val="DC3230"/>
        </w:rPr>
        <w:t xml:space="preserve">3.1  </w:t>
      </w:r>
      <w:r>
        <w:t>Principi architetturali</w:t>
      </w:r>
      <w:bookmarkEnd w:id="10"/>
    </w:p>
    <w:p w14:paraId="565064F3" w14:textId="77777777" w:rsidR="00BF566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b/>
          <w:bCs/>
        </w:rPr>
        <w:t>Due immagini, nessuno stato locale.</w:t>
      </w:r>
      <w:r>
        <w:t xml:space="preserve"> Frontend e backend sono immagini separate, entrambe stateless e con utente non privilegiato: qualunque replica può servire qualunque richiesta.</w:t>
      </w:r>
    </w:p>
    <w:p w14:paraId="653DACDF" w14:textId="77777777" w:rsidR="00BF566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b/>
          <w:bCs/>
        </w:rPr>
        <w:t>Un solo perimetro di uscita.</w:t>
      </w:r>
      <w:r>
        <w:t xml:space="preserve"> L’unico traffico che lascia l’ambiente Azure verso la rete aziendale è quello diretto ai controller (HTTPS 443 e SSH 22). Tutto il resto resta su servizi di piattaforma.</w:t>
      </w:r>
    </w:p>
    <w:p w14:paraId="0A1DC4C0" w14:textId="77777777" w:rsidR="00BF566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b/>
          <w:bCs/>
        </w:rPr>
        <w:t>Nessun segreto nel codice e nessun segreto nel database.</w:t>
      </w:r>
      <w:r>
        <w:t xml:space="preserve"> Ogni credenziale vive in Key Vault ed è iniettata come variabile d’ambiente; la password amministrativa del controller non è mai persistita.</w:t>
      </w:r>
    </w:p>
    <w:p w14:paraId="3311B625" w14:textId="77777777" w:rsidR="00BF566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b/>
          <w:bCs/>
        </w:rPr>
        <w:t>Fail closed.</w:t>
      </w:r>
      <w:r>
        <w:t xml:space="preserve"> Ogni percorso di autorizzazione che non può concludersi rifiuta la richiesta: un errore nella risoluzione dei permessi produce 503, mai un ruolo di ripiego.</w:t>
      </w:r>
    </w:p>
    <w:p w14:paraId="49856C5A" w14:textId="77777777" w:rsidR="00BF566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b/>
          <w:bCs/>
        </w:rPr>
        <w:lastRenderedPageBreak/>
        <w:t>Il controller è la fonte di verità sull’accesso alla rete.</w:t>
      </w:r>
      <w:r>
        <w:t xml:space="preserve"> La banca dati applicativa lo rispecchia e viene riallineata periodicamente, non il contrario.</w:t>
      </w:r>
    </w:p>
    <w:p w14:paraId="1E9A9A67" w14:textId="77777777" w:rsidR="00BF566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b/>
          <w:bCs/>
        </w:rPr>
        <w:t>Modello consume-only.</w:t>
      </w:r>
      <w:r>
        <w:t xml:space="preserve"> L’applicazione e la sua pipeline consumano risorse pre-provisionate; non ne creano.</w:t>
      </w:r>
    </w:p>
    <w:p w14:paraId="2C2235DD" w14:textId="77777777" w:rsidR="00BF566A" w:rsidRDefault="00000000">
      <w:pPr>
        <w:pStyle w:val="Titolo2"/>
        <w:keepNext/>
        <w:spacing w:before="340" w:after="130"/>
      </w:pPr>
      <w:bookmarkStart w:id="11" w:name="_Toc240987611"/>
      <w:r>
        <w:rPr>
          <w:color w:val="DC3230"/>
        </w:rPr>
        <w:t xml:space="preserve">3.2  </w:t>
      </w:r>
      <w:r>
        <w:t>Componenti</w:t>
      </w:r>
      <w:bookmarkEnd w:id="11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2506"/>
        <w:gridCol w:w="5397"/>
      </w:tblGrid>
      <w:tr w:rsidR="00BF566A" w14:paraId="4A21AB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92DF6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Componente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E50591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Tecnologia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3654A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Responsabilità</w:t>
            </w:r>
          </w:p>
        </w:tc>
      </w:tr>
      <w:tr w:rsidR="00BF566A" w14:paraId="52AF67B1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AA77EC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C74672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React 18 · Vite · Tailwind · nginx 1.28 unprivileged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62F40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Interfaccia operatore e pannello di amministrazione. Non contiene logica di autorizzazione: nasconde ciò che l’utente non può fare, ma non lo impedisce.</w:t>
            </w:r>
          </w:p>
        </w:tc>
      </w:tr>
      <w:tr w:rsidR="00BF566A" w14:paraId="26058DA1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9C90B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27960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Node.js 22 · Express · TypeScript (ESM)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70B34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API REST sotto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/api</w:t>
            </w:r>
            <w:r>
              <w:rPr>
                <w:sz w:val="19"/>
                <w:szCs w:val="19"/>
              </w:rPr>
              <w:t>, canale WebSocket, autenticazione, autorizzazione, dialogo con i controller, invio e-mail, servizi di background.</w:t>
            </w:r>
          </w:p>
        </w:tc>
      </w:tr>
      <w:tr w:rsidR="00BF566A" w14:paraId="29570984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714C2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8423F5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Azure Database for PostgreSQL Flexible Server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41A6F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Ospiti, sedi, directory utenti, sessioni, account di emergenza, storico delle operazioni.</w:t>
            </w:r>
          </w:p>
        </w:tc>
      </w:tr>
      <w:tr w:rsidR="00BF566A" w14:paraId="17B2B6AC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4C3BB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Job di migrazione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587F1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Azure Container Apps Job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5D0C6F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Applica lo schema prima che la nuova revisione del backend entri in servizio.</w:t>
            </w:r>
          </w:p>
        </w:tc>
      </w:tr>
      <w:tr w:rsidR="00BF566A" w14:paraId="65B7A10B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6AEBD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Application Gateway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A62BA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Azure Application Gateway WAF v2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EA39C8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Terminazione TLS, WAF in prevenzione, instradamento per percorso: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/api/*</w:t>
            </w:r>
            <w:r>
              <w:rPr>
                <w:sz w:val="19"/>
                <w:szCs w:val="19"/>
              </w:rPr>
              <w:t xml:space="preserve"> al backend, tutto il resto al frontend.</w:t>
            </w:r>
          </w:p>
        </w:tc>
      </w:tr>
      <w:tr w:rsidR="00BF566A" w14:paraId="6E4CE735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A18B5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Identity Provider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82BF4E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Microsoft Entra ID (SAML 2.0)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F1EE39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Autenticazione degli operatori, Conditional Access, Single Logout.</w:t>
            </w:r>
          </w:p>
        </w:tc>
      </w:tr>
      <w:tr w:rsidR="00BF566A" w14:paraId="1EF5A63F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EC8AE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Key Vault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56865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Azure Key Vault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2B278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Segreti applicativi e password amministrative dei controller, una per sede.</w:t>
            </w:r>
          </w:p>
        </w:tc>
      </w:tr>
      <w:tr w:rsidR="00BF566A" w14:paraId="23DACA76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79401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Posta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5D164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Microsoft Graph (Mail.Send)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EB9CE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Consegna delle credenziali all’indirizzo dell’ospite.</w:t>
            </w:r>
          </w:p>
        </w:tc>
      </w:tr>
      <w:tr w:rsidR="00BF566A" w14:paraId="14858C83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5D44E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Controller wireless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E7A18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Cisco Catalyst 9800 (IOS-XE)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EC8AF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Sistema di destinazione: ospita gli account ospite effettivi.</w:t>
            </w:r>
          </w:p>
        </w:tc>
      </w:tr>
      <w:tr w:rsidR="00BF566A" w14:paraId="0CDB5166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6C3423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Osservabilità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9058B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Log Analytics · Application Insights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695BE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Log strutturati, correlazione delle richieste, alert sugli accessi di emergenza.</w:t>
            </w:r>
          </w:p>
        </w:tc>
      </w:tr>
    </w:tbl>
    <w:p w14:paraId="54CE7272" w14:textId="77777777" w:rsidR="00BF566A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5 — </w:t>
      </w:r>
      <w:r>
        <w:rPr>
          <w:i/>
          <w:iCs/>
          <w:color w:val="5A5A5A"/>
          <w:sz w:val="17"/>
          <w:szCs w:val="17"/>
        </w:rPr>
        <w:t>Componenti della soluzione e relative responsabilità.</w:t>
      </w:r>
    </w:p>
    <w:p w14:paraId="0F0968B1" w14:textId="77777777" w:rsidR="00BF566A" w:rsidRDefault="00000000">
      <w:pPr>
        <w:pStyle w:val="Titolo2"/>
        <w:keepNext/>
        <w:spacing w:before="340" w:after="130"/>
      </w:pPr>
      <w:bookmarkStart w:id="12" w:name="_Toc240987612"/>
      <w:r>
        <w:rPr>
          <w:color w:val="DC3230"/>
        </w:rPr>
        <w:t xml:space="preserve">3.3  </w:t>
      </w:r>
      <w:r>
        <w:t>Perché nessun CORS</w:t>
      </w:r>
      <w:bookmarkEnd w:id="12"/>
    </w:p>
    <w:p w14:paraId="770209A4" w14:textId="77777777" w:rsidR="00BF566A" w:rsidRDefault="00000000">
      <w:r>
        <w:t>Frontend e backend sono esposti sullo stesso hostname e distinti solo per percorso: il browser non effettua mai una richiesta cross-origin verso la API. Abilitare CORS non servirebbe a nulla e amplierebbe la superficie: è deliberatamente assente.</w:t>
      </w:r>
    </w:p>
    <w:p w14:paraId="2438D363" w14:textId="77777777" w:rsidR="00BF566A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13" w:name="_Toc240987613"/>
      <w:r>
        <w:rPr>
          <w:color w:val="DC3230"/>
        </w:rPr>
        <w:lastRenderedPageBreak/>
        <w:t xml:space="preserve">4  </w:t>
      </w:r>
      <w:r>
        <w:t>Flussi principali</w:t>
      </w:r>
      <w:bookmarkEnd w:id="13"/>
    </w:p>
    <w:p w14:paraId="33124BB7" w14:textId="77777777" w:rsidR="00BF566A" w:rsidRDefault="00000000">
      <w:r>
        <w:t>I flussi sono descritti qui nella loro logica; il dettaglio passo per passo è nel documento FUN.</w:t>
      </w:r>
    </w:p>
    <w:p w14:paraId="5FEF81A5" w14:textId="77777777" w:rsidR="00BF566A" w:rsidRDefault="00000000">
      <w:pPr>
        <w:pStyle w:val="Titolo2"/>
        <w:keepNext/>
        <w:spacing w:before="340" w:after="130"/>
      </w:pPr>
      <w:bookmarkStart w:id="14" w:name="_Toc240987614"/>
      <w:r>
        <w:rPr>
          <w:color w:val="DC3230"/>
        </w:rPr>
        <w:t xml:space="preserve">4.1  </w:t>
      </w:r>
      <w:r>
        <w:t>Accesso alla console</w:t>
      </w:r>
      <w:bookmarkEnd w:id="14"/>
    </w:p>
    <w:p w14:paraId="024D92CD" w14:textId="77777777" w:rsidR="00BF566A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>L’operatore apre l’applicazione e viene reindirizzato a Microsoft Entra ID.</w:t>
      </w:r>
    </w:p>
    <w:p w14:paraId="75057F9C" w14:textId="77777777" w:rsidR="00BF566A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 xml:space="preserve">Al primo accesso riuscito viene creata una voce nella directory applicativa, </w:t>
      </w:r>
      <w:r>
        <w:rPr>
          <w:b/>
          <w:bCs/>
        </w:rPr>
        <w:t>bloccata</w:t>
      </w:r>
      <w:r>
        <w:t>: l’utente è autenticato ma non può fare nulla.</w:t>
      </w:r>
    </w:p>
    <w:p w14:paraId="6EFD8C44" w14:textId="77777777" w:rsidR="00BF566A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>Un amministratore assegna ruolo, stato e sedi. Il cambiamento ha effetto entro pochi secondi, senza che l’utente debba riautenticarsi.</w:t>
      </w:r>
    </w:p>
    <w:p w14:paraId="0FFB0292" w14:textId="77777777" w:rsidR="00BF566A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>L’operatore sceglie la sede su cui lavorare; la sessione viene legata a quella sede.</w:t>
      </w:r>
    </w:p>
    <w:p w14:paraId="2B9E43E0" w14:textId="77777777" w:rsidR="00BF566A" w:rsidRDefault="00000000">
      <w:pPr>
        <w:pStyle w:val="Titolo2"/>
        <w:keepNext/>
        <w:spacing w:before="340" w:after="130"/>
      </w:pPr>
      <w:bookmarkStart w:id="15" w:name="_Toc240987615"/>
      <w:r>
        <w:rPr>
          <w:color w:val="DC3230"/>
        </w:rPr>
        <w:t xml:space="preserve">4.2  </w:t>
      </w:r>
      <w:r>
        <w:t>Rilascio di un accesso ospite</w:t>
      </w:r>
      <w:bookmarkEnd w:id="15"/>
    </w:p>
    <w:p w14:paraId="719EC1FD" w14:textId="77777777" w:rsidR="00BF566A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t>L’operatore compila nome, referente interno e durata (preset fino a una settimana, oppure una data di fine).</w:t>
      </w:r>
    </w:p>
    <w:p w14:paraId="7284EA0A" w14:textId="77777777" w:rsidR="00BF566A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t xml:space="preserve">Il server genera username e password con un generatore crittografico; la password </w:t>
      </w:r>
      <w:r>
        <w:rPr>
          <w:b/>
          <w:bCs/>
        </w:rPr>
        <w:t>esiste solo in memoria</w:t>
      </w:r>
      <w:r>
        <w:t>.</w:t>
      </w:r>
    </w:p>
    <w:p w14:paraId="70136775" w14:textId="77777777" w:rsidR="00BF566A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t>L’ospite viene registrato in banca dati senza password, e la credenziale viene spinta sul controller della sede via SSH.</w:t>
      </w:r>
    </w:p>
    <w:p w14:paraId="3374EE03" w14:textId="77777777" w:rsidR="00BF566A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t>La password è mostrata all’operatore una sola volta e, se è stato indicato un indirizzo, inviata all’ospite via Microsoft Graph.</w:t>
      </w:r>
    </w:p>
    <w:p w14:paraId="27DBC255" w14:textId="77777777" w:rsidR="00BF566A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t>Un evento WebSocket aggiorna in tempo reale le altre postazioni della stessa sede.</w:t>
      </w:r>
    </w:p>
    <w:p w14:paraId="34BAF72B" w14:textId="77777777" w:rsidR="00BF566A" w:rsidRDefault="00000000">
      <w:pPr>
        <w:pStyle w:val="Titolo2"/>
        <w:keepNext/>
        <w:spacing w:before="340" w:after="130"/>
      </w:pPr>
      <w:bookmarkStart w:id="16" w:name="_Toc240987616"/>
      <w:r>
        <w:rPr>
          <w:color w:val="DC3230"/>
        </w:rPr>
        <w:t xml:space="preserve">4.3  </w:t>
      </w:r>
      <w:r>
        <w:t>Scadenza e revoca</w:t>
      </w:r>
      <w:bookmarkEnd w:id="16"/>
    </w:p>
    <w:p w14:paraId="03A9009F" w14:textId="77777777" w:rsidR="00BF566A" w:rsidRDefault="00000000">
      <w:r>
        <w:t xml:space="preserve">Un servizio di background calcola ogni secondo il tempo trascorso dagli account attivi e li porta a </w:t>
      </w:r>
      <w:r>
        <w:rPr>
          <w:b/>
          <w:bCs/>
        </w:rPr>
        <w:t>scaduto</w:t>
      </w:r>
      <w:r>
        <w:t xml:space="preserve"> quando la durata è esaurita. Ogni trenta secondi una sincronizzazione legge la configurazione dei controller e riallinea la banca dati: gli utenti trovati sul controller ma sconosciuti vengono importati, quelli spariti dal controller vengono disattivati. La revoca manuale rimuove l’utente dal controller e ne aggiorna lo stato.</w:t>
      </w:r>
    </w:p>
    <w:p w14:paraId="058978A1" w14:textId="77777777" w:rsidR="00BF566A" w:rsidRDefault="00000000">
      <w:pPr>
        <w:pStyle w:val="Titolo2"/>
        <w:keepNext/>
        <w:spacing w:before="340" w:after="130"/>
      </w:pPr>
      <w:bookmarkStart w:id="17" w:name="_Toc240987617"/>
      <w:r>
        <w:rPr>
          <w:color w:val="DC3230"/>
        </w:rPr>
        <w:t xml:space="preserve">4.4  </w:t>
      </w:r>
      <w:r>
        <w:t>Amministrazione</w:t>
      </w:r>
      <w:bookmarkEnd w:id="17"/>
    </w:p>
    <w:p w14:paraId="05E57A0E" w14:textId="77777777" w:rsidR="00BF566A" w:rsidRDefault="00000000">
      <w:r>
        <w:t xml:space="preserve">Il pannello di amministrazione, riservato al ruolo </w:t>
      </w:r>
      <w:r>
        <w:rPr>
          <w:rFonts w:ascii="Consolas" w:eastAsia="Consolas" w:hAnsi="Consolas" w:cs="Consolas"/>
          <w:color w:val="0A5D65"/>
          <w:sz w:val="19"/>
          <w:szCs w:val="19"/>
        </w:rPr>
        <w:t>admin</w:t>
      </w:r>
      <w:r>
        <w:t xml:space="preserve">, copre la directory degli utenti, l’anagrafica e i parametri di connessione delle sedi con relativa diagnostica, e la gestione degli account di emergenza — limitatamente ad abilitazione, disabilitazione e sblocco. La </w:t>
      </w:r>
      <w:r>
        <w:rPr>
          <w:b/>
          <w:bCs/>
        </w:rPr>
        <w:t>creazione</w:t>
      </w:r>
      <w:r>
        <w:t xml:space="preserve"> di un account di emergenza e la </w:t>
      </w:r>
      <w:r>
        <w:rPr>
          <w:b/>
          <w:bCs/>
        </w:rPr>
        <w:t>rotazione della sua password</w:t>
      </w:r>
      <w:r>
        <w:t xml:space="preserve"> restano fuori dalla API, disponibili solo da riga di comando.</w:t>
      </w:r>
    </w:p>
    <w:p w14:paraId="4F881C17" w14:textId="77777777" w:rsidR="00BF566A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18" w:name="_Toc240987618"/>
      <w:r>
        <w:rPr>
          <w:color w:val="DC3230"/>
        </w:rPr>
        <w:lastRenderedPageBreak/>
        <w:t xml:space="preserve">5  </w:t>
      </w:r>
      <w:r>
        <w:t>Modello di sicurezza (sintesi)</w:t>
      </w:r>
      <w:bookmarkEnd w:id="18"/>
    </w:p>
    <w:p w14:paraId="33AA7041" w14:textId="77777777" w:rsidR="00BF566A" w:rsidRDefault="00000000">
      <w:r>
        <w:t>Il modello completo è descritto nel documento SEC; qui se ne riassumono i pilastri.</w:t>
      </w:r>
    </w:p>
    <w:p w14:paraId="2CA1358C" w14:textId="77777777" w:rsidR="00BF566A" w:rsidRDefault="00000000">
      <w:pPr>
        <w:pStyle w:val="Titolo2"/>
        <w:keepNext/>
        <w:spacing w:before="340" w:after="130"/>
      </w:pPr>
      <w:bookmarkStart w:id="19" w:name="_Toc240987619"/>
      <w:r>
        <w:rPr>
          <w:color w:val="DC3230"/>
        </w:rPr>
        <w:t xml:space="preserve">5.1  </w:t>
      </w:r>
      <w:r>
        <w:t>Autenticazione</w:t>
      </w:r>
      <w:bookmarkEnd w:id="19"/>
    </w:p>
    <w:p w14:paraId="3F8FFDB9" w14:textId="77777777" w:rsidR="00BF566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b/>
          <w:bCs/>
        </w:rPr>
        <w:t>SSO SAML 2.0</w:t>
      </w:r>
      <w:r>
        <w:t xml:space="preserve"> verso Microsoft Entra ID, con firma dell’asserzione e della risposta, verifica di </w:t>
      </w:r>
      <w:r>
        <w:rPr>
          <w:rFonts w:ascii="Consolas" w:eastAsia="Consolas" w:hAnsi="Consolas" w:cs="Consolas"/>
          <w:color w:val="0A5D65"/>
          <w:sz w:val="19"/>
          <w:szCs w:val="19"/>
        </w:rPr>
        <w:t>audience</w:t>
      </w:r>
      <w:r>
        <w:t xml:space="preserve"> e </w:t>
      </w:r>
      <w:r>
        <w:rPr>
          <w:rFonts w:ascii="Consolas" w:eastAsia="Consolas" w:hAnsi="Consolas" w:cs="Consolas"/>
          <w:color w:val="0A5D65"/>
          <w:sz w:val="19"/>
          <w:szCs w:val="19"/>
        </w:rPr>
        <w:t>InResponseTo</w:t>
      </w:r>
      <w:r>
        <w:t>, e Single Logout.</w:t>
      </w:r>
    </w:p>
    <w:p w14:paraId="12056F16" w14:textId="77777777" w:rsidR="00BF566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L’applicazione </w:t>
      </w:r>
      <w:r>
        <w:rPr>
          <w:b/>
          <w:bCs/>
        </w:rPr>
        <w:t>non impone il metodo di autenticazione</w:t>
      </w:r>
      <w:r>
        <w:t xml:space="preserve">: l’AuthnRequest non contiene </w:t>
      </w:r>
      <w:r>
        <w:rPr>
          <w:rFonts w:ascii="Consolas" w:eastAsia="Consolas" w:hAnsi="Consolas" w:cs="Consolas"/>
          <w:color w:val="0A5D65"/>
          <w:sz w:val="19"/>
          <w:szCs w:val="19"/>
        </w:rPr>
        <w:t>RequestedAuthnContext</w:t>
      </w:r>
      <w:r>
        <w:t>, così l’accesso senza password (certificato, Windows Hello, FIDO2) resta una decisione di Conditional Access del tenant.</w:t>
      </w:r>
    </w:p>
    <w:p w14:paraId="75836067" w14:textId="77777777" w:rsidR="00BF566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b/>
          <w:bCs/>
        </w:rPr>
        <w:t>Accesso di emergenza (break-glass)</w:t>
      </w:r>
      <w:r>
        <w:t xml:space="preserve"> locale, disattivato per impostazione predefinita, da usare solo quando l’IdP non è disponibile.</w:t>
      </w:r>
    </w:p>
    <w:p w14:paraId="4C163F36" w14:textId="77777777" w:rsidR="00BF566A" w:rsidRDefault="00000000">
      <w:pPr>
        <w:pStyle w:val="Titolo2"/>
        <w:keepNext/>
        <w:spacing w:before="340" w:after="130"/>
      </w:pPr>
      <w:bookmarkStart w:id="20" w:name="_Toc240987620"/>
      <w:r>
        <w:rPr>
          <w:color w:val="DC3230"/>
        </w:rPr>
        <w:t xml:space="preserve">5.2  </w:t>
      </w:r>
      <w:r>
        <w:t>Autorizzazione</w:t>
      </w:r>
      <w:bookmarkEnd w:id="20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8096"/>
      </w:tblGrid>
      <w:tr w:rsidR="00BF566A" w14:paraId="029565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3D4C2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Ruolo</w:t>
            </w:r>
          </w:p>
        </w:tc>
        <w:tc>
          <w:tcPr>
            <w:tcW w:w="8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85DDA9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Può</w:t>
            </w:r>
          </w:p>
        </w:tc>
      </w:tr>
      <w:tr w:rsidR="00BF566A" w14:paraId="018CB3F4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5C0AB2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viewer</w:t>
            </w:r>
          </w:p>
        </w:tc>
        <w:tc>
          <w:tcPr>
            <w:tcW w:w="8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332B2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Consultare cruscotto e lista ospiti delle sole sedi concesse.</w:t>
            </w:r>
          </w:p>
        </w:tc>
      </w:tr>
      <w:tr w:rsidR="00BF566A" w14:paraId="65DAEAF2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05097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operator</w:t>
            </w:r>
          </w:p>
        </w:tc>
        <w:tc>
          <w:tcPr>
            <w:tcW w:w="8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806621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Quanto sopra, più creare, revocare e rinviare credenziali sulle sedi concesse.</w:t>
            </w:r>
          </w:p>
        </w:tc>
      </w:tr>
      <w:tr w:rsidR="00BF566A" w14:paraId="301DE805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43E2D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8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20C47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Quanto sopra su tutte le sedi, più il pannello di amministrazione.</w:t>
            </w:r>
          </w:p>
        </w:tc>
      </w:tr>
    </w:tbl>
    <w:p w14:paraId="065AD4C6" w14:textId="77777777" w:rsidR="00BF566A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6 — </w:t>
      </w:r>
      <w:r>
        <w:rPr>
          <w:i/>
          <w:iCs/>
          <w:color w:val="5A5A5A"/>
          <w:sz w:val="17"/>
          <w:szCs w:val="17"/>
        </w:rPr>
        <w:t>Ruoli applicativi.</w:t>
      </w:r>
    </w:p>
    <w:p w14:paraId="65A151F2" w14:textId="77777777" w:rsidR="00BF566A" w:rsidRDefault="00000000">
      <w:r>
        <w:t xml:space="preserve">L’autorizzazione è risolta </w:t>
      </w:r>
      <w:r>
        <w:rPr>
          <w:b/>
          <w:bCs/>
        </w:rPr>
        <w:t>a ogni richiesta</w:t>
      </w:r>
      <w:r>
        <w:t xml:space="preserve"> e non è mai serializzata in sessione: una sospensione ha effetto entro il tempo di vita della cache (15 secondi), non al prossimo accesso dell’utente. Lo stesso controllo si applica all’apertura del canale WebSocket.</w:t>
      </w:r>
    </w:p>
    <w:p w14:paraId="78D19C95" w14:textId="77777777" w:rsidR="00BF566A" w:rsidRDefault="00000000">
      <w:pPr>
        <w:pStyle w:val="Titolo2"/>
        <w:keepNext/>
        <w:spacing w:before="340" w:after="130"/>
      </w:pPr>
      <w:bookmarkStart w:id="21" w:name="_Toc240987621"/>
      <w:r>
        <w:rPr>
          <w:color w:val="DC3230"/>
        </w:rPr>
        <w:t xml:space="preserve">5.3  </w:t>
      </w:r>
      <w:r>
        <w:t>Segreti e dati sensibili</w:t>
      </w:r>
      <w:bookmarkEnd w:id="21"/>
    </w:p>
    <w:p w14:paraId="1C710102" w14:textId="77777777" w:rsidR="00BF566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Ogni segreto risiede in </w:t>
      </w:r>
      <w:r>
        <w:rPr>
          <w:b/>
          <w:bCs/>
        </w:rPr>
        <w:t>Azure Key Vault</w:t>
      </w:r>
      <w:r>
        <w:t xml:space="preserve"> ed è iniettato come variabile d’ambiente tramite l’identità gestita del backend.</w:t>
      </w:r>
    </w:p>
    <w:p w14:paraId="36406D63" w14:textId="77777777" w:rsidR="00BF566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La </w:t>
      </w:r>
      <w:r>
        <w:rPr>
          <w:b/>
          <w:bCs/>
        </w:rPr>
        <w:t>password amministrativa del controller</w:t>
      </w:r>
      <w:r>
        <w:t xml:space="preserve"> è una per sede (</w:t>
      </w:r>
      <w:r>
        <w:rPr>
          <w:rFonts w:ascii="Consolas" w:eastAsia="Consolas" w:hAnsi="Consolas" w:cs="Consolas"/>
          <w:color w:val="0A5D65"/>
          <w:sz w:val="19"/>
          <w:szCs w:val="19"/>
        </w:rPr>
        <w:t>WLC-PASSWORD-&lt;CODICE&gt;</w:t>
      </w:r>
      <w:r>
        <w:t>) e non compare in alcuna tabella né in alcuna risposta della API.</w:t>
      </w:r>
    </w:p>
    <w:p w14:paraId="60B149A0" w14:textId="77777777" w:rsidR="00BF566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La </w:t>
      </w:r>
      <w:r>
        <w:rPr>
          <w:b/>
          <w:bCs/>
        </w:rPr>
        <w:t>password dell’ospite</w:t>
      </w:r>
      <w:r>
        <w:t xml:space="preserve"> non viene mai persistita: è generata in memoria, consegnata e dimenticata. Non esiste un percorso per rileggerla, solo per rigenerarla.</w:t>
      </w:r>
    </w:p>
    <w:p w14:paraId="0C627717" w14:textId="77777777" w:rsidR="00BF566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Il </w:t>
      </w:r>
      <w:r>
        <w:rPr>
          <w:b/>
          <w:bCs/>
        </w:rPr>
        <w:t>database</w:t>
      </w:r>
      <w:r>
        <w:t xml:space="preserve"> è raggiunto con un token Entra ID ottenuto dall’identità gestita: nella stringa di connessione non c’è alcuna password.</w:t>
      </w:r>
    </w:p>
    <w:p w14:paraId="387F596A" w14:textId="77777777" w:rsidR="00BF566A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22" w:name="_Toc240987622"/>
      <w:r>
        <w:rPr>
          <w:color w:val="DC3230"/>
        </w:rPr>
        <w:lastRenderedPageBreak/>
        <w:t xml:space="preserve">6  </w:t>
      </w:r>
      <w:r>
        <w:t>Modello dati (sintesi)</w:t>
      </w:r>
      <w:bookmarkEnd w:id="22"/>
    </w:p>
    <w:p w14:paraId="089609DC" w14:textId="77777777" w:rsidR="00BF566A" w:rsidRDefault="00000000">
      <w:r>
        <w:t>Il modello completo, con tipi, vincoli e indici, è nel documento DB. In sintesi ruota attorno a tre nuclei.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2699"/>
        <w:gridCol w:w="5011"/>
      </w:tblGrid>
      <w:tr w:rsidR="00BF566A" w14:paraId="1CA206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4E1EF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Nucleo</w:t>
            </w:r>
          </w:p>
        </w:tc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5C83AF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Tabelle</w:t>
            </w:r>
          </w:p>
        </w:tc>
        <w:tc>
          <w:tcPr>
            <w:tcW w:w="50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4C622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Ruolo</w:t>
            </w:r>
          </w:p>
        </w:tc>
      </w:tr>
      <w:tr w:rsidR="00BF566A" w14:paraId="10096C18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C8798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Operatività</w:t>
            </w:r>
          </w:p>
        </w:tc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A9475" w14:textId="77777777" w:rsidR="00BF566A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guests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sedi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sync_logs</w:t>
            </w:r>
          </w:p>
        </w:tc>
        <w:tc>
          <w:tcPr>
            <w:tcW w:w="50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E15DB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Gli ospiti, le sedi con i parametri del rispettivo controller, e lo storico delle operazioni eseguite.</w:t>
            </w:r>
          </w:p>
        </w:tc>
      </w:tr>
      <w:tr w:rsidR="00BF566A" w14:paraId="3FC5358A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84A02C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Identità e permessi</w:t>
            </w:r>
          </w:p>
        </w:tc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18E73" w14:textId="77777777" w:rsidR="00BF566A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app_users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app_user_sedi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breakglass_users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session</w:t>
            </w:r>
          </w:p>
        </w:tc>
        <w:tc>
          <w:tcPr>
            <w:tcW w:w="50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2C324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Directory applicativa popolata al primo accesso, concessioni per sede, account di emergenza, sessioni persistite.</w:t>
            </w:r>
          </w:p>
        </w:tc>
      </w:tr>
      <w:tr w:rsidR="00BF566A" w14:paraId="275C1679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3B38C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Supporto al protocollo</w:t>
            </w:r>
          </w:p>
        </w:tc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2BAF1E" w14:textId="77777777" w:rsidR="00BF566A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saml_request_ids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sms_config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wlc_config</w:t>
            </w:r>
          </w:p>
        </w:tc>
        <w:tc>
          <w:tcPr>
            <w:tcW w:w="50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9E0A7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Identificativi delle AuthnRequest in attesa, configurazione SMS dormiente, residuo legacy in via di dismissione.</w:t>
            </w:r>
          </w:p>
        </w:tc>
      </w:tr>
    </w:tbl>
    <w:p w14:paraId="12D6F574" w14:textId="77777777" w:rsidR="00BF566A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7 — </w:t>
      </w:r>
      <w:r>
        <w:rPr>
          <w:i/>
          <w:iCs/>
          <w:color w:val="5A5A5A"/>
          <w:sz w:val="17"/>
          <w:szCs w:val="17"/>
        </w:rPr>
        <w:t>Raggruppamento logico delle tabelle.</w:t>
      </w:r>
    </w:p>
    <w:tbl>
      <w:tblPr>
        <w:tblW w:w="9638" w:type="dxa"/>
        <w:tblBorders>
          <w:left w:val="single" w:sz="18" w:space="0" w:color="DC32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F566A" w14:paraId="7A99CF1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932BC8" w14:textId="77777777" w:rsidR="00BF566A" w:rsidRDefault="00000000">
            <w:pPr>
              <w:spacing w:after="60"/>
            </w:pPr>
            <w:r>
              <w:rPr>
                <w:b/>
                <w:bCs/>
                <w:color w:val="DC3230"/>
                <w:sz w:val="20"/>
                <w:szCs w:val="20"/>
              </w:rPr>
              <w:t>Due assenze deliberate</w:t>
            </w:r>
          </w:p>
          <w:p w14:paraId="38038889" w14:textId="77777777" w:rsidR="00BF566A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Nello schema </w:t>
            </w:r>
            <w:r>
              <w:rPr>
                <w:b/>
                <w:bCs/>
                <w:sz w:val="20"/>
                <w:szCs w:val="20"/>
              </w:rPr>
              <w:t>non esiste</w:t>
            </w:r>
            <w:r>
              <w:rPr>
                <w:sz w:val="20"/>
                <w:szCs w:val="20"/>
              </w:rPr>
              <w:t xml:space="preserve"> una colonna per la password dell’ospite, e </w:t>
            </w:r>
            <w:r>
              <w:rPr>
                <w:b/>
                <w:bCs/>
                <w:sz w:val="20"/>
                <w:szCs w:val="20"/>
              </w:rPr>
              <w:t>non esiste</w:t>
            </w:r>
            <w:r>
              <w:rPr>
                <w:sz w:val="20"/>
                <w:szCs w:val="20"/>
              </w:rPr>
              <w:t xml:space="preserve"> una colonna per la password amministrativa del controller. Sono scelte progettuali, non omissioni: la prima vive solo in memoria per il tempo di una richiesta, la seconda solo in Key Vault.</w:t>
            </w:r>
          </w:p>
        </w:tc>
      </w:tr>
    </w:tbl>
    <w:p w14:paraId="79AA0DE6" w14:textId="77777777" w:rsidR="00BF566A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23" w:name="_Toc240987623"/>
      <w:r>
        <w:rPr>
          <w:color w:val="DC3230"/>
        </w:rPr>
        <w:lastRenderedPageBreak/>
        <w:t xml:space="preserve">7  </w:t>
      </w:r>
      <w:r>
        <w:t>Architettura di deployment</w:t>
      </w:r>
      <w:bookmarkEnd w:id="23"/>
    </w:p>
    <w:p w14:paraId="0BE43674" w14:textId="77777777" w:rsidR="00BF566A" w:rsidRDefault="00000000">
      <w:pPr>
        <w:pStyle w:val="Titolo2"/>
        <w:keepNext/>
        <w:spacing w:before="340" w:after="130"/>
      </w:pPr>
      <w:bookmarkStart w:id="24" w:name="_Toc240987624"/>
      <w:r>
        <w:rPr>
          <w:color w:val="DC3230"/>
        </w:rPr>
        <w:t xml:space="preserve">7.1  </w:t>
      </w:r>
      <w:r>
        <w:t>Ambienti</w:t>
      </w:r>
      <w:bookmarkEnd w:id="24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1349"/>
        <w:gridCol w:w="3277"/>
        <w:gridCol w:w="2892"/>
      </w:tblGrid>
      <w:tr w:rsidR="00BF566A" w14:paraId="5E4444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09CA65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Ambiente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65EC2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Suffisso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DF8B2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Origine del deploy</w:t>
            </w:r>
          </w:p>
        </w:tc>
        <w:tc>
          <w:tcPr>
            <w:tcW w:w="28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A6B54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Hostname</w:t>
            </w:r>
          </w:p>
        </w:tc>
      </w:tr>
      <w:tr w:rsidR="00BF566A" w14:paraId="2E16F31D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2B9D5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Sviluppo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021A1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70410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Avvio manuale del workflow</w:t>
            </w:r>
          </w:p>
        </w:tc>
        <w:tc>
          <w:tcPr>
            <w:tcW w:w="28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F3CD48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guestportal-dev.dompe.com</w:t>
            </w:r>
          </w:p>
        </w:tc>
      </w:tr>
      <w:tr w:rsidR="00BF566A" w14:paraId="5F12F860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795C9A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Collaudo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25B35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stg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1E33B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Push sul ramo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staging</w:t>
            </w:r>
          </w:p>
        </w:tc>
        <w:tc>
          <w:tcPr>
            <w:tcW w:w="28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74C9E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guestportal-stg.dompe.com</w:t>
            </w:r>
          </w:p>
        </w:tc>
      </w:tr>
      <w:tr w:rsidR="00BF566A" w14:paraId="0A334BE3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F76CE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Produzione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0DA74F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prod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85FE3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Push sul ramo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main</w:t>
            </w:r>
          </w:p>
        </w:tc>
        <w:tc>
          <w:tcPr>
            <w:tcW w:w="28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3474D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guestportal.dompe.com</w:t>
            </w:r>
          </w:p>
        </w:tc>
      </w:tr>
    </w:tbl>
    <w:p w14:paraId="6CF3010E" w14:textId="77777777" w:rsidR="00BF566A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8 — </w:t>
      </w:r>
      <w:r>
        <w:rPr>
          <w:i/>
          <w:iCs/>
          <w:color w:val="5A5A5A"/>
          <w:sz w:val="17"/>
          <w:szCs w:val="17"/>
        </w:rPr>
        <w:t>Ambienti e mappatura dei rami.</w:t>
      </w:r>
    </w:p>
    <w:p w14:paraId="417C5BC4" w14:textId="77777777" w:rsidR="00BF566A" w:rsidRDefault="00000000">
      <w:r>
        <w:t xml:space="preserve">La convenzione di denominazione della zona aziendale prevede che la produzione </w:t>
      </w:r>
      <w:r>
        <w:rPr>
          <w:b/>
          <w:bCs/>
        </w:rPr>
        <w:t>non</w:t>
      </w:r>
      <w:r>
        <w:t xml:space="preserve"> abbia suffisso; ogni ambiente ha il proprio Key Vault, il proprio database e la propria applicazione registrata in Entra ID.</w:t>
      </w:r>
    </w:p>
    <w:p w14:paraId="5AD93469" w14:textId="77777777" w:rsidR="00BF566A" w:rsidRDefault="00000000">
      <w:pPr>
        <w:pStyle w:val="Titolo2"/>
        <w:keepNext/>
        <w:spacing w:before="340" w:after="130"/>
      </w:pPr>
      <w:bookmarkStart w:id="25" w:name="_Toc240987625"/>
      <w:r>
        <w:rPr>
          <w:color w:val="DC3230"/>
        </w:rPr>
        <w:t xml:space="preserve">7.2  </w:t>
      </w:r>
      <w:r>
        <w:t>Pipeline</w:t>
      </w:r>
      <w:bookmarkEnd w:id="25"/>
    </w:p>
    <w:p w14:paraId="59BC818D" w14:textId="77777777" w:rsidR="00BF566A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5FF99821" wp14:editId="054E1969">
            <wp:extent cx="6096000" cy="2895600"/>
            <wp:effectExtent l="0" t="0" r="0" b="0"/>
            <wp:docPr id="1433917583" name="Immagine 1433917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DD28" w14:textId="77777777" w:rsidR="00BF566A" w:rsidRDefault="00000000">
      <w:pPr>
        <w:spacing w:after="260"/>
        <w:jc w:val="center"/>
      </w:pPr>
      <w:r>
        <w:rPr>
          <w:b/>
          <w:bCs/>
          <w:color w:val="0A5D65"/>
          <w:sz w:val="17"/>
          <w:szCs w:val="17"/>
        </w:rPr>
        <w:t xml:space="preserve">Figura 2 — </w:t>
      </w:r>
      <w:r>
        <w:rPr>
          <w:i/>
          <w:iCs/>
          <w:color w:val="5A5A5A"/>
          <w:sz w:val="17"/>
          <w:szCs w:val="17"/>
        </w:rPr>
        <w:t>Pipeline CI/CD: quattro stadi, autenticazione federata OIDC, nessuna creazione di risorse.</w:t>
      </w:r>
    </w:p>
    <w:p w14:paraId="61AB26B0" w14:textId="77777777" w:rsidR="00BF566A" w:rsidRDefault="00000000">
      <w:r>
        <w:t xml:space="preserve">L’autenticazione verso Azure avviene con </w:t>
      </w:r>
      <w:r>
        <w:rPr>
          <w:b/>
          <w:bCs/>
        </w:rPr>
        <w:t>identità federata OIDC</w:t>
      </w:r>
      <w:r>
        <w:t>: la pipeline non custodisce alcun segreto di accesso al cloud. I segreti applicativi non transitano mai dalla pipeline, che si limita a impostare i riferimenti a Key Vault sulle variabili d’ambiente della Container App.</w:t>
      </w:r>
    </w:p>
    <w:p w14:paraId="7DF821FF" w14:textId="77777777" w:rsidR="00BF566A" w:rsidRDefault="00000000">
      <w:pPr>
        <w:pStyle w:val="Titolo2"/>
        <w:keepNext/>
        <w:spacing w:before="340" w:after="130"/>
      </w:pPr>
      <w:bookmarkStart w:id="26" w:name="_Toc240987626"/>
      <w:r>
        <w:rPr>
          <w:color w:val="DC3230"/>
        </w:rPr>
        <w:t xml:space="preserve">7.3  </w:t>
      </w:r>
      <w:r>
        <w:t>Modello consume-only</w:t>
      </w:r>
      <w:bookmarkEnd w:id="26"/>
    </w:p>
    <w:p w14:paraId="333D41B4" w14:textId="77777777" w:rsidR="00BF566A" w:rsidRDefault="00000000">
      <w:r>
        <w:t xml:space="preserve">Resource Group, ambiente Container Apps, le due Container App, le identità gestite, Key Vault, PostgreSQL, Container Registry, Application Gateway e il job di migrazione sono </w:t>
      </w:r>
      <w:r>
        <w:rPr>
          <w:b/>
          <w:bCs/>
        </w:rPr>
        <w:t>pre-provisionati dal team di piattaforma</w:t>
      </w:r>
      <w:r>
        <w:t xml:space="preserve">. La pipeline esegue soltanto aggiornamenti; lo script </w:t>
      </w:r>
      <w:r>
        <w:rPr>
          <w:rFonts w:ascii="Consolas" w:eastAsia="Consolas" w:hAnsi="Consolas" w:cs="Consolas"/>
          <w:color w:val="0A5D65"/>
          <w:sz w:val="19"/>
          <w:szCs w:val="19"/>
        </w:rPr>
        <w:t>scripts/provision.sh</w:t>
      </w:r>
      <w:r>
        <w:t xml:space="preserve"> effettua una verifica in sola lettura della presenza delle risorse attese.</w:t>
      </w:r>
    </w:p>
    <w:p w14:paraId="500E58DA" w14:textId="77777777" w:rsidR="00BF566A" w:rsidRDefault="00000000">
      <w:pPr>
        <w:pStyle w:val="Titolo2"/>
        <w:keepNext/>
        <w:spacing w:before="340" w:after="130"/>
      </w:pPr>
      <w:bookmarkStart w:id="27" w:name="_Toc240987627"/>
      <w:r>
        <w:rPr>
          <w:color w:val="DC3230"/>
        </w:rPr>
        <w:lastRenderedPageBreak/>
        <w:t xml:space="preserve">7.4  </w:t>
      </w:r>
      <w:r>
        <w:t>Ingress</w:t>
      </w:r>
      <w:bookmarkEnd w:id="27"/>
    </w:p>
    <w:p w14:paraId="51738174" w14:textId="77777777" w:rsidR="00BF566A" w:rsidRDefault="00000000">
      <w:r>
        <w:t xml:space="preserve">L’ambiente Container Apps è </w:t>
      </w:r>
      <w:r>
        <w:rPr>
          <w:b/>
          <w:bCs/>
        </w:rPr>
        <w:t>internal</w:t>
      </w:r>
      <w:r>
        <w:t xml:space="preserve">: non possiede un indirizzo pubblico. Le due applicazioni sono create con ingress </w:t>
      </w:r>
      <w:r>
        <w:rPr>
          <w:rFonts w:ascii="Consolas" w:eastAsia="Consolas" w:hAnsi="Consolas" w:cs="Consolas"/>
          <w:color w:val="0A5D65"/>
          <w:sz w:val="19"/>
          <w:szCs w:val="19"/>
        </w:rPr>
        <w:t>external</w:t>
      </w:r>
      <w:r>
        <w:t>, che in Container Apps significa «raggiungibile dall’intera rete virtuale», non «esposto su Internet»: è la condizione necessaria perché l’Application Gateway, che vive fuori dall’ambiente, possa raggiungerle. La conformità «nessun ingress pubblico» è garantita dall’ambiente, non dal singolo flag applicativo.</w:t>
      </w:r>
    </w:p>
    <w:p w14:paraId="573A2C4F" w14:textId="77777777" w:rsidR="00BF566A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28" w:name="_Toc240987628"/>
      <w:r>
        <w:rPr>
          <w:color w:val="DC3230"/>
        </w:rPr>
        <w:lastRenderedPageBreak/>
        <w:t xml:space="preserve">8  </w:t>
      </w:r>
      <w:r>
        <w:t>Requisiti non funzionali</w:t>
      </w:r>
      <w:bookmarkEnd w:id="28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1"/>
        <w:gridCol w:w="3672"/>
        <w:gridCol w:w="3865"/>
      </w:tblGrid>
      <w:tr w:rsidR="00BF566A" w14:paraId="09CB9D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2C57D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Ambito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F30BD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Scelta architetturale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DA4E5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Conseguenza operativa</w:t>
            </w:r>
          </w:p>
        </w:tc>
      </w:tr>
      <w:tr w:rsidR="00BF566A" w14:paraId="38F11D1A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D4120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Disponibilità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860CF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Componenti stateless, sessioni su PostgreSQL, revisione singola senza autoscaling.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6CC86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Il riavvio di una replica non disconnette gli operatori. La disponibilità dipende da quella del database e dell’Application Gateway.</w:t>
            </w:r>
          </w:p>
        </w:tc>
      </w:tr>
      <w:tr w:rsidR="00BF566A" w14:paraId="0F4A0BCB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641EB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Prestazioni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B952F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Cruscotto aggiornato da eventi WebSocket con polling di sicurezza a 30 s; timer lato server a 1 s.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70A7C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Il carico verso la API è dominato dalla sincronizzazione periodica, non dai client.</w:t>
            </w:r>
          </w:p>
        </w:tc>
      </w:tr>
      <w:tr w:rsidR="00BF566A" w14:paraId="7BBE37ED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32EEF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Scalabilità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1C458A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Il collo di bottiglia è il numero di sedi da sincronizzare, non il numero di operatori.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A49A3F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La sincronizzazione è sequenziale per sede ogni 30 s: con cinque sedi il margine è ampio.</w:t>
            </w:r>
          </w:p>
        </w:tc>
      </w:tr>
      <w:tr w:rsidR="00BF566A" w14:paraId="49A9B4B7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748585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Sicurezza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33140F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Vedi §5 e documento SEC.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956DFF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WAF in prevenzione, nessun ingress pubblico, segreti solo in Key Vault.</w:t>
            </w:r>
          </w:p>
        </w:tc>
      </w:tr>
      <w:tr w:rsidR="00BF566A" w14:paraId="4585F2A6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6AB99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Osservabilità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1BB43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Log strutturati JSON con identificativo di correlazione su ogni richiesta; sonde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/api/healthz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/api/readyz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29D966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Ogni richiesta è ricostruibile in Log Analytics; gli accessi di emergenza sono registrati a livello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warn</w:t>
            </w:r>
            <w:r>
              <w:rPr>
                <w:sz w:val="19"/>
                <w:szCs w:val="19"/>
              </w:rPr>
              <w:t xml:space="preserve"> per l’alerting.</w:t>
            </w:r>
          </w:p>
        </w:tc>
      </w:tr>
      <w:tr w:rsidR="00BF566A" w14:paraId="6095EFD3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AA6EB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Manutenibilità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24C55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Migrazioni idempotenti eseguite da un job dedicato prima del deploy.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70CE2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Un rollback dell’immagine non richiede un rollback dello schema, purché le migrazioni restino additive.</w:t>
            </w:r>
          </w:p>
        </w:tc>
      </w:tr>
      <w:tr w:rsidR="00BF566A" w14:paraId="2F21C9D9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E548F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Continuità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ED9CC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Persistenza affidata al backup gestito di PostgreSQL Flexible Server.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165E06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RPO e RTO coincidono con quelli definiti dal team di piattaforma per il servizio gestito.</w:t>
            </w:r>
          </w:p>
        </w:tc>
      </w:tr>
      <w:tr w:rsidR="00BF566A" w14:paraId="7BE1C578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9501E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Internazionalizzazione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367EA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Interfaccia in italiano e inglese, commutabile senza ricaricare la pagina.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64DC1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Le sedi estere (Tirana, San Mateo) usano la stessa installazione.</w:t>
            </w:r>
          </w:p>
        </w:tc>
      </w:tr>
    </w:tbl>
    <w:p w14:paraId="1F617D10" w14:textId="77777777" w:rsidR="00BF566A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9 — </w:t>
      </w:r>
      <w:r>
        <w:rPr>
          <w:i/>
          <w:iCs/>
          <w:color w:val="5A5A5A"/>
          <w:sz w:val="17"/>
          <w:szCs w:val="17"/>
        </w:rPr>
        <w:t>Requisiti non funzionali e relative scelte.</w:t>
      </w:r>
    </w:p>
    <w:p w14:paraId="7A079B03" w14:textId="77777777" w:rsidR="00BF566A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29" w:name="_Toc240987629"/>
      <w:r>
        <w:rPr>
          <w:color w:val="DC3230"/>
        </w:rPr>
        <w:lastRenderedPageBreak/>
        <w:t xml:space="preserve">9  </w:t>
      </w:r>
      <w:r>
        <w:t>Decisioni architetturali</w:t>
      </w:r>
      <w:bookmarkEnd w:id="29"/>
    </w:p>
    <w:p w14:paraId="10D2B7E1" w14:textId="77777777" w:rsidR="00BF566A" w:rsidRDefault="00000000">
      <w:r>
        <w:t>Le decisioni seguenti hanno effetti che attraversano più componenti; sono riportate con la motivazione perché una loro revisione futura possa partire dal problema originario e non dalla sola soluzione.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3855"/>
        <w:gridCol w:w="5012"/>
      </w:tblGrid>
      <w:tr w:rsidR="00BF566A" w14:paraId="0621EA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E4FAE4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9F9F6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Decisione</w:t>
            </w:r>
          </w:p>
        </w:tc>
        <w:tc>
          <w:tcPr>
            <w:tcW w:w="50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71308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Motivazione</w:t>
            </w:r>
          </w:p>
        </w:tc>
      </w:tr>
      <w:tr w:rsidR="00BF566A" w14:paraId="4DF4FD95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96839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AD-01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903C81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 parametri del controller vivono sul record di sede, non su una tabella separata collegata da entrambi i lati.</w:t>
            </w:r>
          </w:p>
        </w:tc>
        <w:tc>
          <w:tcPr>
            <w:tcW w:w="50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E0CFC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Il doppio collegamento poteva divergere, e ogni lettura portava con sé un ripiego. Una riga per sede elimina la classe di errore.</w:t>
            </w:r>
          </w:p>
        </w:tc>
      </w:tr>
      <w:tr w:rsidR="00BF566A" w14:paraId="6EB9DA2F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11565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AD-02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8E9C7C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La sede su cui si opera è tenuta in sessione e non accettata dal client.</w:t>
            </w:r>
          </w:p>
        </w:tc>
        <w:tc>
          <w:tcPr>
            <w:tcW w:w="50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15FDE4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Quando arrivava dalla query string, chiunque poteva leggere gli ospiti di un’altra sede modificando l’URL.</w:t>
            </w:r>
          </w:p>
        </w:tc>
      </w:tr>
      <w:tr w:rsidR="00BF566A" w14:paraId="08D41C05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42C6A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AD-03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8DBB7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L’autorizzazione è risolta a ogni richiesta, mai letta dalla sessione.</w:t>
            </w:r>
          </w:p>
        </w:tc>
        <w:tc>
          <w:tcPr>
            <w:tcW w:w="50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F1C309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Un ruolo memorizzato in sessione avrebbe tenuto in vita i permessi di un utente sospeso fino alla scadenza del cookie (24 ore).</w:t>
            </w:r>
          </w:p>
        </w:tc>
      </w:tr>
      <w:tr w:rsidR="00BF566A" w14:paraId="472AE4BF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3A6EF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AD-04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6804BA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La password dell’ospite non viene persistita.</w:t>
            </w:r>
          </w:p>
        </w:tc>
        <w:tc>
          <w:tcPr>
            <w:tcW w:w="50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A2E9B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Riduce l’impatto di una compromissione della banca dati; la riconsegna avviene per rigenerazione, non per rilettura.</w:t>
            </w:r>
          </w:p>
        </w:tc>
      </w:tr>
      <w:tr w:rsidR="00BF566A" w14:paraId="0A6349B8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965791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AD-05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A29E5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La password amministrativa del controller è una per sede e risiede solo in Key Vault.</w:t>
            </w:r>
          </w:p>
        </w:tc>
        <w:tc>
          <w:tcPr>
            <w:tcW w:w="50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61654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Evita che la schermata di accesso diventi un modo per riconfigurare un controller, e limita il raggio di una compromissione a una sola sede.</w:t>
            </w:r>
          </w:p>
        </w:tc>
      </w:tr>
      <w:tr w:rsidR="00BF566A" w14:paraId="748CA08D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FC9F9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AD-06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41CCA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Gli identificativi delle AuthnRequest SAML sono persistiti su PostgreSQL.</w:t>
            </w:r>
          </w:p>
        </w:tc>
        <w:tc>
          <w:tcPr>
            <w:tcW w:w="50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1483A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La cache in memoria di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node-saml</w:t>
            </w:r>
            <w:r>
              <w:rPr>
                <w:sz w:val="19"/>
                <w:szCs w:val="19"/>
              </w:rPr>
              <w:t xml:space="preserve"> non sopravvive a un riavvio fra il redirect e la risposta dell’IdP, e non funziona affatto con più repliche.</w:t>
            </w:r>
          </w:p>
        </w:tc>
      </w:tr>
      <w:tr w:rsidR="00BF566A" w14:paraId="23266A69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82600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AD-07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6B3AE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La sessione è persistita su PostgreSQL con un pool costruito dall’applicazione.</w:t>
            </w:r>
          </w:p>
        </w:tc>
        <w:tc>
          <w:tcPr>
            <w:tcW w:w="50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7E058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Il pool interno della libreria non usa TLS e non dispone del token Entra: contro Azure PostgreSQL non si connette.</w:t>
            </w:r>
          </w:p>
        </w:tc>
      </w:tr>
      <w:tr w:rsidR="00BF566A" w14:paraId="05A9B4A6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CFAD7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AD-08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FC287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L’AuthnRequest non contiene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RequestedAuthnContext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50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68645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Il valore predefinito della libreria vincolava l’accesso a «password»: ogni accesso passwordless falliva con AADSTS75011. Il metodo di autenticazione è una decisione del tenant.</w:t>
            </w:r>
          </w:p>
        </w:tc>
      </w:tr>
      <w:tr w:rsidR="00BF566A" w14:paraId="0F5825FE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404E4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AD-09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C8EB3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La convenzione che concede il ruolo di amministratore si valuta sullo UPN, non sull’indirizzo di posta.</w:t>
            </w:r>
          </w:p>
        </w:tc>
        <w:tc>
          <w:tcPr>
            <w:tcW w:w="50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B23C5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Gli account amministrativi non hanno casella: valutata sulla posta, la regola mancava esattamente gli account per cui esiste.</w:t>
            </w:r>
          </w:p>
        </w:tc>
      </w:tr>
      <w:tr w:rsidR="00BF566A" w14:paraId="3F3DBE8F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64AA1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AD-10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9D5A9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Creazione e rotazione degli account di emergenza restano fuori dalla API.</w:t>
            </w:r>
          </w:p>
        </w:tc>
        <w:tc>
          <w:tcPr>
            <w:tcW w:w="50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667FB2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Una sessione amministrativa compromessa non deve poter creare una credenziale che aggira Entra ID.</w:t>
            </w:r>
          </w:p>
        </w:tc>
      </w:tr>
      <w:tr w:rsidR="00BF566A" w14:paraId="600AFEB3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44732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AD-11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EC1B70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Il controller è la fonte di verità sull’accesso alla rete.</w:t>
            </w:r>
          </w:p>
        </w:tc>
        <w:tc>
          <w:tcPr>
            <w:tcW w:w="50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E55C19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In caso di divergenza vince ciò che consente o nega effettivamente l’accesso, non ciò che è registrato in banca dati.</w:t>
            </w:r>
          </w:p>
        </w:tc>
      </w:tr>
    </w:tbl>
    <w:p w14:paraId="20DA0E24" w14:textId="77777777" w:rsidR="00BF566A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10 — </w:t>
      </w:r>
      <w:r>
        <w:rPr>
          <w:i/>
          <w:iCs/>
          <w:color w:val="5A5A5A"/>
          <w:sz w:val="17"/>
          <w:szCs w:val="17"/>
        </w:rPr>
        <w:t>Registro delle decisioni architetturali.</w:t>
      </w:r>
    </w:p>
    <w:p w14:paraId="685D513E" w14:textId="77777777" w:rsidR="00BF566A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30" w:name="_Toc240987630"/>
      <w:r>
        <w:rPr>
          <w:color w:val="DC3230"/>
        </w:rPr>
        <w:lastRenderedPageBreak/>
        <w:t xml:space="preserve">10  </w:t>
      </w:r>
      <w:r>
        <w:t>Rischi e deviazioni accettate</w:t>
      </w:r>
      <w:bookmarkEnd w:id="30"/>
    </w:p>
    <w:p w14:paraId="5F02B361" w14:textId="77777777" w:rsidR="00BF566A" w:rsidRDefault="00000000">
      <w:r>
        <w:t>Tre deviazioni dai requisiti di sicurezza di riferimento sono state assunte consapevolmente. Il dettaglio, con i controlli compensativi e il rischio residuo, è nel documento SEC.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3181"/>
        <w:gridCol w:w="5782"/>
      </w:tblGrid>
      <w:tr w:rsidR="00BF566A" w14:paraId="0D4758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873BF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D2242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Deviazione</w:t>
            </w:r>
          </w:p>
        </w:tc>
        <w:tc>
          <w:tcPr>
            <w:tcW w:w="57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7F679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Controlli compensativi</w:t>
            </w:r>
          </w:p>
        </w:tc>
      </w:tr>
      <w:tr w:rsidR="00BF566A" w14:paraId="5A633046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0D7BA1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D1</w:t>
            </w:r>
          </w:p>
        </w:tc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C9073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L’accesso di emergenza non prevede un secondo fattore.</w:t>
            </w:r>
          </w:p>
        </w:tc>
        <w:tc>
          <w:tcPr>
            <w:tcW w:w="57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E7820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Disattivato per impostazione predefinita, lista di indirizzi consentiti, blocco dell’account e limitazione per indirizzo di origine, sessione più breve, registrazione di ogni tentativo a livello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warn</w:t>
            </w:r>
            <w:r>
              <w:rPr>
                <w:sz w:val="19"/>
                <w:szCs w:val="19"/>
              </w:rPr>
              <w:t xml:space="preserve"> per l’alerting, account creabili solo da riga di comando.</w:t>
            </w:r>
          </w:p>
        </w:tc>
      </w:tr>
      <w:tr w:rsidR="00BF566A" w14:paraId="5CE04CE8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FE6AA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D2</w:t>
            </w:r>
          </w:p>
        </w:tc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0DD8C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La verifica della chiave host SSH verso i controller è disattivata.</w:t>
            </w:r>
          </w:p>
        </w:tc>
        <w:tc>
          <w:tcPr>
            <w:tcW w:w="57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0433D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Percorso di rete interno e gestito; l’applicazione registra una segnalazione alla prima connessione non verificata perché lo stato sia visibile.</w:t>
            </w:r>
          </w:p>
        </w:tc>
      </w:tr>
      <w:tr w:rsidR="00BF566A" w14:paraId="09D1D7DA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340A4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D3</w:t>
            </w:r>
          </w:p>
        </w:tc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039DAF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La verifica del certificato TLS dei controller è disattivata in produzione.</w:t>
            </w:r>
          </w:p>
        </w:tc>
        <w:tc>
          <w:tcPr>
            <w:tcW w:w="57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50EB4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 Catalyst 9800 presentano un certificato autofirmato; la connessione resta cifrata e confinata alla rete di gestione. La rimozione della deviazione richiede l’installazione di certificati attendibili sui controller.</w:t>
            </w:r>
          </w:p>
        </w:tc>
      </w:tr>
    </w:tbl>
    <w:p w14:paraId="52526C1C" w14:textId="77777777" w:rsidR="00BF566A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11 — </w:t>
      </w:r>
      <w:r>
        <w:rPr>
          <w:i/>
          <w:iCs/>
          <w:color w:val="5A5A5A"/>
          <w:sz w:val="17"/>
          <w:szCs w:val="17"/>
        </w:rPr>
        <w:t>Deviazioni consapevoli e controlli compensativi.</w:t>
      </w:r>
    </w:p>
    <w:p w14:paraId="3F0A4491" w14:textId="77777777" w:rsidR="00BF566A" w:rsidRDefault="00000000">
      <w:pPr>
        <w:pStyle w:val="Titolo2"/>
        <w:keepNext/>
        <w:spacing w:before="340" w:after="130"/>
      </w:pPr>
      <w:bookmarkStart w:id="31" w:name="_Toc240987631"/>
      <w:r>
        <w:rPr>
          <w:color w:val="DC3230"/>
        </w:rPr>
        <w:t xml:space="preserve">10.1  </w:t>
      </w:r>
      <w:r>
        <w:t>Rischi residui</w:t>
      </w:r>
      <w:bookmarkEnd w:id="31"/>
    </w:p>
    <w:p w14:paraId="07F532B7" w14:textId="77777777" w:rsidR="00BF566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b/>
          <w:bCs/>
        </w:rPr>
        <w:t>Dipendenza da una sola istanza di database.</w:t>
      </w:r>
      <w:r>
        <w:t xml:space="preserve"> Un’indisponibilità di PostgreSQL blocca autenticazione e operatività: le sessioni vivono lì.</w:t>
      </w:r>
    </w:p>
    <w:p w14:paraId="64A74742" w14:textId="77777777" w:rsidR="00BF566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b/>
          <w:bCs/>
        </w:rPr>
        <w:t>Riconciliazione a finestra.</w:t>
      </w:r>
      <w:r>
        <w:t xml:space="preserve"> Una modifica eseguita direttamente sul controller è visibile in console entro trenta secondi, non immediatamente.</w:t>
      </w:r>
    </w:p>
    <w:p w14:paraId="00659256" w14:textId="77777777" w:rsidR="00BF566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b/>
          <w:bCs/>
        </w:rPr>
        <w:t>Consegna delle credenziali via posta.</w:t>
      </w:r>
      <w:r>
        <w:t xml:space="preserve"> L’invio è considerato riuscito se Microsoft Graph accetta il messaggio; la consegna effettiva alla casella dell’ospite non è tracciata.</w:t>
      </w:r>
    </w:p>
    <w:p w14:paraId="53AB9B2C" w14:textId="77777777" w:rsidR="00BF566A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32" w:name="_Toc240987632"/>
      <w:r>
        <w:rPr>
          <w:color w:val="DC3230"/>
        </w:rPr>
        <w:lastRenderedPageBreak/>
        <w:t xml:space="preserve">11  </w:t>
      </w:r>
      <w:r>
        <w:t>Evoluzioni previste</w:t>
      </w:r>
      <w:bookmarkEnd w:id="32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3662"/>
        <w:gridCol w:w="3856"/>
      </w:tblGrid>
      <w:tr w:rsidR="00BF566A" w14:paraId="7A7096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CCE16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Tema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B07D1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Stato attuale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7D76F" w14:textId="77777777" w:rsidR="00BF566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Direzione</w:t>
            </w:r>
          </w:p>
        </w:tc>
      </w:tr>
      <w:tr w:rsidR="00BF566A" w14:paraId="7FF0758E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A1918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Verifica della chiave host SSH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185E9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Disattivata: esiste un solo valore atteso a fronte di cinque controller.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6B0D78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Introdurre una chiave attesa per sede (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WLC_SSH_HOST_KEY_&lt;CODICE&gt;</w:t>
            </w:r>
            <w:r>
              <w:rPr>
                <w:sz w:val="19"/>
                <w:szCs w:val="19"/>
              </w:rPr>
              <w:t>) e attivare la verifica.</w:t>
            </w:r>
          </w:p>
        </w:tc>
      </w:tr>
      <w:tr w:rsidR="00BF566A" w14:paraId="0E5CC599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DAB4EF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Certificati dei controller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C017A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Autofirmati.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B17832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Installare certificati attendibili e riportare a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true</w:t>
            </w:r>
            <w:r>
              <w:rPr>
                <w:sz w:val="19"/>
                <w:szCs w:val="19"/>
              </w:rPr>
              <w:t xml:space="preserve"> la verifica TLS in produzione.</w:t>
            </w:r>
          </w:p>
        </w:tc>
      </w:tr>
      <w:tr w:rsidR="00BF566A" w14:paraId="2FC87BAA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15313C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Tabella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wlc_config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E9C8C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Ancora presente e scritta per compatibilità.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860DA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Rimuoverla una volta esaurita la finestra di convivenza con le revisioni precedenti.</w:t>
            </w:r>
          </w:p>
        </w:tc>
      </w:tr>
      <w:tr w:rsidR="00BF566A" w14:paraId="6B348062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D0286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Canale SMS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69961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Schema e configurazione presenti, funzione dormiente.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7221D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Attivare o rimuovere: allo stato attuale è superficie inutilizzata.</w:t>
            </w:r>
          </w:p>
        </w:tc>
      </w:tr>
      <w:tr w:rsidR="00BF566A" w14:paraId="3EBBC1F7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2E253D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Sincronizzazione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775E4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Sequenziale per sede ogni trenta secondi.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298C7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Passare a un’esecuzione parallela con limite di concorrenza se il numero di sedi cresce.</w:t>
            </w:r>
          </w:p>
        </w:tc>
      </w:tr>
      <w:tr w:rsidR="00BF566A" w14:paraId="67439C31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CF8FF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Endpoint deprecati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B9276D" w14:textId="77777777" w:rsidR="00BF566A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/api/config/wlc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/api/health</w:t>
            </w:r>
            <w:r>
              <w:rPr>
                <w:sz w:val="19"/>
                <w:szCs w:val="19"/>
              </w:rPr>
              <w:t xml:space="preserve"> mantenuti per compatibilità.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2A63CE" w14:textId="77777777" w:rsidR="00BF566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Rimuoverli dopo il ritiro delle revisioni che li usano.</w:t>
            </w:r>
          </w:p>
        </w:tc>
      </w:tr>
    </w:tbl>
    <w:p w14:paraId="27CBF325" w14:textId="77777777" w:rsidR="00BF566A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12 — </w:t>
      </w:r>
      <w:r>
        <w:rPr>
          <w:i/>
          <w:iCs/>
          <w:color w:val="5A5A5A"/>
          <w:sz w:val="17"/>
          <w:szCs w:val="17"/>
        </w:rPr>
        <w:t>Evoluzioni identificate.</w:t>
      </w:r>
    </w:p>
    <w:sectPr w:rsidR="00BF566A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91" w:right="1134" w:bottom="1134" w:left="1134" w:header="62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E22DB" w14:textId="77777777" w:rsidR="00715C99" w:rsidRDefault="00715C99">
      <w:pPr>
        <w:spacing w:after="0" w:line="240" w:lineRule="auto"/>
      </w:pPr>
      <w:r>
        <w:separator/>
      </w:r>
    </w:p>
  </w:endnote>
  <w:endnote w:type="continuationSeparator" w:id="0">
    <w:p w14:paraId="2E6158AA" w14:textId="77777777" w:rsidR="00715C99" w:rsidRDefault="00715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324FA" w14:textId="77777777" w:rsidR="00BF566A" w:rsidRDefault="00000000">
    <w:pPr>
      <w:pBdr>
        <w:top w:val="single" w:sz="4" w:space="6" w:color="D9D9D9"/>
      </w:pBdr>
      <w:tabs>
        <w:tab w:val="right" w:pos="9638"/>
      </w:tabs>
    </w:pPr>
    <w:r>
      <w:rPr>
        <w:color w:val="5A5A5A"/>
        <w:sz w:val="15"/>
        <w:szCs w:val="15"/>
      </w:rPr>
      <w:t>Dompé  |  Guest Portal — Cisco Catalyst 9800 Guest Management Desk  ·  Uso interno</w:t>
    </w:r>
    <w:r>
      <w:tab/>
    </w:r>
    <w:r>
      <w:rPr>
        <w:color w:val="5A5A5A"/>
        <w:sz w:val="15"/>
        <w:szCs w:val="15"/>
      </w:rPr>
      <w:t xml:space="preserve">Pag.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PAGE</w:instrText>
    </w:r>
    <w:r>
      <w:rPr>
        <w:color w:val="5A5A5A"/>
        <w:sz w:val="15"/>
        <w:szCs w:val="15"/>
      </w:rPr>
      <w:fldChar w:fldCharType="separate"/>
    </w:r>
    <w:r w:rsidR="00F90D08">
      <w:rPr>
        <w:noProof/>
        <w:color w:val="5A5A5A"/>
        <w:sz w:val="15"/>
        <w:szCs w:val="15"/>
      </w:rPr>
      <w:t>2</w:t>
    </w:r>
    <w:r>
      <w:rPr>
        <w:color w:val="5A5A5A"/>
        <w:sz w:val="15"/>
        <w:szCs w:val="15"/>
      </w:rPr>
      <w:fldChar w:fldCharType="end"/>
    </w:r>
    <w:r>
      <w:rPr>
        <w:color w:val="5A5A5A"/>
        <w:sz w:val="15"/>
        <w:szCs w:val="15"/>
      </w:rPr>
      <w:t xml:space="preserve"> di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NUMPAGES</w:instrText>
    </w:r>
    <w:r>
      <w:rPr>
        <w:color w:val="5A5A5A"/>
        <w:sz w:val="15"/>
        <w:szCs w:val="15"/>
      </w:rPr>
      <w:fldChar w:fldCharType="separate"/>
    </w:r>
    <w:r w:rsidR="00F90D08">
      <w:rPr>
        <w:noProof/>
        <w:color w:val="5A5A5A"/>
        <w:sz w:val="15"/>
        <w:szCs w:val="15"/>
      </w:rPr>
      <w:t>3</w:t>
    </w:r>
    <w:r>
      <w:rPr>
        <w:color w:val="5A5A5A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6B1E2" w14:textId="77777777" w:rsidR="00BF566A" w:rsidRDefault="00BF566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2EBF7" w14:textId="77777777" w:rsidR="00715C99" w:rsidRDefault="00715C99">
      <w:pPr>
        <w:spacing w:after="0" w:line="240" w:lineRule="auto"/>
      </w:pPr>
      <w:r>
        <w:separator/>
      </w:r>
    </w:p>
  </w:footnote>
  <w:footnote w:type="continuationSeparator" w:id="0">
    <w:p w14:paraId="393DB695" w14:textId="77777777" w:rsidR="00715C99" w:rsidRDefault="00715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BF4A6" w14:textId="77777777" w:rsidR="00BF566A" w:rsidRDefault="00000000">
    <w:pPr>
      <w:pBdr>
        <w:bottom w:val="single" w:sz="4" w:space="6" w:color="D9D9D9"/>
      </w:pBdr>
      <w:tabs>
        <w:tab w:val="right" w:pos="9638"/>
      </w:tabs>
      <w:spacing w:after="60"/>
    </w:pPr>
    <w:r>
      <w:rPr>
        <w:color w:val="5A5A5A"/>
        <w:spacing w:val="20"/>
        <w:sz w:val="16"/>
        <w:szCs w:val="16"/>
      </w:rPr>
      <w:t>HLD  |  High Level Design</w:t>
    </w:r>
    <w:r>
      <w:tab/>
    </w:r>
    <w:r>
      <w:rPr>
        <w:noProof/>
      </w:rPr>
      <w:drawing>
        <wp:inline distT="0" distB="0" distL="0" distR="0" wp14:anchorId="69FBA8F1" wp14:editId="768D0D06">
          <wp:extent cx="904875" cy="352425"/>
          <wp:effectExtent l="0" t="0" r="0" b="0"/>
          <wp:docPr id="1523060018" name="Immagine 15230600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91D7" w14:textId="77777777" w:rsidR="00BF566A" w:rsidRDefault="00BF566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F6434"/>
    <w:multiLevelType w:val="hybridMultilevel"/>
    <w:tmpl w:val="CEECB02E"/>
    <w:lvl w:ilvl="0" w:tplc="6B3E82AA">
      <w:start w:val="1"/>
      <w:numFmt w:val="bullet"/>
      <w:lvlText w:val="●"/>
      <w:lvlJc w:val="left"/>
      <w:pPr>
        <w:ind w:left="340" w:hanging="200"/>
      </w:pPr>
      <w:rPr>
        <w:rFonts w:ascii="Arial" w:eastAsia="Arial" w:hAnsi="Arial" w:cs="Arial"/>
        <w:color w:val="DC3230"/>
        <w:sz w:val="14"/>
        <w:szCs w:val="14"/>
      </w:rPr>
    </w:lvl>
    <w:lvl w:ilvl="1" w:tplc="2C2CFC7C">
      <w:start w:val="1"/>
      <w:numFmt w:val="bullet"/>
      <w:lvlText w:val="–"/>
      <w:lvlJc w:val="left"/>
      <w:pPr>
        <w:ind w:left="700" w:hanging="200"/>
      </w:pPr>
      <w:rPr>
        <w:rFonts w:ascii="Arial" w:eastAsia="Arial" w:hAnsi="Arial" w:cs="Arial"/>
        <w:color w:val="0A5D65"/>
      </w:rPr>
    </w:lvl>
    <w:lvl w:ilvl="2" w:tplc="EF1A4898">
      <w:numFmt w:val="decimal"/>
      <w:lvlText w:val=""/>
      <w:lvlJc w:val="left"/>
    </w:lvl>
    <w:lvl w:ilvl="3" w:tplc="4A08950E">
      <w:numFmt w:val="decimal"/>
      <w:lvlText w:val=""/>
      <w:lvlJc w:val="left"/>
    </w:lvl>
    <w:lvl w:ilvl="4" w:tplc="BC86E654">
      <w:numFmt w:val="decimal"/>
      <w:lvlText w:val=""/>
      <w:lvlJc w:val="left"/>
    </w:lvl>
    <w:lvl w:ilvl="5" w:tplc="C3F4ED0E">
      <w:numFmt w:val="decimal"/>
      <w:lvlText w:val=""/>
      <w:lvlJc w:val="left"/>
    </w:lvl>
    <w:lvl w:ilvl="6" w:tplc="C6DA5016">
      <w:numFmt w:val="decimal"/>
      <w:lvlText w:val=""/>
      <w:lvlJc w:val="left"/>
    </w:lvl>
    <w:lvl w:ilvl="7" w:tplc="DB6E886E">
      <w:numFmt w:val="decimal"/>
      <w:lvlText w:val=""/>
      <w:lvlJc w:val="left"/>
    </w:lvl>
    <w:lvl w:ilvl="8" w:tplc="50DC9742">
      <w:numFmt w:val="decimal"/>
      <w:lvlText w:val=""/>
      <w:lvlJc w:val="left"/>
    </w:lvl>
  </w:abstractNum>
  <w:abstractNum w:abstractNumId="1" w15:restartNumberingAfterBreak="0">
    <w:nsid w:val="6C8F66FF"/>
    <w:multiLevelType w:val="hybridMultilevel"/>
    <w:tmpl w:val="B7BA0328"/>
    <w:lvl w:ilvl="0" w:tplc="6C2C3B9A">
      <w:start w:val="1"/>
      <w:numFmt w:val="bullet"/>
      <w:lvlText w:val="●"/>
      <w:lvlJc w:val="left"/>
      <w:pPr>
        <w:ind w:left="720" w:hanging="360"/>
      </w:pPr>
    </w:lvl>
    <w:lvl w:ilvl="1" w:tplc="FA8422A4">
      <w:start w:val="1"/>
      <w:numFmt w:val="bullet"/>
      <w:lvlText w:val="○"/>
      <w:lvlJc w:val="left"/>
      <w:pPr>
        <w:ind w:left="1440" w:hanging="360"/>
      </w:pPr>
    </w:lvl>
    <w:lvl w:ilvl="2" w:tplc="56A42224">
      <w:start w:val="1"/>
      <w:numFmt w:val="bullet"/>
      <w:lvlText w:val="■"/>
      <w:lvlJc w:val="left"/>
      <w:pPr>
        <w:ind w:left="2160" w:hanging="360"/>
      </w:pPr>
    </w:lvl>
    <w:lvl w:ilvl="3" w:tplc="3666360E">
      <w:start w:val="1"/>
      <w:numFmt w:val="bullet"/>
      <w:lvlText w:val="●"/>
      <w:lvlJc w:val="left"/>
      <w:pPr>
        <w:ind w:left="2880" w:hanging="360"/>
      </w:pPr>
    </w:lvl>
    <w:lvl w:ilvl="4" w:tplc="226A9C4A">
      <w:start w:val="1"/>
      <w:numFmt w:val="bullet"/>
      <w:lvlText w:val="○"/>
      <w:lvlJc w:val="left"/>
      <w:pPr>
        <w:ind w:left="3600" w:hanging="360"/>
      </w:pPr>
    </w:lvl>
    <w:lvl w:ilvl="5" w:tplc="69B0E2BC">
      <w:start w:val="1"/>
      <w:numFmt w:val="bullet"/>
      <w:lvlText w:val="■"/>
      <w:lvlJc w:val="left"/>
      <w:pPr>
        <w:ind w:left="4320" w:hanging="360"/>
      </w:pPr>
    </w:lvl>
    <w:lvl w:ilvl="6" w:tplc="DD2A194A">
      <w:start w:val="1"/>
      <w:numFmt w:val="bullet"/>
      <w:lvlText w:val="●"/>
      <w:lvlJc w:val="left"/>
      <w:pPr>
        <w:ind w:left="5040" w:hanging="360"/>
      </w:pPr>
    </w:lvl>
    <w:lvl w:ilvl="7" w:tplc="6E3A0BBE">
      <w:start w:val="1"/>
      <w:numFmt w:val="bullet"/>
      <w:lvlText w:val="●"/>
      <w:lvlJc w:val="left"/>
      <w:pPr>
        <w:ind w:left="5760" w:hanging="360"/>
      </w:pPr>
    </w:lvl>
    <w:lvl w:ilvl="8" w:tplc="CF2681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8722DB"/>
    <w:multiLevelType w:val="hybridMultilevel"/>
    <w:tmpl w:val="AD04E9D4"/>
    <w:lvl w:ilvl="0" w:tplc="2D8A7FA2">
      <w:start w:val="1"/>
      <w:numFmt w:val="decimal"/>
      <w:lvlText w:val="%1."/>
      <w:lvlJc w:val="left"/>
      <w:pPr>
        <w:ind w:left="400" w:hanging="260"/>
      </w:pPr>
      <w:rPr>
        <w:rFonts w:ascii="Arial" w:eastAsia="Arial" w:hAnsi="Arial" w:cs="Arial"/>
        <w:b/>
        <w:bCs/>
        <w:color w:val="DC3230"/>
      </w:rPr>
    </w:lvl>
    <w:lvl w:ilvl="1" w:tplc="0B868028">
      <w:start w:val="1"/>
      <w:numFmt w:val="lowerLetter"/>
      <w:lvlText w:val="%2."/>
      <w:lvlJc w:val="left"/>
      <w:pPr>
        <w:ind w:left="760" w:hanging="260"/>
      </w:pPr>
      <w:rPr>
        <w:rFonts w:ascii="Arial" w:eastAsia="Arial" w:hAnsi="Arial" w:cs="Arial"/>
        <w:b/>
        <w:bCs/>
        <w:color w:val="0A5D65"/>
      </w:rPr>
    </w:lvl>
    <w:lvl w:ilvl="2" w:tplc="DDAEF320">
      <w:numFmt w:val="decimal"/>
      <w:lvlText w:val=""/>
      <w:lvlJc w:val="left"/>
    </w:lvl>
    <w:lvl w:ilvl="3" w:tplc="A34AE716">
      <w:numFmt w:val="decimal"/>
      <w:lvlText w:val=""/>
      <w:lvlJc w:val="left"/>
    </w:lvl>
    <w:lvl w:ilvl="4" w:tplc="D8303BD6">
      <w:numFmt w:val="decimal"/>
      <w:lvlText w:val=""/>
      <w:lvlJc w:val="left"/>
    </w:lvl>
    <w:lvl w:ilvl="5" w:tplc="DABA8C80">
      <w:numFmt w:val="decimal"/>
      <w:lvlText w:val=""/>
      <w:lvlJc w:val="left"/>
    </w:lvl>
    <w:lvl w:ilvl="6" w:tplc="9288E4C0">
      <w:numFmt w:val="decimal"/>
      <w:lvlText w:val=""/>
      <w:lvlJc w:val="left"/>
    </w:lvl>
    <w:lvl w:ilvl="7" w:tplc="499EAA3C">
      <w:numFmt w:val="decimal"/>
      <w:lvlText w:val=""/>
      <w:lvlJc w:val="left"/>
    </w:lvl>
    <w:lvl w:ilvl="8" w:tplc="6A9C4F74">
      <w:numFmt w:val="decimal"/>
      <w:lvlText w:val=""/>
      <w:lvlJc w:val="left"/>
    </w:lvl>
  </w:abstractNum>
  <w:num w:numId="1" w16cid:durableId="739639677">
    <w:abstractNumId w:val="1"/>
    <w:lvlOverride w:ilvl="0">
      <w:startOverride w:val="1"/>
    </w:lvlOverride>
  </w:num>
  <w:num w:numId="2" w16cid:durableId="89856584">
    <w:abstractNumId w:val="0"/>
    <w:lvlOverride w:ilvl="0">
      <w:startOverride w:val="1"/>
    </w:lvlOverride>
  </w:num>
  <w:num w:numId="3" w16cid:durableId="759371530">
    <w:abstractNumId w:val="2"/>
    <w:lvlOverride w:ilvl="0">
      <w:startOverride w:val="1"/>
    </w:lvlOverride>
  </w:num>
  <w:num w:numId="4" w16cid:durableId="111595205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66A"/>
    <w:rsid w:val="00715C99"/>
    <w:rsid w:val="00BF566A"/>
    <w:rsid w:val="00E07B6A"/>
    <w:rsid w:val="00F9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B287F"/>
  <w15:docId w15:val="{CC24524E-BF37-45C7-8213-5C02C0D52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1"/>
        <w:szCs w:val="21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40" w:line="288" w:lineRule="auto"/>
    </w:pPr>
  </w:style>
  <w:style w:type="paragraph" w:styleId="Titolo1">
    <w:name w:val="heading 1"/>
    <w:basedOn w:val="Normale"/>
    <w:next w:val="Normale"/>
    <w:uiPriority w:val="9"/>
    <w:qFormat/>
    <w:pPr>
      <w:outlineLvl w:val="0"/>
    </w:pPr>
    <w:rPr>
      <w:b/>
      <w:bCs/>
      <w:sz w:val="34"/>
      <w:szCs w:val="34"/>
    </w:rPr>
  </w:style>
  <w:style w:type="paragraph" w:styleId="Titolo2">
    <w:name w:val="heading 2"/>
    <w:basedOn w:val="Normale"/>
    <w:next w:val="Normale"/>
    <w:uiPriority w:val="9"/>
    <w:unhideWhenUsed/>
    <w:qFormat/>
    <w:pPr>
      <w:outlineLvl w:val="1"/>
    </w:pPr>
    <w:rPr>
      <w:b/>
      <w:bCs/>
      <w:color w:val="0A5D65"/>
      <w:sz w:val="27"/>
      <w:szCs w:val="27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outlineLvl w:val="2"/>
    </w:pPr>
    <w:rPr>
      <w:b/>
      <w:bCs/>
      <w:sz w:val="23"/>
      <w:szCs w:val="23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outlineLvl w:val="3"/>
    </w:pPr>
    <w:rPr>
      <w:b/>
      <w:bCs/>
      <w:color w:val="5A5A5A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rPr>
      <w:sz w:val="56"/>
      <w:szCs w:val="56"/>
    </w:rPr>
  </w:style>
  <w:style w:type="paragraph" w:customStyle="1" w:styleId="Enfasigrassetto1">
    <w:name w:val="Enfasi (grassetto)1"/>
    <w:basedOn w:val="Normale"/>
    <w:next w:val="Normale"/>
    <w:qFormat/>
    <w:rPr>
      <w:b/>
      <w:bCs/>
    </w:rPr>
  </w:style>
  <w:style w:type="paragraph" w:styleId="Paragrafoelenco">
    <w:name w:val="List Paragraph"/>
    <w:basedOn w:val="Normale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F90D08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F90D08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3728</Words>
  <Characters>21252</Characters>
  <Application>Microsoft Office Word</Application>
  <DocSecurity>0</DocSecurity>
  <Lines>177</Lines>
  <Paragraphs>49</Paragraphs>
  <ScaleCrop>false</ScaleCrop>
  <Company/>
  <LinksUpToDate>false</LinksUpToDate>
  <CharactersWithSpaces>24931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HLD — High Level Design</dc:title>
  <dc:creator>Dompé farmaceutici S.p.A.</dc:creator>
  <dc:description>Architettura della soluzione di gestione degli accessi Wi-Fi ospiti sui controller Cisco Catalyst 9800</dc:description>
  <cp:lastModifiedBy>Bernasconi Tommaso</cp:lastModifiedBy>
  <cp:revision>2</cp:revision>
  <dcterms:created xsi:type="dcterms:W3CDTF">2026-09-22T14:35:00Z</dcterms:created>
  <dcterms:modified xsi:type="dcterms:W3CDTF">2026-09-22T14:39:00Z</dcterms:modified>
</cp:coreProperties>
</file>