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/>
      </w:pPr>
      <w:r>
        <w:drawing>
          <wp:inline distT="0" distB="0" distL="0" distR="0">
            <wp:extent cx="19812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04C1C8" w:color="auto" w:val="clear"/>
            <w:tcMar>
              <w:top w:type="dxa" w:w="520"/>
              <w:left w:type="dxa" w:w="340"/>
              <w:bottom w:type="dxa" w:w="520"/>
              <w:right w:type="dxa" w:w="340"/>
            </w:tcMar>
          </w:tcPr>
          <w:p>
            <w:pPr>
              <w:spacing w:after="220"/>
            </w:pPr>
            <w:r>
              <w:rPr>
                <w:rFonts w:ascii="Arial" w:cs="Arial" w:eastAsia="Arial" w:hAnsi="Arial"/>
                <w:b/>
                <w:bCs/>
                <w:color w:val="212121"/>
                <w:spacing w:val="60"/>
                <w:sz w:val="17"/>
                <w:szCs w:val="17"/>
              </w:rPr>
              <w:t xml:space="preserve">DOCUMENTAZIONE TECNICA</w:t>
            </w:r>
          </w:p>
          <w:p>
            <w:pPr>
              <w:spacing w:after="140" w:line="420"/>
            </w:pPr>
            <w:r>
              <w:rPr>
                <w:rFonts w:ascii="Arial" w:cs="Arial" w:eastAsia="Arial" w:hAnsi="Arial"/>
                <w:b/>
                <w:bCs/>
                <w:color w:val="212121"/>
                <w:sz w:val="56"/>
                <w:szCs w:val="56"/>
              </w:rPr>
              <w:t xml:space="preserve">Sicurezza e conformità</w:t>
            </w:r>
          </w:p>
          <w:p>
            <w:pPr>
              <w:spacing w:after="0" w:line="300"/>
            </w:pPr>
            <w:r>
              <w:rPr>
                <w:rFonts w:ascii="Arial" w:cs="Arial" w:eastAsia="Arial" w:hAnsi="Arial"/>
                <w:color w:val="212121"/>
                <w:sz w:val="24"/>
                <w:szCs w:val="24"/>
              </w:rPr>
              <w:t xml:space="preserve">Modello di sicurezza, controlli implementati, deviazioni consapevoli e stato di conformità</w:t>
            </w:r>
          </w:p>
        </w:tc>
      </w:tr>
    </w:tbl>
    <w:p>
      <w:pPr>
        <w:spacing w:after="360" w:before="160"/>
      </w:pPr>
      <w:r>
        <w:rPr>
          <w:rFonts w:ascii="Arial" w:cs="Arial" w:eastAsia="Arial" w:hAnsi="Arial"/>
          <w:color w:val="DC3230"/>
          <w:sz w:val="26"/>
          <w:szCs w:val="26"/>
        </w:rPr>
        <w:t xml:space="preserve">●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Campo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Valore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Applicativo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Guest Portal — Cisco Catalyst 9800 Guest Management Desk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Indirizzo (produzione)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https://guestportal.dompe.com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Documento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SEC — Sicurezza e conformità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Versione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1.1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Data di emissione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25 settembre 2026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Stato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Emesso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Security, Compliance, IT Infrastructure, Sviluppo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Classificazione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Uso interno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Repository di riferimento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github.com/ACF-Dompe/Centralino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Revisione del codice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main · b6affcd</w:t>
            </w:r>
          </w:p>
        </w:tc>
      </w:tr>
    </w:tbl>
    <w:p>
      <w:r>
        <w:br w:type="page"/>
      </w:r>
    </w:p>
    <w:p>
      <w:pPr>
        <w:pBdr>
          <w:bottom w:val="single" w:color="04C1C8" w:sz="12" w:space="8"/>
        </w:pBdr>
        <w:spacing w:after="240"/>
      </w:pPr>
      <w:r>
        <w:rPr>
          <w:rFonts w:ascii="Arial" w:cs="Arial" w:eastAsia="Arial" w:hAnsi="Arial"/>
          <w:b/>
          <w:bCs/>
          <w:color w:val="212121"/>
          <w:sz w:val="34"/>
          <w:szCs w:val="34"/>
        </w:rPr>
        <w:t xml:space="preserve">Indice</w:t>
      </w:r>
    </w:p>
    <w:sdt>
      <w:sdtPr>
        <w:alias w:val="I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1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Scopo e riferimenti</w:t>
      </w:r>
    </w:p>
    <w:p>
      <w:pPr>
        <w:pBdr>
          <w:left w:val="single" w:color="04C1C8" w:sz="18" w:space="12"/>
        </w:pBdr>
        <w:spacing w:after="240" w:line="300"/>
        <w:ind w:left="170"/>
      </w:pPr>
      <w:r>
        <w:rPr>
          <w:rFonts w:ascii="Arial" w:cs="Arial" w:eastAsia="Arial" w:hAnsi="Arial"/>
          <w:color w:val="5A5A5A"/>
          <w:sz w:val="23"/>
          <w:szCs w:val="23"/>
        </w:rPr>
        <w:t xml:space="preserve">Questo documento descrive il modello di sicurezza del Guest Portal, i controlli effettivamente implementati nel codice, le deviazioni assunte consapevolmente con i relativi controlli compensativi, e lo stato di conformità rispetto alla baseline di piattaforma.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Riferimento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Valore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Baseline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Azure Container Platform — AI Development Guidelines, Standard Architecture Definition v1.5 (2026-06-15)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Ambito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Non-GxP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Fonte primaria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COMPLIANCE.md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nel repository, mantenuto insieme al codice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Classificazione dei dati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Dati personali comuni (identificativi e contatti di visitatori e operatori). Nessun dato particolare.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Riferimenti normativi e di ambito.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2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Perimetro e superficie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2.1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Esposizione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L’ambiente Container Apps è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internal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non possiede alcun indirizzo pubblico.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L’unico punto di ingresso è l’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Application Gateway con WAF v2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in modalità *Prevention*, su listener HTTPS.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Le due applicazioni sono create con ingress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external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che in Container Apps significa «raggiungibile dalla rete virtuale», non «esposto su Internet». La conformità «nessun ingress pubblico» è garantita dall’ambiente.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CORS è assente per scelta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frontend e backend condividono l’origine e il browser non effettua mai una richiesta cross-origin. Abilitarlo amplierebbe la superficie senza alcun beneficio.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L’unico traffico in uscita verso la rete aziendale è quello diretto ai controller: HTTPS 443 e SSH 22, con egress ristretto alla rete di gestione.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2.2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Superficie applicativa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Superficie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Protezione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/api/healthz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/api/readyz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/api/health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Aperte per necessità della piattaforma. Non rivelano nulla oltre lo stato del processo e la raggiungibilità del database.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/api/auth/*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Aperte per costruzione (sono il percorso di accesso), ma protette da hardening SAML, limitazione dei tentativi e lista di indirizzi consentiti.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/api/*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Sessione + profilo attivo + ruolo + sede.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/api/admin/*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Le stesse, più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requireRole('admin')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all’ingresso del router. Comprende la lettura e la sostituzione delle password dei controller — deviazione D4, §10.4.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/api/directory/users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Sessione + ruolo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admin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operator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. Restituisce solo nomi visualizzati, di utenti abilitati su domini consentiti.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/api/ws</w:t>
            </w:r>
          </w:p>
        </w:tc>
        <w:tc>
          <w:tcPr>
            <w:tcW w:type="dxa" w:w="674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Sessione verificata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e autorizzazione risolta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sull’upgrade; l’ambito degli eventi è limitato alla sede.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2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Superficie esposta e relative protezioni.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3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Autenticazione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SSO SAML 2.0</w:t>
      </w:r>
    </w:p>
    <w:p>
      <w:pPr>
        <w:spacing w:after="80" w:before="200"/>
        <w:jc w:val="center"/>
      </w:pPr>
      <w:r>
        <w:drawing>
          <wp:inline distT="0" distB="0" distL="0" distR="0">
            <wp:extent cx="6096000" cy="460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Figura 1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Sequenza dell’accesso SSO, con i punti in cui avviene la validazione.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120"/>
        <w:gridCol w:w="2313"/>
        <w:gridCol w:w="5205"/>
      </w:tblGrid>
      <w:tr>
        <w:trPr>
          <w:tblHeader/>
        </w:trP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Controllo</w:t>
            </w:r>
          </w:p>
        </w:tc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Stato</w:t>
            </w:r>
          </w:p>
        </w:tc>
        <w:tc>
          <w:tcPr>
            <w:tcW w:type="dxa" w:w="520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Nota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Libreria</w:t>
            </w:r>
          </w:p>
        </w:tc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@node-saml/passport-saml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5.x</w:t>
            </w:r>
          </w:p>
        </w:tc>
        <w:tc>
          <w:tcPr>
            <w:tcW w:type="dxa" w:w="520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Attivamente mantenuta; sostituisce la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passport-saml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non più aggiornata.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Firma dell’asserzione</w:t>
            </w:r>
          </w:p>
        </w:tc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Richiesta,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incondizionata</w:t>
            </w:r>
          </w:p>
        </w:tc>
        <w:tc>
          <w:tcPr>
            <w:tcW w:type="dxa" w:w="520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Le dichiarazioni di identità devono essere firmate, sempre.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Firma della risposta</w:t>
            </w:r>
          </w:p>
        </w:tc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Richiesta, sovrascrivibile</w:t>
            </w:r>
          </w:p>
        </w:tc>
        <w:tc>
          <w:tcPr>
            <w:tcW w:type="dxa" w:w="520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Copre l’intero documento. Richiede su Entra la Signing Option «Sign SAML response and assertion».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Algoritmo</w:t>
            </w:r>
          </w:p>
        </w:tc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SHA-256</w:t>
            </w:r>
          </w:p>
        </w:tc>
        <w:tc>
          <w:tcPr>
            <w:tcW w:type="dxa" w:w="520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Nessun algoritmo deprecato.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Verifica del destinatario</w:t>
            </w:r>
          </w:p>
        </w:tc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audience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SAML_ISSUER</w:t>
            </w:r>
          </w:p>
        </w:tc>
        <w:tc>
          <w:tcPr>
            <w:tcW w:type="dxa" w:w="520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Impedisce il riuso di un’asserzione destinata a un’altra applicazione.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Anti-replay</w:t>
            </w:r>
          </w:p>
        </w:tc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validateInResponseTo: ifPresent</w:t>
            </w:r>
          </w:p>
        </w:tc>
        <w:tc>
          <w:tcPr>
            <w:tcW w:type="dxa" w:w="520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Con cache degli identificativi persistita su PostgreSQL (vedi §3.2).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Reindirizzamento aperto</w:t>
            </w:r>
          </w:p>
        </w:tc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Impedito</w:t>
            </w:r>
          </w:p>
        </w:tc>
        <w:tc>
          <w:tcPr>
            <w:tcW w:type="dxa" w:w="520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Il parametro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redirect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è accettato solo se punta alla stessa origine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isLocalUrl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).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Contesto di autenticazione</w:t>
            </w:r>
          </w:p>
        </w:tc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Non imposto</w:t>
            </w:r>
          </w:p>
        </w:tc>
        <w:tc>
          <w:tcPr>
            <w:tcW w:type="dxa" w:w="520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Vedi §3.3.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Single Logout</w:t>
            </w:r>
          </w:p>
        </w:tc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Supportato</w:t>
            </w:r>
          </w:p>
        </w:tc>
        <w:tc>
          <w:tcPr>
            <w:tcW w:type="dxa" w:w="520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Se l’IdP non risponde, l’uscita locale avviene comunque.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Certificato inutilizzabile</w:t>
            </w:r>
          </w:p>
        </w:tc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Degrado esplicito</w:t>
            </w:r>
          </w:p>
        </w:tc>
        <w:tc>
          <w:tcPr>
            <w:tcW w:type="dxa" w:w="520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Le rotte SSO rispondono 501 con la causa probabile; il processo non cade e l’accesso di emergenza resta disponibile.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3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Controlli sull’autenticazione SAML.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Cache anti-replay persistita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node-saml registra l’identificativo di ogni AuthnRequest e verifica il campo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InResponseTo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della risposta. Lo store predefinito è la memoria di processo, e la documentazione della libreria stessa dichiara che «non sarà sufficiente» quando richiesta e risposta possono essere gestite da processi diversi. Su Container Apps è il caso normale: basta un riavvio fra il reindirizzamento di accesso e la risposta dell’IdP, e con più repliche il problema è sistematico. Inoltre node-saml consuma l’identificativo anche sul percorso di errore, quindi ogni tentativo fallito ne brucia uno.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cache è implementata su PostgreSQL (tabella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saml_request_ids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): la verifica sopravvive ai riavvii e funziona fra repliche, e la scadenza è applicata in SQL.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La protezione anti-replay non è indebolita: è soltanto affidabile.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L’applicazione non impone il metodo di autenticazione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libreria inserisce per impostazione predefinita un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RequestedAuthnContext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pari a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PasswordProtectedTransport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con confronto esatto. Entra ID onora il vincolo, quindi ogni utente che si autentica senza password — certificato, Windows Hello, FIDO2 — viene rifiutato:</w:t>
      </w:r>
    </w:p>
    <w:p>
      <w:pPr>
        <w:keepLines/>
        <w:shd w:fill="F0F0F0" w:color="auto" w:val="clear"/>
        <w:spacing w:after="0" w:before="12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AADSTS75011: Authentication method 'X509, MultiFactor, X509Device' by which the</w:t>
      </w:r>
    </w:p>
    <w:p>
      <w:pPr>
        <w:keepLines/>
        <w:shd w:fill="F0F0F0" w:color="auto" w:val="clear"/>
        <w:spacing w:after="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user authenticated with the service doesn't match requested authentication</w:t>
      </w:r>
    </w:p>
    <w:p>
      <w:pPr>
        <w:keepLines/>
        <w:shd w:fill="F0F0F0" w:color="auto" w:val="clear"/>
        <w:spacing w:after="180" w:before="0" w:line="240"/>
        <w:ind w:left="140" w:right="140"/>
      </w:pPr>
      <w:r>
        <w:rPr>
          <w:rFonts w:ascii="Consolas" w:cs="Consolas" w:eastAsia="Consolas" w:hAnsi="Consolas"/>
          <w:color w:val="212121"/>
          <w:sz w:val="17"/>
          <w:szCs w:val="17"/>
        </w:rPr>
        <w:t xml:space="preserve">method 'Password, ProtectedTransport'.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Quali metodi siano accettabili è una decisione di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Conditional Access / Authentication Strength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del tenant, non del service provider: la strategia omette l’elemento del tutto. Non c’è nulla da cambiare sul lato Entra — un’applicazione SAML non ha un interruttore per ignorare un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RequestedAuthnContext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ricevuto. La correzione appartiene all’applicazione.</w:t>
      </w:r>
    </w:p>
    <w:p>
      <w:pPr>
        <w:pStyle w:val="Heading4"/>
        <w:keepNext/>
        <w:spacing w:after="100" w:before="240"/>
      </w:pPr>
      <w:r>
        <w:rPr>
          <w:rFonts w:ascii="Arial" w:cs="Arial" w:eastAsia="Arial" w:hAnsi="Arial"/>
          <w:b/>
          <w:bCs/>
          <w:caps/>
          <w:color w:val="5A5A5A"/>
          <w:sz w:val="21"/>
          <w:szCs w:val="21"/>
        </w:rPr>
        <w:t xml:space="preserve">Come verificarlo su un ambiente attivo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Aprire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/api/auth/login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prendere il parametro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SAMLRequest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dal reindirizzamento verso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login.microsoftonline.com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Decodificare l’URL, decodificare base64, decomprimere.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L’XML risultante non deve contenere alcun elemento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RequestedAuthnContext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3.4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Sessione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Controllo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Valore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Cookie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guestportal.sid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HttpOnly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SameSite=lax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Secure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in produzione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Firma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HMAC con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SESSION_SECRET</w:t>
            </w: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 da Key Vault (≥ 64 caratteri casuali)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Persistenza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PostgreSQL con TLS e autenticazione a token Entra ID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Durata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24 ore per una sessione SSO, 120 minuti per una di emergenza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Rigenerazione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Passport rigenera la sessione all’accesso (anti session-fixation)</w:t>
            </w:r>
          </w:p>
        </w:tc>
      </w:tr>
      <w:tr>
        <w:tc>
          <w:tcPr>
            <w:tcW w:type="dxa" w:w="231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Contenuto</w:t>
            </w:r>
          </w:p>
        </w:tc>
        <w:tc>
          <w:tcPr>
            <w:tcW w:type="dxa" w:w="732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Solo attributi di identità. </w:t>
            </w: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Nessun ruolo, nessun permesso, nessun segreto.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4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Controlli sulla sessione.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Il ripiego di </w:t>
            </w:r>
            <w:r>
              <w:rPr>
                <w:rFonts w:ascii="Consolas" w:cs="Consolas" w:eastAsia="Consolas" w:hAnsi="Consolas"/>
                <w:b/>
                <w:bCs/>
                <w:color w:val="0A5D65"/>
                <w:sz w:val="18"/>
                <w:szCs w:val="18"/>
              </w:rPr>
              <w:t xml:space="preserve">SESSION_SECRET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Esiste un valore di ripiego, esplicitamente marcato come insicuro nel codice, perché l’applicazione possa avviarsi in sviluppo locale senza che ogni sviluppatore debba generare un segreto. In produzione il valore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deve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arrivare da Key Vault: un difetto già corretto — la sintassi di riferimento sbagliata — aveva portato il segreto letterale del riferimento dentro la variabile, rendendo i cookie di sessione falsificabili a partire da informazioni pubbliche.</w:t>
            </w:r>
          </w:p>
        </w:tc>
      </w:tr>
    </w:tbl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4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Autorizzazione</w:t>
      </w:r>
    </w:p>
    <w:p>
      <w:pPr>
        <w:spacing w:after="80" w:before="200"/>
        <w:jc w:val="center"/>
      </w:pPr>
      <w:r>
        <w:drawing>
          <wp:inline distT="0" distB="0" distL="0" distR="0">
            <wp:extent cx="6096000" cy="3990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  <w:jc w:val="center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Figura 2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Catena di autorizzazione: guardie, rifiuti e sorgenti del profilo.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4.1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Il principio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L’autorizzazione è risolta a ogni richiesta e non è mai serializzata in sessione.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Un ruolo memorizzato in sessione sopravvivrebbe fino alla scadenza del cookie: un utente sospeso continuerebbe a operare per 24 ore. Con la risoluzione per richiesta, una sospensione ha effetto entro il tempo di vita della cache — 15 secondi per impostazione predefinita, tenuto deliberatamente sotto l’intervallo di aggiornamento del cruscotto.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4.2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Ruoli e ambito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1542"/>
        <w:gridCol w:w="5205"/>
        <w:gridCol w:w="2891"/>
      </w:tblGrid>
      <w:tr>
        <w:trPr>
          <w:tblHeader/>
        </w:trPr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Ruolo</w:t>
            </w:r>
          </w:p>
        </w:tc>
        <w:tc>
          <w:tcPr>
            <w:tcW w:type="dxa" w:w="520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Operazioni</w:t>
            </w:r>
          </w:p>
        </w:tc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9"/>
                <w:szCs w:val="19"/>
              </w:rPr>
              <w:t xml:space="preserve">Ambito</w:t>
            </w:r>
          </w:p>
        </w:tc>
      </w:tr>
      <w:tr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viewer</w:t>
            </w:r>
          </w:p>
        </w:tc>
        <w:tc>
          <w:tcPr>
            <w:tcW w:type="dxa" w:w="520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Sola consultazione.</w:t>
            </w:r>
          </w:p>
        </w:tc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Sedi concesse.</w:t>
            </w:r>
          </w:p>
        </w:tc>
      </w:tr>
      <w:tr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operator</w:t>
            </w:r>
          </w:p>
        </w:tc>
        <w:tc>
          <w:tcPr>
            <w:tcW w:type="dxa" w:w="520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Consultazione, registrazione, revoca, reinvio credenziali.</w:t>
            </w:r>
          </w:p>
        </w:tc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Sedi concesse.</w:t>
            </w:r>
          </w:p>
        </w:tc>
      </w:tr>
      <w:tr>
        <w:tc>
          <w:tcPr>
            <w:tcW w:type="dxa" w:w="1542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7"/>
                <w:szCs w:val="17"/>
              </w:rPr>
              <w:t xml:space="preserve">admin</w:t>
            </w:r>
          </w:p>
        </w:tc>
        <w:tc>
          <w:tcPr>
            <w:tcW w:type="dxa" w:w="520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Tutte, più il pannello di amministrazione.</w:t>
            </w:r>
          </w:p>
        </w:tc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9"/>
                <w:szCs w:val="19"/>
              </w:rPr>
              <w:t xml:space="preserve">Tutte le sedi.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5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Ruoli applicativi.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Ogni utente che completa l’accesso SSO ottiene una voce in directory al primo accesso, e quella voce nasce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bloccata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può autenticarsi, non gli è concesso nulla. È un provisioning a negazione predefinita.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4.3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Fail closed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Un errore nella risoluzione del profilo produce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503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mai un profilo di ripiego. Un livello di autorizzazione che degrada ad «accetta» sotto carico non è un livello di autorizzazione.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Una richiesta che richiede una sede e non la indica viene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rifiutata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non servita con un valore predefinito: «nessuna sede» significava «usa la prima riga», ed è il ripiego che poteva far finire l’operazione di un operatore sul controller di un’altra sede.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null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(nessuna restrizione) 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[]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(nessuna concessione) non sono mai confusi: il primo è un amministratore, il secondo un utente che non deve vedere nulla.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L’upgrade WebSocket attraversa lo stesso controllo: un utente sospeso perde il canale.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4.4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Amministratori per convenzione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Un UPN della forma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admin365-&lt;qualcosa&gt;@dompe.onmicrosoft.com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concede il ruolo di amministratore senza profilazione. Serve a raggiungere un ambiente appena installato senza esporre l’accesso di emergenza.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Il vincolo sul dominio sta facendo un lavoro reale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regola lega privilegi pieni a una stringa contenuta in un indirizzo. Senza il vincolo di dominio, un account ospite (B2B) invitato nel tenant — il cui UPN appartiene al tenant di provenienza — potrebbe presentarsi come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admin365-x@attacker.com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e arrivare come amministratore di piattaforma. Per questa ragione,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una lista di domini vuota disattiva la regola invece di aprirla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: è l’unico punto in cui un valore vuoto non deve significare «nessuna restrizione».</w:t>
            </w:r>
          </w:p>
        </w:tc>
      </w:tr>
    </w:tbl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regola è valutata sullo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UPN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non sull’indirizzo di posta: gli account amministrativi non hanno casella, e valutata sulla posta la regola mancava esattamente gli account per cui esiste. La chiave della directory resta comunque l’identificativo dell’oggetto in Entra: lo UPN è una colonna indicizzata ma non identificante, perché cambia a una rinomina.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4.5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Isolamento fra sedi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sede su cui si opera vive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in sessione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non nei parametri della richiesta. Quando arrivava dalla query string, chiunque poteva leggere gli ospiti di un’altra sede modificando l’URL.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Gli endpoint che agiscono su una sede verificano la concessione; quelli che scoprono la sede solo dopo una lettura la verificano subito dopo.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Gli eventi in tempo reale sono filtrati per sede: i nomi degli ospiti sono dati personali.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Per un utente non amministratore, indirizzo, porte e account del controller sono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rimossi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dalle risposte della API.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5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Gestione dei segreti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506"/>
        <w:gridCol w:w="2506"/>
        <w:gridCol w:w="4626"/>
      </w:tblGrid>
      <w:tr>
        <w:trPr>
          <w:tblHeader/>
        </w:trP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Segreto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Dove risiede</w:t>
            </w:r>
          </w:p>
        </w:tc>
        <w:tc>
          <w:tcPr>
            <w:tcW w:type="dxa" w:w="46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Come arriva all’applicazione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SESSION-SECRET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Key Vault</w:t>
            </w:r>
          </w:p>
        </w:tc>
        <w:tc>
          <w:tcPr>
            <w:tcW w:type="dxa" w:w="46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Variabile d’ambiente via riferimento a segreto della Container App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SAML-CERT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Key Vault</w:t>
            </w:r>
          </w:p>
        </w:tc>
        <w:tc>
          <w:tcPr>
            <w:tcW w:type="dxa" w:w="46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Idem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SAML-DECRYPTION-KEY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Key Vault (opzionale)</w:t>
            </w:r>
          </w:p>
        </w:tc>
        <w:tc>
          <w:tcPr>
            <w:tcW w:type="dxa" w:w="46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Idem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WLC-PASSWORD-&lt;CODICE&gt;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Key Vault,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una per sede</w:t>
            </w:r>
          </w:p>
        </w:tc>
        <w:tc>
          <w:tcPr>
            <w:tcW w:type="dxa" w:w="46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Letta direttamente dal vault con l’identità gestita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KEY_VAULT_URL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) all’avvio e alla ricarica; la variabile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WLC_PASSWORD_&lt;CODICE&gt;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resta come ripiego. Leggibile e sostituibile da un amministratore — §10.4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MAIL-GRAPH-CLIENT-SECRET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Key Vault</w:t>
            </w:r>
          </w:p>
        </w:tc>
        <w:tc>
          <w:tcPr>
            <w:tcW w:type="dxa" w:w="46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Idem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Credenziale del database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Non esiste</w:t>
            </w:r>
          </w:p>
        </w:tc>
        <w:tc>
          <w:tcPr>
            <w:tcW w:type="dxa" w:w="46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Token Entra ID ottenuto dall’identità gestita a ogni nuova connessione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Password dell’ospite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Non esiste</w:t>
            </w:r>
          </w:p>
        </w:tc>
        <w:tc>
          <w:tcPr>
            <w:tcW w:type="dxa" w:w="46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Generata in memoria, consegnata, dimenticata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Password di emergenza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Solo come hash scrypt in banca dati</w:t>
            </w:r>
          </w:p>
        </w:tc>
        <w:tc>
          <w:tcPr>
            <w:tcW w:type="dxa" w:w="46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Impostata da riga di comando</w:t>
            </w:r>
          </w:p>
        </w:tc>
      </w:tr>
      <w:tr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sms_config.api_key</w:t>
            </w:r>
          </w:p>
        </w:tc>
        <w:tc>
          <w:tcPr>
            <w:tcW w:type="dxa" w:w="250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Banca dati</w:t>
            </w:r>
          </w:p>
        </w:tc>
        <w:tc>
          <w:tcPr>
            <w:tcW w:type="dxa" w:w="46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Unico segreto residuo in banca dati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; campo vuoto, funzione dormiente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6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Inventario dei segreti.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Nessun segreto è presente nel codice sorgente né nelle immagini.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Nessun segreto transita dalla pipeline: la CI imposta 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riferimenti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non i valori.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L’autenticazione della pipeline verso Azure usa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identità federata OIDC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non esiste un segreto di accesso al cloud da custodire.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L’identità gestita del backend richiede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Key Vault Secrets User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per leggere 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Key Vault Secrets Officer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per sostituire una password di controller. Il secondo ruolo va assegnato con ambito ristretto ai soli segreti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WLC-PASSWORD-*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non all’intero vault.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Per la ricerca del referente la stessa identità richiede il permesso applicativo Microsoft Graph </w:t>
      </w:r>
      <w:r>
        <w:rPr>
          <w:rFonts w:ascii="Consolas" w:cs="Consolas" w:eastAsia="Consolas" w:hAnsi="Consolas"/>
          <w:b/>
          <w:bCs/>
          <w:color w:val="0A5D65"/>
          <w:sz w:val="19"/>
          <w:szCs w:val="19"/>
        </w:rPr>
        <w:t xml:space="preserve">User.Read.All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con consenso amministratore.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Le risposte della API non restituiscono mai un segreto: la password del controller è omessa, la chiave SMS è omessa. Il pannello mostra solo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una password risulti configurata 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il nome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del segreto da richiedere.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Sintassi dei riferimenti a Key Vault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Container Apps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non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espande la sintassi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@Microsoft.KeyVault(SecretUri=…)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di App Service: al container arriverebbe il testo letterale. È un difetto già individuato, con conseguenze gravi — ogni accesso SSO falliva 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SESSION_SECRET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conteneva la stringa del riferimento. La procedura corretta usa i segreti della Container App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keyvaultref: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secretref: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) ed è documentata nel runbook.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La conversione della pipeline è ancora aperta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(vedi §11).</w:t>
            </w:r>
          </w:p>
        </w:tc>
      </w:tr>
    </w:tbl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6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Protezione dei dati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Misura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Attuazione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Minimizzazione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La password dell’ospite non è persistita. Quella del controller non è in banca dati. Il recapito telefonico è raccolto ma non utilizzato.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Oscuramento nei log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La password di destinazione è sostituita da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***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prima della scrittura nello storico. La query string è esclusa dal log delle richieste (contiene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redirect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SAMLRequest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). Il token del database non è mai registrato: lo è solo la sua scadenza.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Cifratura in transito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HTTPS fino all’Application Gateway e da lì alle Container App; TLS verso PostgreSQL con verifica del certificato; TLS verso Key Vault, Graph ed Entra.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Cifratura a riposo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Cifratura gestita dalla piattaforma su PostgreSQL Flexible Server e Key Vault.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Isolamento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Un operatore vede solo gli ospiti della propria sede, in console, nella API e nel canale in tempo reale.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Ricerca nella directory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Dal backend escono solo i nomi visualizzati, di utenti abilitati su domini consentiti. Nulla è memorizzato, né sul server né nel browser. Il testo cercato non viene registrato: è il nome di una persona.</w:t>
            </w:r>
          </w:p>
        </w:tc>
      </w:tr>
      <w:tr>
        <w:tc>
          <w:tcPr>
            <w:tcW w:type="dxa" w:w="212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Cancellazione</w:t>
            </w:r>
          </w:p>
        </w:tc>
        <w:tc>
          <w:tcPr>
            <w:tcW w:type="dxa" w:w="751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L’eliminazione di un ospite rimuove la riga e revoca l’account sul controller. L’eliminazione di un utente rimuove anche le concessioni.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7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Misure di protezione dei dati.</w:t>
      </w:r>
    </w:p>
    <w:tbl>
      <w:tblPr>
        <w:tblW w:type="dxa" w:w="9638"/>
        <w:tblBorders>
          <w:top w:val="none"/>
          <w:left w:val="single" w:color="04C1C8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EFD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A5D65"/>
                <w:sz w:val="20"/>
                <w:szCs w:val="20"/>
              </w:rPr>
              <w:t xml:space="preserve">Ritenzione dello storico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tabella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8"/>
                <w:szCs w:val="18"/>
              </w:rPr>
              <w:t xml:space="preserve">sync_logs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non ha una politica di ritenzione automatica e cresce di circa 14.400 righe al giorno per effetto della sola sincronizzazione. Conserva nomi utente e, sulle voci di invio, gli indirizzi dei destinatari. Definire una ritenzione è una raccomandazione aperta.</w:t>
            </w:r>
          </w:p>
        </w:tc>
      </w:tr>
    </w:tbl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7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Sicurezza verso i controller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percorso verso i controller è l’unico che lascia il perimetro Azure e porta con sé le credenziali più sensibili del sistema. Merita una lettura unitaria, perché le due deviazioni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D2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D3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insistono sullo stesso canale e il rischio è quindi cumulativo, non distribuito.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tblHeader/>
        </w:trPr>
        <w:tc>
          <w:tcPr>
            <w:tcW w:type="dxa" w:w="269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Controllo</w:t>
            </w:r>
          </w:p>
        </w:tc>
        <w:tc>
          <w:tcPr>
            <w:tcW w:type="dxa" w:w="69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Stato</w:t>
            </w:r>
          </w:p>
        </w:tc>
      </w:tr>
      <w:tr>
        <w:tc>
          <w:tcPr>
            <w:tcW w:type="dxa" w:w="269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Iniezione di comandi IOS-XE</w:t>
            </w:r>
          </w:p>
        </w:tc>
        <w:tc>
          <w:tcPr>
            <w:tcW w:type="dxa" w:w="69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Chiusa.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Ogni valore che finisce in un comando passa da validazione: nessun capoverso, nessun byte nullo, alfabeto ristretto per username e password, durata come intero entro limiti.</w:t>
            </w:r>
          </w:p>
        </w:tc>
      </w:tr>
      <w:tr>
        <w:tc>
          <w:tcPr>
            <w:tcW w:type="dxa" w:w="269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Autenticazione del server SSH</w:t>
            </w:r>
          </w:p>
        </w:tc>
        <w:tc>
          <w:tcPr>
            <w:tcW w:type="dxa" w:w="69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Disattivata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— deviazione D2.</w:t>
            </w:r>
          </w:p>
        </w:tc>
      </w:tr>
      <w:tr>
        <w:tc>
          <w:tcPr>
            <w:tcW w:type="dxa" w:w="269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Autenticazione del server TLS</w:t>
            </w:r>
          </w:p>
        </w:tc>
        <w:tc>
          <w:tcPr>
            <w:tcW w:type="dxa" w:w="69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Disattivata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in produzione — deviazione D3.</w:t>
            </w:r>
          </w:p>
        </w:tc>
      </w:tr>
      <w:tr>
        <w:tc>
          <w:tcPr>
            <w:tcW w:type="dxa" w:w="269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Cifratura del canale</w:t>
            </w:r>
          </w:p>
        </w:tc>
        <w:tc>
          <w:tcPr>
            <w:tcW w:type="dxa" w:w="69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Attiva su entrambi: SSH e TLS cifrano, pur senza autenticare il server.</w:t>
            </w:r>
          </w:p>
        </w:tc>
      </w:tr>
      <w:tr>
        <w:tc>
          <w:tcPr>
            <w:tcW w:type="dxa" w:w="269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Egress</w:t>
            </w:r>
          </w:p>
        </w:tc>
        <w:tc>
          <w:tcPr>
            <w:tcW w:type="dxa" w:w="69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Ristretto alla rete di gestione: il percorso non attraversa reti non gestite.</w:t>
            </w:r>
          </w:p>
        </w:tc>
      </w:tr>
      <w:tr>
        <w:tc>
          <w:tcPr>
            <w:tcW w:type="dxa" w:w="269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Ambito della credenziale</w:t>
            </w:r>
          </w:p>
        </w:tc>
        <w:tc>
          <w:tcPr>
            <w:tcW w:type="dxa" w:w="69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Una password per sede: la compromissione di una non compromette le altre.</w:t>
            </w:r>
          </w:p>
        </w:tc>
      </w:tr>
      <w:tr>
        <w:tc>
          <w:tcPr>
            <w:tcW w:type="dxa" w:w="269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Persistenza della credenziale</w:t>
            </w:r>
          </w:p>
        </w:tc>
        <w:tc>
          <w:tcPr>
            <w:tcW w:type="dxa" w:w="693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Nessuna: la password del controller non è in banca dati, quindi un’intercettazione non dà accesso persistente alla configurazione dell’applicazione.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8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Controlli sul percorso verso i controller.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8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Supply chain e immagini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Due immagini distinte,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multi-stage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nell’immagine finale finiscono solo gli artefatti compilati e le dipendenze di produzione.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Entrambe girano con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utente non privilegiato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app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sul backend, UID 101 sul frontend).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apk upgrade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nelle fasi di runtime per allineare i pacchetti di sistema.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Trivy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in tre punti: filesystem, immagine backend, immagine frontend. Il cancello blocca sulle vulnerabilità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CRITICAL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ed è coerente fra i tre scanner. I risultati sono caricati in GitHub Security.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docker-security.yml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è un workflow autonomo che gira su ogni push e pull request.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lockfile del frontend è obbligatorio: la sua assenza fa fallire la build invece di produrre un albero di dipendenze non riproducibile.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Tag immagine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immutabile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pari allo SHA del commit, più un alias mutabile per ambiente: ogni revisione è riconducibile a un commit preciso.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Dependabot è attivo sul repository.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9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Registrazione e audit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2891"/>
        <w:gridCol w:w="1349"/>
        <w:gridCol w:w="5398"/>
      </w:tblGrid>
      <w:tr>
        <w:trPr>
          <w:tblHeader/>
        </w:trP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Evento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Livello</w:t>
            </w:r>
          </w:p>
        </w:tc>
        <w:tc>
          <w:tcPr>
            <w:tcW w:type="dxa" w:w="53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Campi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Richiesta HTTP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info</w:t>
            </w:r>
          </w:p>
        </w:tc>
        <w:tc>
          <w:tcPr>
            <w:tcW w:type="dxa" w:w="53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correlationId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, metodo, percorso, stato, durata, user-agent, IP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Rifiuto di autorizzazione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warn</w:t>
            </w:r>
          </w:p>
        </w:tc>
        <w:tc>
          <w:tcPr>
            <w:tcW w:type="dxa" w:w="53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event: authz-denied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, motivo, soggetto, percorso, metodo,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correlationId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Provisioning JIT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info</w:t>
            </w:r>
          </w:p>
        </w:tc>
        <w:tc>
          <w:tcPr>
            <w:tcW w:type="dxa" w:w="53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event: sso-jit-provisioning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, soggetto, creato, ruolo, stato, amministratore per convenzione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Tentativo di accesso di emergenza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warn</w:t>
            </w:r>
          </w:p>
        </w:tc>
        <w:tc>
          <w:tcPr>
            <w:tcW w:type="dxa" w:w="53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event: breakglass-login-denied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, motivo, IP, user-agent,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correlationId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Accesso di emergenza riuscito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warn</w:t>
            </w:r>
          </w:p>
        </w:tc>
        <w:tc>
          <w:tcPr>
            <w:tcW w:type="dxa" w:w="53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event: breakglass-login-success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, nome utente, durata della sessione, IP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Blocco di un account di emergenza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warn</w:t>
            </w:r>
          </w:p>
        </w:tc>
        <w:tc>
          <w:tcPr>
            <w:tcW w:type="dxa" w:w="53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event: breakglass-account-locked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, nome utente, fine del blocco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Modifica di un profilo utente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warn</w:t>
            </w:r>
          </w:p>
        </w:tc>
        <w:tc>
          <w:tcPr>
            <w:tcW w:type="dxa" w:w="53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event: admin-user-updated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, attore, destinatario, stato prima e dopo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Eliminazione di un utente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warn</w:t>
            </w:r>
          </w:p>
        </w:tc>
        <w:tc>
          <w:tcPr>
            <w:tcW w:type="dxa" w:w="53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event: admin-user-deleted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, attore, destinatario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e ciò che la riga concedeva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(indirizzo, ruolo, stato, sedi): dopo l’eliminazione il log è l’unica traccia rimasta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Lettura degli account di emergenza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warn</w:t>
            </w:r>
          </w:p>
        </w:tc>
        <w:tc>
          <w:tcPr>
            <w:tcW w:type="dxa" w:w="53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event: admin-breakglass-list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, attore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Modifiche alle sedi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warn</w:t>
            </w:r>
          </w:p>
        </w:tc>
        <w:tc>
          <w:tcPr>
            <w:tcW w:type="dxa" w:w="53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event: admin-sede-*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, attore, codice sede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Password di un controller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warn</w:t>
            </w:r>
          </w:p>
        </w:tc>
        <w:tc>
          <w:tcPr>
            <w:tcW w:type="dxa" w:w="53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event: admin-wlc-password-viewed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-changed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, attore, sede,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correlationId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Una lettura è tracciata come una scrittura.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Ricarica delle password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warn</w:t>
            </w:r>
          </w:p>
        </w:tc>
        <w:tc>
          <w:tcPr>
            <w:tcW w:type="dxa" w:w="53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event: admin-wlc-reload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, attore, elenchi delle sedi caricate, mancanti e fallite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Errore Key Vault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error</w:t>
            </w:r>
          </w:p>
        </w:tc>
        <w:tc>
          <w:tcPr>
            <w:tcW w:type="dxa" w:w="53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event: admin-wlc-keyvault-error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, operazione, sede, messaggio sintetico dell’SDK</w:t>
            </w:r>
          </w:p>
        </w:tc>
      </w:tr>
      <w:tr>
        <w:tc>
          <w:tcPr>
            <w:tcW w:type="dxa" w:w="2891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Operazioni sui controller e invii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Tabella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sync_logs</w:t>
            </w:r>
          </w:p>
        </w:tc>
        <w:tc>
          <w:tcPr>
            <w:tcW w:type="dxa" w:w="539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Azione, metodo, destinazione, codice di stato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9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Eventi registrati e relativi campi.</w:t>
      </w:r>
    </w:p>
    <w:tbl>
      <w:tblPr>
        <w:tblW w:type="dxa" w:w="9638"/>
        <w:tblBorders>
          <w:top w:val="none"/>
          <w:left w:val="single" w:color="04C1C8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EFD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0A5D65"/>
                <w:sz w:val="20"/>
                <w:szCs w:val="20"/>
              </w:rPr>
              <w:t xml:space="preserve">Perché anche la sola lettura degli account di emergenza è registrata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Sapere quali account di emergenza esistono, quali sono abilitati e quali bloccati è di per sé un’informazione utile a un attaccante. La lettura è quindi tracciata come le modifiche.</w:t>
            </w:r>
          </w:p>
        </w:tc>
      </w:tr>
    </w:tbl>
    <w:p>
      <w:pPr>
        <w:pStyle w:val="Heading4"/>
        <w:keepNext/>
        <w:spacing w:after="100" w:before="240"/>
      </w:pPr>
      <w:r>
        <w:rPr>
          <w:rFonts w:ascii="Arial" w:cs="Arial" w:eastAsia="Arial" w:hAnsi="Arial"/>
          <w:b/>
          <w:bCs/>
          <w:caps/>
          <w:color w:val="5A5A5A"/>
          <w:sz w:val="21"/>
          <w:szCs w:val="21"/>
        </w:rPr>
        <w:t xml:space="preserve">Alert obbligatorio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Un alert su Log Analytics per gli accessi di emergenza riusciti è un requisito, non una raccomandazione: la query è riportata nel runbook operativo. Un accesso di emergenza riuscito è un evento su cui qualcuno deve guardare, ogni volta.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10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Deviazioni consapevoli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Quattro deviazioni sono state assunte esplicitamente, con il rischio rappresentato al richiedente e accettato. Sono documentate qui perché una deviazione registrata e sorvegliata è gestibile, una dimenticata no.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10.1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D1 — Accesso di emergenza senza secondo fattore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1735"/>
        <w:gridCol w:w="7903"/>
      </w:tblGrid>
      <w:tr>
        <w:trPr>
          <w:tblHeader/>
        </w:trP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Campo</w:t>
            </w:r>
          </w:p>
        </w:tc>
        <w:tc>
          <w:tcPr>
            <w:tcW w:type="dxa" w:w="790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Contenuto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Che cosa</w:t>
            </w:r>
          </w:p>
        </w:tc>
        <w:tc>
          <w:tcPr>
            <w:tcW w:type="dxa" w:w="790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Accesso locale con nome utente e password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POST /api/auth/breakglass/login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) che consente di usare la console quando Entra ID o il collegamento SAML non funzionano.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Perché</w:t>
            </w:r>
          </w:p>
        </w:tc>
        <w:tc>
          <w:tcPr>
            <w:tcW w:type="dxa" w:w="790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Continuità operativa: senza di esso un’indisponibilità dell’IdP rende la console inutilizzabile e gli ospiti non registrabili.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Deviazione</w:t>
            </w:r>
          </w:p>
        </w:tc>
        <w:tc>
          <w:tcPr>
            <w:tcW w:type="dxa" w:w="790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Aggira Conditional Access e MFA di Entra.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Non ha un secondo fattore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: è una scelta esplicita del richiedente, presa dopo che il rischio è stato rappresentato. L’alternativa proposta era password + TOTP sulle sole librerie standard, senza dipendenze aggiuntive.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Rischio residuo</w:t>
            </w:r>
          </w:p>
        </w:tc>
        <w:tc>
          <w:tcPr>
            <w:tcW w:type="dxa" w:w="790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Una password compromessa è sufficiente per accedere alla console con pieni privilegi. Il rischio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non è eliminato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, solo ridotto.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10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Deviazione D1.</w:t>
      </w:r>
    </w:p>
    <w:p>
      <w:pPr>
        <w:pStyle w:val="Heading4"/>
        <w:keepNext/>
        <w:spacing w:after="100" w:before="240"/>
      </w:pPr>
      <w:r>
        <w:rPr>
          <w:rFonts w:ascii="Arial" w:cs="Arial" w:eastAsia="Arial" w:hAnsi="Arial"/>
          <w:b/>
          <w:bCs/>
          <w:caps/>
          <w:color w:val="5A5A5A"/>
          <w:sz w:val="21"/>
          <w:szCs w:val="21"/>
        </w:rPr>
        <w:t xml:space="preserve">Controlli compensativi — tutti nel codice, non solo procedurali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Interruttore generale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BREAKGLASS_ENABLED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spento per default: finché non viene acceso deliberatamente l’endpoint risponde 404.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Lista CIDR valutata prima di ogni altra cosa,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fail-closed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se tutte le voci sono malformate; chi è fuori riceve 404 e non vede nemmeno il collegamento nell’interfaccia.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Hash scrypt (RFC 7914) con salt per record e confronto a tempo costante; nessuna dipendenza nativa aggiuntiva.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Blocco dell’account persistito in banca dati, quindi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globale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su tutte le repliche; solo la password errata lo incrementa.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Limitazione per indirizzo di origine a finestra scorrevole, in memoria e quindi per replica: è un controllo aggiuntivo, non quello principale.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Verifica 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costo costante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(hash fittizio per un account inesistente) 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un solo messaggio d’errore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per ogni causa: nessuna enumerazione né per tempi né per testo.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Rigenerazione della sessione all’accesso e durata del cookie ridotta (120 minuti contro 24 ore).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Scadenza per account, per limitare nel tempo la validità della credenziale.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Audit a livello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warn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di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ogni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tentativo, riuscito o meno, con motivo, IP, user-agent e identificativo di correlazione.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Creazione e rotazione della password solo da riga di comando.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Gli endpoint esposti possono abilitare, disabilitare e sbloccare, non creare: una sessione amministrativa compromessa non può coniarsi un aggiramento permanente dell’SSO.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Guardia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last_breakglass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il pannello rifiuta di disabilitare l’ultimo account utilizzabile.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Account di bootstrap creato dalla migrazione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solo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se la password di seed è presente e lunga almeno 16 caratteri, 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solo se assente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non ruota una password già cambiata né riabilita un account disabilitato di proposito.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Banner permanente e badge in console: una sessione di emergenza non può passare per una sessione normale.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L’uscita da una sessione di emergenza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non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tenta il Single Logout SAML: il soggetto è locale e Entra non lo conosce.</w:t>
      </w:r>
    </w:p>
    <w:p>
      <w:pPr>
        <w:pStyle w:val="Heading4"/>
        <w:keepNext/>
        <w:spacing w:after="100" w:before="240"/>
      </w:pPr>
      <w:r>
        <w:rPr>
          <w:rFonts w:ascii="Arial" w:cs="Arial" w:eastAsia="Arial" w:hAnsi="Arial"/>
          <w:b/>
          <w:bCs/>
          <w:caps/>
          <w:color w:val="5A5A5A"/>
          <w:sz w:val="21"/>
          <w:szCs w:val="21"/>
        </w:rPr>
        <w:t xml:space="preserve">Limiti noti, a verbale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Nessun secondo fattore — vedi rischio residuo.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Dipende da PostgreSQL: copre un’indisponibilità di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Entra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non del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limitazione per indirizzo è per replica; il blocco per account è globale.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Una lista di indirizzi vuota espone l’endpoint: in assenza di secondo fattore è il controllo compensativo più efficace e va popolata con gli intervalli di uscita aziendali e VPN. Il backend registra un avviso esplicito all’avvio se la funzione è attiva senza lista.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Un amministratore compromesso può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disabilitare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(non creare) un account di emergenza: la guardia impedisce di azzerarli tutti e ogni azione è tracciata, ma resta un modo per degradare la disponibilità del percorso.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password di seed è un segreto e va legata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solo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al job di migrazione, non al container backend. Dopo il bootstrap va ruotata da riga di comando e archiviata nel gestore di password: il valore in Key Vault a quel punto non è più quello attivo.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L’account di emergenza è anche il bootstrap della profilazione: finché non esiste un amministratore profilato è l’unico che può crearne uno. L’alternativa, senza esporre nulla in rete, è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make appusers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eseguito nel container.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10.2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D2 — Verifica della chiave host SSH disattivata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1735"/>
        <w:gridCol w:w="7903"/>
      </w:tblGrid>
      <w:tr>
        <w:trPr>
          <w:tblHeader/>
        </w:trP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Campo</w:t>
            </w:r>
          </w:p>
        </w:tc>
        <w:tc>
          <w:tcPr>
            <w:tcW w:type="dxa" w:w="790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Contenuto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Che cosa</w:t>
            </w:r>
          </w:p>
        </w:tc>
        <w:tc>
          <w:tcPr>
            <w:tcW w:type="dxa" w:w="790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WLC_SSH_VERIFY_HOST_KEY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false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: il client SSH non verifica la chiave host dei controller.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Perché</w:t>
            </w:r>
          </w:p>
        </w:tc>
        <w:tc>
          <w:tcPr>
            <w:tcW w:type="dxa" w:w="790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 cinque controller hanno cinque chiavi diverse, mentre la variabile che contiene il valore atteso è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singola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e confrontata con tutti. Con la verifica attiva funzionerebbe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una sola sede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e le altre quattro fallirebbero closed: la funzionalità sarebbe inutilizzabile su quattro sedi su cinque.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Deviazione</w:t>
            </w:r>
          </w:p>
        </w:tc>
        <w:tc>
          <w:tcPr>
            <w:tcW w:type="dxa" w:w="790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La sessione SSH non è autenticata, quindi esposta a interposizione sul percorso verso il controller. Su quella sessione passano la password amministrativa del controller e le credenziali degli ospiti.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Rischio residuo</w:t>
            </w:r>
          </w:p>
        </w:tc>
        <w:tc>
          <w:tcPr>
            <w:tcW w:type="dxa" w:w="790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Chi si interpone fra backend e controller può intercettare quelle credenziali. Ridotto dal percorso su rete interna gestita con egress ristretto,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non eliminato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11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Deviazione D2.</w:t>
      </w:r>
    </w:p>
    <w:p>
      <w:pPr>
        <w:pStyle w:val="Heading4"/>
        <w:keepNext/>
        <w:spacing w:after="100" w:before="240"/>
      </w:pPr>
      <w:r>
        <w:rPr>
          <w:rFonts w:ascii="Arial" w:cs="Arial" w:eastAsia="Arial" w:hAnsi="Arial"/>
          <w:b/>
          <w:bCs/>
          <w:caps/>
          <w:color w:val="5A5A5A"/>
          <w:sz w:val="21"/>
          <w:szCs w:val="21"/>
        </w:rPr>
        <w:t xml:space="preserve">Controlli e mitigazioni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Egress del backend limitato alla rete di gestione: il percorso non attraversa reti non gestite.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Lo stato è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visibile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il backend registra un avviso la prima volta che apre una connessione non verificata, una sola volta per processo.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Quando la verifica viene attivata è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fail-closed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senza il valore atteso rifiuta di connettersi anziché procedere.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flag è per ambiente: si può attivare su un ambiente di prova senza toccare il codice.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Prerequisito per chiudere la deviazione: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chiave host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per sede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WLC_SSH_HOST_KEY_&lt;CODICE&gt;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con lo stesso schema già usato per le password), più la raccolta delle cinque impronte dai controller.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10.3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D3 — Verifica del certificato TLS dei controller disattivata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1735"/>
        <w:gridCol w:w="7903"/>
      </w:tblGrid>
      <w:tr>
        <w:trPr>
          <w:tblHeader/>
        </w:trP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Campo</w:t>
            </w:r>
          </w:p>
        </w:tc>
        <w:tc>
          <w:tcPr>
            <w:tcW w:type="dxa" w:w="790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Contenuto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Che cosa</w:t>
            </w:r>
          </w:p>
        </w:tc>
        <w:tc>
          <w:tcPr>
            <w:tcW w:type="dxa" w:w="790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6"/>
                <w:szCs w:val="16"/>
              </w:rPr>
              <w:t xml:space="preserve">WLC_TLS_REJECT_UNAUTHORIZED=false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in produzione: il client HTTPS verso i controller non verifica il certificato del server.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Perché</w:t>
            </w:r>
          </w:p>
        </w:tc>
        <w:tc>
          <w:tcPr>
            <w:tcW w:type="dxa" w:w="790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Il Catalyst 9800 presenta un certificato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autofirmato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, che con la verifica attiva viene sempre rifiutato rendendo impossibile la verifica delle credenziali. Le alternative — certificati attendibili sui cinque controller, oppure pinning per sede — sono state valutate e rinviate su decisione del richiedente.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Deviazione</w:t>
            </w:r>
          </w:p>
        </w:tc>
        <w:tc>
          <w:tcPr>
            <w:tcW w:type="dxa" w:w="790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Il canale HTTPS verso il controller non è autenticato. Su quel canale viaggia l’intestazione di autenticazione Basic, cioè la password amministrativa del controller in base64, non cifrata.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Rischio residuo</w:t>
            </w:r>
          </w:p>
        </w:tc>
        <w:tc>
          <w:tcPr>
            <w:tcW w:type="dxa" w:w="790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Chi si interpone può leggere quella password e impersonare il controller. Ridotto dal percorso su rete interna gestita,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non eliminato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12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Deviazione D3.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D2 e D3 vanno lette insieme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Entrambe rimuovono l’autenticazione del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server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sullo stesso percorso di rete. Il rischio è cumulativo su un unico canale, non distribuito su due canali distinti.</w:t>
            </w:r>
          </w:p>
        </w:tc>
      </w:tr>
    </w:tbl>
    <w:p>
      <w:pPr>
        <w:pStyle w:val="Heading4"/>
        <w:keepNext/>
        <w:spacing w:after="100" w:before="240"/>
      </w:pPr>
      <w:r>
        <w:rPr>
          <w:rFonts w:ascii="Arial" w:cs="Arial" w:eastAsia="Arial" w:hAnsi="Arial"/>
          <w:b/>
          <w:bCs/>
          <w:caps/>
          <w:color w:val="5A5A5A"/>
          <w:sz w:val="21"/>
          <w:szCs w:val="21"/>
        </w:rPr>
        <w:t xml:space="preserve">Controlli e mitigazioni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Egress limitato alla rete di gestione.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password amministrativa del controller non è in banca dati: un’intercettazione non dà accesso persistente alla configurazione dell’applicazione.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Gli errori TLS sono classificati e non più confusi con problemi di rete: un cambio di stato del certificato è diagnosticabile.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flag è per ambiente.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Prerequisito per chiudere la deviazione: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pinning per sede (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WLC_TLS_CA_&lt;CODICE&gt;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con il certificato di ciascun controller) oppure certificati emessi da una CA aziendale installati sui cinque controller. Il pinning mantiene la verifica attiva e rileva l’interposizione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senza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toccare i controller, ed è la via meno costosa.</w:t>
      </w:r>
    </w:p>
    <w:p>
      <w:pPr>
        <w:pStyle w:val="Heading2"/>
        <w:keepNext/>
        <w:spacing w:after="130" w:before="340"/>
      </w:pPr>
      <w:r>
        <w:rPr>
          <w:rFonts w:ascii="Arial" w:cs="Arial" w:eastAsia="Arial" w:hAnsi="Arial"/>
          <w:b/>
          <w:bCs/>
          <w:color w:val="DC3230"/>
          <w:sz w:val="27"/>
          <w:szCs w:val="27"/>
        </w:rPr>
        <w:t xml:space="preserve">10.4  </w:t>
      </w:r>
      <w:r>
        <w:rPr>
          <w:rFonts w:ascii="Arial" w:cs="Arial" w:eastAsia="Arial" w:hAnsi="Arial"/>
          <w:b/>
          <w:bCs/>
          <w:caps w:val="false"/>
          <w:color w:val="0A5D65"/>
          <w:sz w:val="27"/>
          <w:szCs w:val="27"/>
        </w:rPr>
        <w:t xml:space="preserve">D4 — Password dei controller leggibile e modificabile via HTTP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1735"/>
        <w:gridCol w:w="7903"/>
      </w:tblGrid>
      <w:tr>
        <w:trPr>
          <w:tblHeader/>
        </w:trP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Campo</w:t>
            </w:r>
          </w:p>
        </w:tc>
        <w:tc>
          <w:tcPr>
            <w:tcW w:type="dxa" w:w="790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Contenuto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Che cosa</w:t>
            </w:r>
          </w:p>
        </w:tc>
        <w:tc>
          <w:tcPr>
            <w:tcW w:type="dxa" w:w="790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Dal pannello un amministratore può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vedere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la password del controller di una sede (letta live da Key Vault),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sostituirla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creando una nuova versione del segreto, e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ricaricare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in memoria tutte le password senza riavviare.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Perché</w:t>
            </w:r>
          </w:p>
        </w:tc>
        <w:tc>
          <w:tcPr>
            <w:tcW w:type="dxa" w:w="790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Richiesta operativa: la rotazione della password di un controller non deve dipendere da un ticket al team di piattaforma e da una nuova revisione dell’applicazione, e una sede nuova deve poter essere messa in servizio dal solo pannello.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Deviazione</w:t>
            </w:r>
          </w:p>
        </w:tc>
        <w:tc>
          <w:tcPr>
            <w:tcW w:type="dxa" w:w="790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Ribalta, per questo unico valore, la regola «nessun segreto attraversa la API». Una sessione amministrativa compromessa può leggere la password amministrativa di ogni controller e sostituirla nel vault, negando il servizio sulla sede finché non viene ripristinata. Il backend passa da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Secrets User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 a </w:t>
            </w:r>
            <w:r>
              <w:rPr>
                <w:rFonts w:ascii="Arial" w:cs="Arial" w:eastAsia="Arial" w:hAnsi="Arial"/>
                <w:b/>
                <w:bCs/>
                <w:color w:val="212121"/>
                <w:sz w:val="18"/>
                <w:szCs w:val="18"/>
              </w:rPr>
              <w:t xml:space="preserve">Secrets Officer</w:t>
            </w: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173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Rischio residuo</w:t>
            </w:r>
          </w:p>
        </w:tc>
        <w:tc>
          <w:tcPr>
            <w:tcW w:type="dxa" w:w="7903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8"/>
                <w:szCs w:val="18"/>
              </w:rPr>
              <w:t xml:space="preserve">La password del controller diventa raggiungibile da chi controlla una sessione amministrativa, non più soltanto da chi ha accesso a Key Vault.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13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Deviazione D4.</w:t>
      </w:r>
    </w:p>
    <w:p>
      <w:pPr>
        <w:pStyle w:val="Heading4"/>
        <w:keepNext/>
        <w:spacing w:after="100" w:before="240"/>
      </w:pPr>
      <w:r>
        <w:rPr>
          <w:rFonts w:ascii="Arial" w:cs="Arial" w:eastAsia="Arial" w:hAnsi="Arial"/>
          <w:b/>
          <w:bCs/>
          <w:caps/>
          <w:color w:val="5A5A5A"/>
          <w:sz w:val="21"/>
          <w:szCs w:val="21"/>
        </w:rPr>
        <w:t xml:space="preserve">Controlli e mitigazioni — nel codice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Solo ruolo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admin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l’intero router amministrativo è dietro la guardia, e l’autorizzazione è risolta a ogni richiesta.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Ogni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lettura 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ogni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scrittura sono tracciate a livello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warn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con attore, sede e identificativo di correlazione, più una riga nello storico visibile in console. Una lettura è sensibile quanto una scrittura, e viene trattata così.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Lettura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su richiesta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una sede alla volta: la password non fa parte del record di sede né di alcun elenco. Risposta con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Cache-Control: no-store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; nel pannello il valore viene tolto dallo stato quando si nasconde e comunque dopo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30 secondi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Una scrittura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non restituisce mai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il valore, e il valore non compare in alcun log.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password è validata come ogni credenziale destinata a IOS-XE: ASCII stampabile, nessun a capo. Sono rifiutati gli spazi iniziali e finali, che il validatore rimuoverebbe in silenzio salvando un valore diverso da quello impostato sul controller — un disallineamento che emergerebbe solo più tardi, come collegamento fallito.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Key Vault resta l’unico archivio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: nulla va in banca dati. La copia in memoria è per processo e si ricostruisce all’avvio.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Un errore di Key Vault non spegne una sede funzionante: la ricarica conserva il valore precedente per le sedi non leggibili, e l’avvio non fallisce.</w:t>
      </w:r>
    </w:p>
    <w:p>
      <w:pPr>
        <w:pStyle w:val="Heading4"/>
        <w:keepNext/>
        <w:spacing w:after="100" w:before="240"/>
      </w:pPr>
      <w:r>
        <w:rPr>
          <w:rFonts w:ascii="Arial" w:cs="Arial" w:eastAsia="Arial" w:hAnsi="Arial"/>
          <w:b/>
          <w:bCs/>
          <w:caps/>
          <w:color w:val="5A5A5A"/>
          <w:sz w:val="21"/>
          <w:szCs w:val="21"/>
        </w:rPr>
        <w:t xml:space="preserve">Limiti noti, a verbale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Il ruolo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Key Vault Secrets Officer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va concesso al backend. Per contenere l’impatto va assegnato con ambito sui singoli segreti </w:t>
      </w:r>
      <w:r>
        <w:rPr>
          <w:rFonts w:ascii="Consolas" w:cs="Consolas" w:eastAsia="Consolas" w:hAnsi="Consolas"/>
          <w:b w:val="false"/>
          <w:bCs w:val="false"/>
          <w:color w:val="0A5D65"/>
          <w:sz w:val="19"/>
          <w:szCs w:val="19"/>
        </w:rPr>
        <w:t xml:space="preserve">WLC-PASSWORD-*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, non sull’intero vault.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La copia in memoria è per replica: con più repliche una modifica fatta dal pannello raggiunge le altre al riavvio o alla ricarica successiva. Oggi il backend gira con una sola replica.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Resta invariata l’esposizione del canale verso il controller descritta in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D2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D3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.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L’applicazione non tocca il controller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Salvare una password qui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non la cambia sull’apparato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. La sequenza corretta è: cambiarla prima sul controller, poi registrarla nel pannello. Invertire l’ordine mette fuori servizio la sede fino alla correzione.</w:t>
            </w:r>
          </w:p>
        </w:tc>
      </w:tr>
    </w:tbl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11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Stato di conformità</w:t>
      </w:r>
    </w:p>
    <w:p>
      <w:pPr>
        <w:spacing w:after="140" w:line="288"/>
      </w:pPr>
      <w:r>
        <w:rPr>
          <w:rFonts w:ascii="Arial" w:cs="Arial" w:eastAsia="Arial" w:hAnsi="Arial"/>
          <w:color w:val="212121"/>
          <w:sz w:val="21"/>
          <w:szCs w:val="21"/>
        </w:rPr>
        <w:t xml:space="preserve">Valutazione sulla checklist §13 della baseline di piattaforma.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578"/>
        <w:gridCol w:w="3855"/>
        <w:gridCol w:w="1349"/>
        <w:gridCol w:w="3856"/>
      </w:tblGrid>
      <w:tr>
        <w:trPr>
          <w:tblHeader/>
        </w:trPr>
        <w:tc>
          <w:tcPr>
            <w:tcW w:type="dxa" w:w="5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6"/>
                <w:szCs w:val="16"/>
              </w:rPr>
              <w:t xml:space="preserve">#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6"/>
                <w:szCs w:val="16"/>
              </w:rPr>
              <w:t xml:space="preserve">Requisito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6"/>
                <w:szCs w:val="16"/>
              </w:rPr>
              <w:t xml:space="preserve">Stato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6"/>
                <w:szCs w:val="16"/>
              </w:rPr>
              <w:t xml:space="preserve">Nota</w:t>
            </w:r>
          </w:p>
        </w:tc>
      </w:tr>
      <w:tr>
        <w:tc>
          <w:tcPr>
            <w:tcW w:type="dxa" w:w="5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1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Due immagini / Dockerfile indipendenti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Conforme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Stateless, non-root, multi-stage.</w:t>
            </w:r>
          </w:p>
        </w:tc>
      </w:tr>
      <w:tr>
        <w:tc>
          <w:tcPr>
            <w:tcW w:type="dxa" w:w="5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2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README 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.gitignore</w:t>
            </w: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; nessun segreto nel repository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Conforme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Documentazione a più livelli; segreti rimossi.</w:t>
            </w:r>
          </w:p>
        </w:tc>
      </w:tr>
      <w:tr>
        <w:tc>
          <w:tcPr>
            <w:tcW w:type="dxa" w:w="5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3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Configurazione da ambiente; segreti solo da Key Vault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Conforme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Password del controller per sede, lette dal vault via SDK con ripiego sull’ambiente, mai in banca dati; visibili e modificabili solo da un amministratore, con audit (D4). Resta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sms_config.api_key</w:t>
            </w: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, campo vuoto e funzione nascosta.</w:t>
            </w:r>
          </w:p>
        </w:tc>
      </w:tr>
      <w:tr>
        <w:tc>
          <w:tcPr>
            <w:tcW w:type="dxa" w:w="5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4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API sotto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/api</w:t>
            </w: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, stessa origine, nessun CORS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Conforme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CORS rimosso.</w:t>
            </w:r>
          </w:p>
        </w:tc>
      </w:tr>
      <w:tr>
        <w:tc>
          <w:tcPr>
            <w:tcW w:type="dxa" w:w="5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5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Chiamate frontend→backend lato server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Non applicabile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Nessun rendering lato server.</w:t>
            </w:r>
          </w:p>
        </w:tc>
      </w:tr>
      <w:tr>
        <w:tc>
          <w:tcPr>
            <w:tcW w:type="dxa" w:w="5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6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Dietro Application Gateway (URL relativi, intestazioni inoltrate)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Conforme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trust proxy</w:t>
            </w: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; WebSocket sotto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/api/ws</w:t>
            </w: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.</w:t>
            </w:r>
          </w:p>
        </w:tc>
      </w:tr>
      <w:tr>
        <w:tc>
          <w:tcPr>
            <w:tcW w:type="dxa" w:w="5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7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Accesso ad Azure con credenziale gestita e scope esplicito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Conforme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Database, Key Vault e Microsoft Graph (ricerca referente) con l’identità gestita del backend; posta con client credentials.</w:t>
            </w:r>
          </w:p>
        </w:tc>
      </w:tr>
      <w:tr>
        <w:tc>
          <w:tcPr>
            <w:tcW w:type="dxa" w:w="5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8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SSO Entra SAML 2.0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Conforme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Hardening completo applicato.</w:t>
            </w:r>
          </w:p>
        </w:tc>
      </w:tr>
      <w:tr>
        <w:tc>
          <w:tcPr>
            <w:tcW w:type="dxa" w:w="5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9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Migrazioni idempotenti, nessun superuser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Conforme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Punto d’ingresso da riga di comando funzionante.</w:t>
            </w:r>
          </w:p>
        </w:tc>
      </w:tr>
      <w:tr>
        <w:tc>
          <w:tcPr>
            <w:tcW w:type="dxa" w:w="5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10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Pipeline a stadi, mappatura dei rami, Trivy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Conforme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Cancello Trivy coerente sulle CRITICAL.</w:t>
            </w:r>
          </w:p>
        </w:tc>
      </w:tr>
      <w:tr>
        <w:tc>
          <w:tcPr>
            <w:tcW w:type="dxa" w:w="5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11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Log strutturati, sonde a specifica, arresto controllato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Conforme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Correlazione,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/healthz</w:t>
            </w: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/readyz</w:t>
            </w: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, SIGTERM.</w:t>
            </w:r>
          </w:p>
        </w:tc>
      </w:tr>
      <w:tr>
        <w:tc>
          <w:tcPr>
            <w:tcW w:type="dxa" w:w="5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12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Token Entra per PostgreSQL con rinnovo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Conforme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Scope corretto; token per connessione.</w:t>
            </w:r>
          </w:p>
        </w:tc>
      </w:tr>
      <w:tr>
        <w:tc>
          <w:tcPr>
            <w:tcW w:type="dxa" w:w="5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13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Risorse ai valori predefiniti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Conforme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Allineate.</w:t>
            </w:r>
          </w:p>
        </w:tc>
      </w:tr>
      <w:tr>
        <w:tc>
          <w:tcPr>
            <w:tcW w:type="dxa" w:w="5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14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Nessun autoscaling, multi-revisione o ingress pubblico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Parziale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Da completare l’allineamento del provisioning al modello consume-only.</w:t>
            </w:r>
          </w:p>
        </w:tc>
      </w:tr>
      <w:tr>
        <w:tc>
          <w:tcPr>
            <w:tcW w:type="dxa" w:w="5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15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Nessun artefatto locale a runtime; test senza infrastruttura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Conforme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765 test unitari, 31 casi end-to-end (conteggio statico).</w:t>
            </w:r>
          </w:p>
        </w:tc>
      </w:tr>
      <w:tr>
        <w:tc>
          <w:tcPr>
            <w:tcW w:type="dxa" w:w="5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16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Verifica post-deploy identica sui tre rami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Non applicabile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Verifiche eseguite manualmente in questa fase.</w:t>
            </w:r>
          </w:p>
        </w:tc>
      </w:tr>
      <w:tr>
        <w:tc>
          <w:tcPr>
            <w:tcW w:type="dxa" w:w="5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17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Dati di riferimento idempotenti, solo in sviluppo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Conforme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SEED_ENABLED</w:t>
            </w: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 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4"/>
                <w:szCs w:val="14"/>
              </w:rPr>
              <w:t xml:space="preserve">false</w:t>
            </w: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 in produzione.</w:t>
            </w:r>
          </w:p>
        </w:tc>
      </w:tr>
      <w:tr>
        <w:tc>
          <w:tcPr>
            <w:tcW w:type="dxa" w:w="57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18</w:t>
            </w:r>
          </w:p>
        </w:tc>
        <w:tc>
          <w:tcPr>
            <w:tcW w:type="dxa" w:w="3855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Punti aperti elencati</w:t>
            </w:r>
          </w:p>
        </w:tc>
        <w:tc>
          <w:tcPr>
            <w:tcW w:type="dxa" w:w="1349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Parziale</w:t>
            </w:r>
          </w:p>
        </w:tc>
        <w:tc>
          <w:tcPr>
            <w:tcW w:type="dxa" w:w="385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6"/>
                <w:szCs w:val="16"/>
              </w:rPr>
              <w:t xml:space="preserve">La pipeline non modifica più l’Application Gateway.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14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Stato di conformità sulla checklist §13.</w:t>
      </w:r>
    </w:p>
    <w:p>
      <w:pPr>
        <w:spacing w:after="140" w:line="288"/>
      </w:pPr>
      <w:r>
        <w:rPr>
          <w:rFonts w:ascii="Arial" w:cs="Arial" w:eastAsia="Arial" w:hAnsi="Arial"/>
          <w:b/>
          <w:bCs/>
          <w:color w:val="212121"/>
          <w:sz w:val="21"/>
          <w:szCs w:val="21"/>
        </w:rPr>
        <w:t xml:space="preserve">Sintesi:</w:t>
      </w:r>
      <w:r>
        <w:rPr>
          <w:rFonts w:ascii="Arial" w:cs="Arial" w:eastAsia="Arial" w:hAnsi="Arial"/>
          <w:color w:val="212121"/>
          <w:sz w:val="21"/>
          <w:szCs w:val="21"/>
        </w:rPr>
        <w:t xml:space="preserve"> 13 conformi, 2 parziali, 1 parziale sui default TLS (deviazioni D2 e D3), 2 non applicabili. La deviazione D4 non altera lo stato della checklist: il requisito 3 chiede che i segreti stiano in Key Vault, e continuano a starci.</w:t>
      </w:r>
    </w:p>
    <w:p>
      <w:pPr>
        <w:pStyle w:val="Heading1"/>
        <w:keepNext/>
        <w:pageBreakBefore/>
        <w:pBdr>
          <w:bottom w:val="single" w:color="04C1C8" w:sz="12" w:space="8"/>
        </w:pBdr>
        <w:spacing w:after="220" w:before="0"/>
      </w:pPr>
      <w:r>
        <w:rPr>
          <w:rFonts w:ascii="Arial" w:cs="Arial" w:eastAsia="Arial" w:hAnsi="Arial"/>
          <w:b/>
          <w:bCs/>
          <w:color w:val="DC3230"/>
          <w:sz w:val="34"/>
          <w:szCs w:val="34"/>
        </w:rPr>
        <w:t xml:space="preserve">12  </w:t>
      </w:r>
      <w:r>
        <w:rPr>
          <w:rFonts w:ascii="Arial" w:cs="Arial" w:eastAsia="Arial" w:hAnsi="Arial"/>
          <w:b/>
          <w:bCs/>
          <w:caps w:val="false"/>
          <w:color w:val="212121"/>
          <w:sz w:val="34"/>
          <w:szCs w:val="34"/>
        </w:rPr>
        <w:t xml:space="preserve">Backlog di remediation</w:t>
      </w:r>
    </w:p>
    <w:tbl>
      <w:tblPr>
        <w:tblW w:type="dxa" w:w="9638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auto" w:sz="4"/>
          <w:insideV w:val="single" w:color="auto" w:sz="4"/>
        </w:tblBorders>
      </w:tblPr>
      <w:tblGrid>
        <w:gridCol w:w="1060"/>
        <w:gridCol w:w="5397"/>
        <w:gridCol w:w="867"/>
        <w:gridCol w:w="2314"/>
      </w:tblGrid>
      <w:tr>
        <w:trPr>
          <w:tblHeader/>
        </w:trPr>
        <w:tc>
          <w:tcPr>
            <w:tcW w:type="dxa" w:w="10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Priorità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Azione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Rif.</w:t>
            </w:r>
          </w:p>
        </w:tc>
        <w:tc>
          <w:tcPr>
            <w:tcW w:type="dxa" w:w="231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4C1C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Tipo</w:t>
            </w:r>
          </w:p>
        </w:tc>
      </w:tr>
      <w:tr>
        <w:tc>
          <w:tcPr>
            <w:tcW w:type="dxa" w:w="10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P0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Convertire la pipeline e lo script di preflight alla sintassi dei segreti di Container Apps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keyvaultref: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secretref: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). Finché non è fatto, un deploy dalla pipeline rompe di nuovo l’SSO e riporta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SESSION_SECRET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a un valore pubblico.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7.1</w:t>
            </w:r>
          </w:p>
        </w:tc>
        <w:tc>
          <w:tcPr>
            <w:tcW w:type="dxa" w:w="231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Codice (pipeline)</w:t>
            </w:r>
          </w:p>
        </w:tc>
      </w:tr>
      <w:tr>
        <w:tc>
          <w:tcPr>
            <w:tcW w:type="dxa" w:w="10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P0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Creare il principal Entra su PostgreSQL mappato all’identità gestita del backend.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3.3</w:t>
            </w:r>
          </w:p>
        </w:tc>
        <w:tc>
          <w:tcPr>
            <w:tcW w:type="dxa" w:w="231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Infrastruttura, una tantum</w:t>
            </w:r>
          </w:p>
        </w:tc>
      </w:tr>
      <w:tr>
        <w:tc>
          <w:tcPr>
            <w:tcW w:type="dxa" w:w="10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P1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Chiave host SSH per sede più raccolta delle cinque impronte — prerequisito per chiudere D2.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D2</w:t>
            </w:r>
          </w:p>
        </w:tc>
        <w:tc>
          <w:tcPr>
            <w:tcW w:type="dxa" w:w="231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Codice + infrastruttura</w:t>
            </w:r>
          </w:p>
        </w:tc>
      </w:tr>
      <w:tr>
        <w:tc>
          <w:tcPr>
            <w:tcW w:type="dxa" w:w="10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P1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Pinning TLS per sede — mantiene la verifica attiva e rileva l’interposizione senza toccare i controller; prerequisito per chiudere D3.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D3</w:t>
            </w:r>
          </w:p>
        </w:tc>
        <w:tc>
          <w:tcPr>
            <w:tcW w:type="dxa" w:w="231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Codice + infrastruttura</w:t>
            </w:r>
          </w:p>
        </w:tc>
      </w:tr>
      <w:tr>
        <w:tc>
          <w:tcPr>
            <w:tcW w:type="dxa" w:w="10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P1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Completare l’adozione delle risorse di piattaforma e l’allineamento di nomi e hostname.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4</w:t>
            </w:r>
          </w:p>
        </w:tc>
        <w:tc>
          <w:tcPr>
            <w:tcW w:type="dxa" w:w="231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Architetturale</w:t>
            </w:r>
          </w:p>
        </w:tc>
      </w:tr>
      <w:tr>
        <w:tc>
          <w:tcPr>
            <w:tcW w:type="dxa" w:w="10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P1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Assegnare all’identità del backend il ruolo </w:t>
            </w:r>
            <w:r>
              <w:rPr>
                <w:rFonts w:ascii="Arial" w:cs="Arial" w:eastAsia="Arial" w:hAnsi="Arial"/>
                <w:b/>
                <w:bCs/>
                <w:color w:val="212121"/>
                <w:sz w:val="17"/>
                <w:szCs w:val="17"/>
              </w:rPr>
              <w:t xml:space="preserve">Key Vault Secrets Officer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con ambito sui soli segreti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WLC-PASSWORD-*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, e il permesso Graph </w:t>
            </w:r>
            <w:r>
              <w:rPr>
                <w:rFonts w:ascii="Consolas" w:cs="Consolas" w:eastAsia="Consolas" w:hAnsi="Consolas"/>
                <w:b/>
                <w:bCs/>
                <w:color w:val="0A5D65"/>
                <w:sz w:val="15"/>
                <w:szCs w:val="15"/>
              </w:rPr>
              <w:t xml:space="preserve">User.Read.All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 con consenso amministratore.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D4</w:t>
            </w:r>
          </w:p>
        </w:tc>
        <w:tc>
          <w:tcPr>
            <w:tcW w:type="dxa" w:w="231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Infrastruttura</w:t>
            </w:r>
          </w:p>
        </w:tc>
      </w:tr>
      <w:tr>
        <w:tc>
          <w:tcPr>
            <w:tcW w:type="dxa" w:w="10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P2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Rivedere la copia in memoria delle password prima di passare a più di una replica.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D4</w:t>
            </w:r>
          </w:p>
        </w:tc>
        <w:tc>
          <w:tcPr>
            <w:tcW w:type="dxa" w:w="231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Codice</w:t>
            </w:r>
          </w:p>
        </w:tc>
      </w:tr>
      <w:tr>
        <w:tc>
          <w:tcPr>
            <w:tcW w:type="dxa" w:w="10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P2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Definire una ritenzione per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5D65"/>
                <w:sz w:val="15"/>
                <w:szCs w:val="15"/>
              </w:rPr>
              <w:t xml:space="preserve">sync_logs</w:t>
            </w: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.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—</w:t>
            </w:r>
          </w:p>
        </w:tc>
        <w:tc>
          <w:tcPr>
            <w:tcW w:type="dxa" w:w="231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0F0F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Operativo</w:t>
            </w:r>
          </w:p>
        </w:tc>
      </w:tr>
      <w:tr>
        <w:tc>
          <w:tcPr>
            <w:tcW w:type="dxa" w:w="10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P2</w:t>
            </w:r>
          </w:p>
        </w:tc>
        <w:tc>
          <w:tcPr>
            <w:tcW w:type="dxa" w:w="539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Attivare o rimuovere il canale SMS: allo stato attuale è superficie inutilizzata con un segreto in banca dati.</w:t>
            </w:r>
          </w:p>
        </w:tc>
        <w:tc>
          <w:tcPr>
            <w:tcW w:type="dxa" w:w="867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—</w:t>
            </w:r>
          </w:p>
        </w:tc>
        <w:tc>
          <w:tcPr>
            <w:tcW w:type="dxa" w:w="2314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212121"/>
                <w:sz w:val="17"/>
                <w:szCs w:val="17"/>
              </w:rPr>
              <w:t xml:space="preserve">Codice</w:t>
            </w:r>
          </w:p>
        </w:tc>
      </w:tr>
    </w:tbl>
    <w:p>
      <w:pPr>
        <w:spacing w:after="240" w:before="80"/>
      </w:pPr>
      <w:r>
        <w:rPr>
          <w:rFonts w:ascii="Arial" w:cs="Arial" w:eastAsia="Arial" w:hAnsi="Arial"/>
          <w:b/>
          <w:bCs/>
          <w:color w:val="0A5D65"/>
          <w:sz w:val="17"/>
          <w:szCs w:val="17"/>
        </w:rPr>
        <w:t xml:space="preserve">Tabella 15 — </w:t>
      </w:r>
      <w:r>
        <w:rPr>
          <w:rFonts w:ascii="Arial" w:cs="Arial" w:eastAsia="Arial" w:hAnsi="Arial"/>
          <w:i/>
          <w:iCs/>
          <w:color w:val="5A5A5A"/>
          <w:sz w:val="17"/>
          <w:szCs w:val="17"/>
        </w:rPr>
        <w:t xml:space="preserve">Backlog di remediation aperto.</w:t>
      </w:r>
    </w:p>
    <w:tbl>
      <w:tblPr>
        <w:tblW w:type="dxa" w:w="9638"/>
        <w:tblBorders>
          <w:top w:val="none"/>
          <w:left w:val="single" w:color="DC3230" w:sz="18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EE2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DC3230"/>
                <w:sz w:val="20"/>
                <w:szCs w:val="20"/>
              </w:rPr>
              <w:t xml:space="preserve">L’elemento più urgente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conversione della sintassi dei riferimenti a Key Vault nella pipeline è l’unico punto in cui un’azione di routine — un deploy — può </w:t>
            </w:r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reintrodurre</w:t>
            </w: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 un difetto già corretto a mano. Va affrontato con attenzione: referenziare un segreto inesistente fa fallire la revisione, quindi le variabili opzionali vanno gestite in modo condizionale.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91" w:right="1134" w:bottom="1134" w:left="1134" w:header="624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6"/>
      </w:pBdr>
      <w:tabs>
        <w:tab w:val="right" w:pos="9638"/>
      </w:tabs>
    </w:pPr>
    <w:r>
      <w:rPr>
        <w:rFonts w:ascii="Arial" w:cs="Arial" w:eastAsia="Arial" w:hAnsi="Arial"/>
        <w:color w:val="5A5A5A"/>
        <w:sz w:val="15"/>
        <w:szCs w:val="15"/>
      </w:rPr>
      <w:t xml:space="preserve">Dompé  |  Guest Portal — Cisco Catalyst 9800 Guest Management Desk  ·  Uso interno</w:t>
    </w:r>
    <w:r>
      <w:tab/>
    </w:r>
    <w:r>
      <w:rPr>
        <w:rFonts w:ascii="Arial" w:cs="Arial" w:eastAsia="Arial" w:hAnsi="Arial"/>
        <w:color w:val="5A5A5A"/>
        <w:sz w:val="15"/>
        <w:szCs w:val="15"/>
      </w:rPr>
      <w:t xml:space="preserve">Pag. </w:t>
    </w:r>
    <w:r>
      <w:rPr>
        <w:rFonts w:ascii="Arial" w:cs="Arial" w:eastAsia="Arial" w:hAnsi="Arial"/>
        <w:color w:val="5A5A5A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A5A5A"/>
        <w:sz w:val="15"/>
        <w:szCs w:val="15"/>
      </w:rPr>
      <w:t xml:space="preserve"> di </w:t>
    </w:r>
    <w:r>
      <w:rPr>
        <w:rFonts w:ascii="Arial" w:cs="Arial" w:eastAsia="Arial" w:hAnsi="Arial"/>
        <w:color w:val="5A5A5A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  <w:tabs>
        <w:tab w:val="right" w:pos="9638"/>
      </w:tabs>
      <w:spacing w:after="60"/>
    </w:pPr>
    <w:r>
      <w:rPr>
        <w:rFonts w:ascii="Arial" w:cs="Arial" w:eastAsia="Arial" w:hAnsi="Arial"/>
        <w:color w:val="5A5A5A"/>
        <w:spacing w:val="20"/>
        <w:sz w:val="16"/>
        <w:szCs w:val="16"/>
      </w:rPr>
      <w:t xml:space="preserve">SEC  |  Sicurezza e conformità</w:t>
    </w:r>
    <w:r>
      <w:tab/>
    </w:r>
    <w:r>
      <w:drawing>
        <wp:inline distT="0" distB="0" distL="0" distR="0">
          <wp:extent cx="904875" cy="3524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4875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40" w:hanging="200"/>
      </w:pPr>
      <w:rPr>
        <w:rFonts w:ascii="Arial" w:cs="Arial" w:eastAsia="Arial" w:hAnsi="Arial"/>
        <w:color w:val="DC3230"/>
        <w:sz w:val="14"/>
        <w:szCs w:val="14"/>
      </w:rPr>
    </w:lvl>
    <w:lvl w:ilvl="1" w15:tentative="1">
      <w:start w:val="1"/>
      <w:numFmt w:val="bullet"/>
      <w:lvlText w:val="–"/>
      <w:lvlJc w:val="left"/>
      <w:pPr>
        <w:ind w:left="700" w:hanging="200"/>
      </w:pPr>
      <w:rPr>
        <w:rFonts w:ascii="Arial" w:cs="Arial" w:eastAsia="Arial" w:hAnsi="Arial"/>
        <w:color w:val="0A5D65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  <w:rPr>
        <w:rFonts w:ascii="Arial" w:cs="Arial" w:eastAsia="Arial" w:hAnsi="Arial"/>
        <w:b/>
        <w:bCs/>
        <w:color w:val="DC3230"/>
      </w:rPr>
    </w:lvl>
    <w:lvl w:ilvl="1" w15:tentative="1">
      <w:start w:val="1"/>
      <w:numFmt w:val="lowerLetter"/>
      <w:lvlText w:val="%2."/>
      <w:lvlJc w:val="left"/>
      <w:pPr>
        <w:ind w:left="760" w:hanging="260"/>
      </w:pPr>
      <w:rPr>
        <w:rFonts w:ascii="Arial" w:cs="Arial" w:eastAsia="Arial" w:hAnsi="Arial"/>
        <w:b/>
        <w:bCs/>
        <w:color w:val="0A5D6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212121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0A5D65"/>
      <w:sz w:val="27"/>
      <w:szCs w:val="27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212121"/>
      <w:sz w:val="23"/>
      <w:szCs w:val="23"/>
    </w:rPr>
  </w:style>
  <w:style w:type="paragraph" w:styleId="Heading4">
    <w:name w:val="Heading 4"/>
    <w:basedOn w:val="Normal"/>
    <w:next w:val="Normal"/>
    <w:qFormat/>
    <w:rPr>
      <w:rFonts w:ascii="Arial" w:cs="Arial" w:eastAsia="Arial" w:hAnsi="Arial"/>
      <w:b/>
      <w:bCs/>
      <w:color w:val="5A5A5A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40" w:line="288"/>
    </w:pPr>
    <w:rPr>
      <w:rFonts w:ascii="Arial" w:cs="Arial" w:eastAsia="Arial" w:hAnsi="Arial"/>
      <w:color w:val="212121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90fc41f7af4182ec7938f768dc9bece76862e869.png"/><Relationship Id="rId12" Type="http://schemas.openxmlformats.org/officeDocument/2006/relationships/image" Target="media/a2f8ef2bc11a8854b6d5a67ca0be3f290148f9e8.png"/><Relationship Id="rId13" Type="http://schemas.openxmlformats.org/officeDocument/2006/relationships/image" Target="media/dd204670f10acdccba850f864aab76937555e855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0fc41f7af4182ec7938f768dc9bece76862e869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 — Sicurezza e conformità</dc:title>
  <dc:creator>Dompé farmaceutici S.p.A.</dc:creator>
  <dc:description>Modello di sicurezza, controlli implementati, deviazioni consapevoli e stato di conformità</dc:description>
  <cp:lastModifiedBy>Un-named</cp:lastModifiedBy>
  <cp:revision>1</cp:revision>
  <dcterms:created xsi:type="dcterms:W3CDTF">2026-09-25T10:19:38.565Z</dcterms:created>
  <dcterms:modified xsi:type="dcterms:W3CDTF">2026-09-25T10:19:38.567Z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