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/>
      </w:pPr>
      <w:r>
        <w:drawing>
          <wp:inline distT="0" distB="0" distL="0" distR="0">
            <wp:extent cx="19812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04C1C8" w:color="auto" w:val="clear"/>
            <w:tcMar>
              <w:top w:type="dxa" w:w="520"/>
              <w:left w:type="dxa" w:w="340"/>
              <w:bottom w:type="dxa" w:w="520"/>
              <w:right w:type="dxa" w:w="340"/>
            </w:tcMar>
          </w:tcPr>
          <w:p>
            <w:pPr>
              <w:spacing w:after="220"/>
            </w:pPr>
            <w:r>
              <w:rPr>
                <w:rFonts w:ascii="Arial" w:cs="Arial" w:eastAsia="Arial" w:hAnsi="Arial"/>
                <w:b/>
                <w:bCs/>
                <w:color w:val="212121"/>
                <w:spacing w:val="60"/>
                <w:sz w:val="17"/>
                <w:szCs w:val="17"/>
              </w:rPr>
              <w:t xml:space="preserve">DOCUMENTAZIONE TECNICA</w:t>
            </w:r>
          </w:p>
          <w:p>
            <w:pPr>
              <w:spacing w:after="140" w:line="420"/>
            </w:pPr>
            <w:r>
              <w:rPr>
                <w:rFonts w:ascii="Arial" w:cs="Arial" w:eastAsia="Arial" w:hAnsi="Arial"/>
                <w:b/>
                <w:bCs/>
                <w:color w:val="212121"/>
                <w:sz w:val="56"/>
                <w:szCs w:val="56"/>
              </w:rPr>
              <w:t xml:space="preserve">Runbook operativo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2121"/>
                <w:sz w:val="24"/>
                <w:szCs w:val="24"/>
              </w:rPr>
              <w:t xml:space="preserve">Prerequisiti di piattaforma, deploy, configurazione, manutenzione, diagnosi e rollback</w:t>
            </w:r>
          </w:p>
        </w:tc>
      </w:tr>
    </w:tbl>
    <w:p>
      <w:pPr>
        <w:spacing w:after="360" w:before="160"/>
      </w:pPr>
      <w:r>
        <w:rPr>
          <w:rFonts w:ascii="Arial" w:cs="Arial" w:eastAsia="Arial" w:hAnsi="Arial"/>
          <w:color w:val="DC3230"/>
          <w:sz w:val="26"/>
          <w:szCs w:val="26"/>
        </w:rPr>
        <w:t xml:space="preserve">●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Campo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Valore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Applicativo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Guest Portal — Cisco Catalyst 9800 Guest Management Desk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Indirizzo (produzione)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https://guestportal.dompe.com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Documento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OPS — Runbook operativo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Versione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1.1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Data di emissione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25 settembre 2026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Stato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Emesso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IT Infrastructure, Cloud Operations, Service Desk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Classificazione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Uso interno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Repository di riferimento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github.com/ACF-Dompe/Centralino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Revisione del codice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main · b6affcd</w:t>
            </w:r>
          </w:p>
        </w:tc>
      </w:tr>
    </w:tbl>
    <w:p>
      <w:r>
        <w:br w:type="page"/>
      </w:r>
    </w:p>
    <w:p>
      <w:pPr>
        <w:pBdr>
          <w:bottom w:val="single" w:color="04C1C8" w:sz="12" w:space="8"/>
        </w:pBdr>
        <w:spacing w:after="240"/>
      </w:pPr>
      <w:r>
        <w:rPr>
          <w:rFonts w:ascii="Arial" w:cs="Arial" w:eastAsia="Arial" w:hAnsi="Arial"/>
          <w:b/>
          <w:bCs/>
          <w:color w:val="212121"/>
          <w:sz w:val="34"/>
          <w:szCs w:val="34"/>
        </w:rP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Scopo e ambito</w:t>
      </w:r>
    </w:p>
    <w:p>
      <w:pPr>
        <w:pBdr>
          <w:left w:val="single" w:color="04C1C8" w:sz="18" w:space="12"/>
        </w:pBdr>
        <w:spacing w:after="240" w:line="300"/>
        <w:ind w:left="170"/>
      </w:pPr>
      <w:r>
        <w:rPr>
          <w:rFonts w:ascii="Arial" w:cs="Arial" w:eastAsia="Arial" w:hAnsi="Arial"/>
          <w:color w:val="5A5A5A"/>
          <w:sz w:val="23"/>
          <w:szCs w:val="23"/>
        </w:rPr>
        <w:t xml:space="preserve">Questo documento raccoglie ciò che serve per installare, aggiornare, sorvegliare e riparare il Guest Portal. Presuppone che le risorse di piattaforma esistano: l’applicazione le </w:t>
      </w:r>
      <w:r>
        <w:rPr>
          <w:rFonts w:ascii="Arial" w:cs="Arial" w:eastAsia="Arial" w:hAnsi="Arial"/>
          <w:b/>
          <w:bCs/>
          <w:color w:val="5A5A5A"/>
          <w:sz w:val="23"/>
          <w:szCs w:val="23"/>
        </w:rPr>
        <w:t xml:space="preserve">consuma</w:t>
      </w:r>
      <w:r>
        <w:rPr>
          <w:rFonts w:ascii="Arial" w:cs="Arial" w:eastAsia="Arial" w:hAnsi="Arial"/>
          <w:color w:val="5A5A5A"/>
          <w:sz w:val="23"/>
          <w:szCs w:val="23"/>
        </w:rPr>
        <w:t xml:space="preserve">, non le crea.</w:t>
      </w:r>
    </w:p>
    <w:tbl>
      <w:tblPr>
        <w:tblW w:type="dxa" w:w="9638"/>
        <w:tblBorders>
          <w:top w:val="none"/>
          <w:left w:val="single" w:color="04C1C8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D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5D65"/>
                <w:sz w:val="20"/>
                <w:szCs w:val="20"/>
              </w:rPr>
              <w:t xml:space="preserve">Modello consume-only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Resource Group, ambiente Container Apps, le due Container App, le identità gestite, Key Vault, PostgreSQL, Container Registry, Application Gateway e il job di migrazione sono pre-provisionati dal team di piattaforma. La pipeline esegue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soltanto aggiornamenti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scripts/provision.sh &lt;ambiente&gt;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effettua una verifica in sola lettura della presenza delle risorse attese.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Ambienti e nomenclatura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928"/>
        <w:gridCol w:w="1157"/>
        <w:gridCol w:w="3470"/>
        <w:gridCol w:w="3083"/>
      </w:tblGrid>
      <w:tr>
        <w:trPr>
          <w:tblHeader/>
        </w:trP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Ambiente</w:t>
            </w:r>
          </w:p>
        </w:tc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Suffisso</w:t>
            </w:r>
          </w:p>
        </w:tc>
        <w:tc>
          <w:tcPr>
            <w:tcW w:type="dxa" w:w="34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Hostname</w:t>
            </w:r>
          </w:p>
        </w:tc>
        <w:tc>
          <w:tcPr>
            <w:tcW w:type="dxa" w:w="308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Origine del deploy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Sviluppo</w:t>
            </w:r>
          </w:p>
        </w:tc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dev</w:t>
            </w:r>
          </w:p>
        </w:tc>
        <w:tc>
          <w:tcPr>
            <w:tcW w:type="dxa" w:w="34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https://guestportal-dev.dompe.com</w:t>
            </w:r>
          </w:p>
        </w:tc>
        <w:tc>
          <w:tcPr>
            <w:tcW w:type="dxa" w:w="308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Avvio manuale del workflow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Collaudo</w:t>
            </w:r>
          </w:p>
        </w:tc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stg</w:t>
            </w:r>
          </w:p>
        </w:tc>
        <w:tc>
          <w:tcPr>
            <w:tcW w:type="dxa" w:w="34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https://guestportal-stg.dompe.com</w:t>
            </w:r>
          </w:p>
        </w:tc>
        <w:tc>
          <w:tcPr>
            <w:tcW w:type="dxa" w:w="308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Push sul ramo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staging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Produzione</w:t>
            </w:r>
          </w:p>
        </w:tc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prod</w:t>
            </w:r>
          </w:p>
        </w:tc>
        <w:tc>
          <w:tcPr>
            <w:tcW w:type="dxa" w:w="347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https://guestportal.dompe.com</w:t>
            </w:r>
          </w:p>
        </w:tc>
        <w:tc>
          <w:tcPr>
            <w:tcW w:type="dxa" w:w="308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Push sul ramo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main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Ambienti. La produzione, per convenzione della zona aziendale, non ha suffisso nell’hostname.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Nel seguito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&lt;hostname&gt;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sta per l’hostname dell’ambiente su cui si sta lavorando: in produzione è </w:t>
      </w:r>
      <w:r>
        <w:rPr>
          <w:rFonts w:ascii="Consolas" w:cs="Consolas" w:eastAsia="Consolas" w:hAnsi="Consolas"/>
          <w:b/>
          <w:bCs/>
          <w:color w:val="0A5D65"/>
          <w:sz w:val="19"/>
          <w:szCs w:val="19"/>
        </w:rPr>
        <w:t xml:space="preserve">guestportal.dompe.com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Risorsa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Convenzione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Container App backend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ca-guestportal-backend-&lt;amb&gt;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Container App frontend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ca-guestportal-frontend-&lt;amb&gt;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Identità gestita backend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uami-guestportal-backend-&lt;amb&gt;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— AcrPull · Key Vault Secrets User ·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Key Vault Secrets Officer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sui soli segreti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WLC-PASSWORD-*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· permesso Graph </w:t>
            </w:r>
            <w:r>
              <w:rPr>
                <w:rFonts w:ascii="Consolas" w:cs="Consolas" w:eastAsia="Consolas" w:hAnsi="Consolas"/>
                <w:b/>
                <w:bCs/>
                <w:color w:val="0A5D65"/>
                <w:sz w:val="17"/>
                <w:szCs w:val="17"/>
              </w:rPr>
              <w:t xml:space="preserve">User.Read.All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· principal su PostgreSQL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Identità gestita frontend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uami-guestportal-frontend-&lt;amb&gt;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— solo AcrPull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Job di migrazione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job-guestportal-migrate-&lt;amb&gt;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Database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guestportal_&lt;amb&gt;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Immagini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guestportal-backend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guestportal-frontend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, tag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&lt;sha&gt;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e alias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&lt;amb&gt;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2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Convenzioni di denominazione.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Le identità gestite sono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due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una per Container App, per rispettare il principio del minimo privilegio: il frontend non legge segreti e non deve poterlo fare.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2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Prerequisiti di piattaforma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Resource Group, ambiente Container Apps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internal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Key Vault, Container Registry, PostgreSQL Flexible Server, Application Gateway.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Le due identità gestite con i ruoli indicati sopra.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Due assegnazioni sono nuove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servono alle funzioni introdotte nell’ultimo rilascio: Secrets Officer sui segreti delle password, e il permesso Graph per la ricerca del referente.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database e il principal Entra mappato sull’identità del backend (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pgaadauth_create_principal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) con le relative concessioni.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È un passo manuale, non automatizzabile dal codice.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Le due Container App e il job di migrazione, creati con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--ingress external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Egress dalla subnet Container Apps verso la rete di gestione dei controller.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Voce DNS dell’hostname verso l’indirizzo privato dell’Application Gateway.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2.1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Le due assegnazioni da non dimenticare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# Secrets Officer, con ambito sui SOLI segreti delle password dei controller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az role assignment create --assignee "$BACKEND_UAMI_PID" \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--role "Key Vault Secrets Officer" \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--scope "&lt;id del vault&gt;/secrets/WLC-PASSWORD-&lt;CODICE&gt;"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permesso Graph </w:t>
      </w:r>
      <w:r>
        <w:rPr>
          <w:rFonts w:ascii="Consolas" w:cs="Consolas" w:eastAsia="Consolas" w:hAnsi="Consolas"/>
          <w:b/>
          <w:bCs/>
          <w:color w:val="0A5D65"/>
          <w:sz w:val="19"/>
          <w:szCs w:val="19"/>
        </w:rPr>
        <w:t xml:space="preserve">User.Read.All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è un permesso *applicativo* e su una identità gestita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non si assegna dal portale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va concesso via Graph, con consenso amministratore. La procedura puntuale è nella guida di deploy del repository.</w:t>
      </w:r>
    </w:p>
    <w:tbl>
      <w:tblPr>
        <w:tblW w:type="dxa" w:w="9638"/>
        <w:tblBorders>
          <w:top w:val="none"/>
          <w:left w:val="single" w:color="04C1C8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D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5D65"/>
                <w:sz w:val="20"/>
                <w:szCs w:val="20"/>
              </w:rPr>
              <w:t xml:space="preserve">Cosa succede se mancano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Senza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Secrets Officer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la lettura di una password funziona e la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modifica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fallisce con un messaggio che nomina il ruolo mancante. Senza </w:t>
            </w:r>
            <w:r>
              <w:rPr>
                <w:rFonts w:ascii="Consolas" w:cs="Consolas" w:eastAsia="Consolas" w:hAnsi="Consolas"/>
                <w:b/>
                <w:bCs/>
                <w:color w:val="0A5D65"/>
                <w:sz w:val="18"/>
                <w:szCs w:val="18"/>
              </w:rPr>
              <w:t xml:space="preserve">User.Read.All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la ricerca del referente risponde errore e il campo resta un normale campo di testo. In nessuno dei due casi la registrazione degli ospiti si ferma.</w:t>
            </w:r>
          </w:p>
        </w:tc>
      </w:tr>
    </w:tbl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Ingress: usare </w:t>
            </w:r>
            <w:r>
              <w:rPr>
                <w:rFonts w:ascii="Consolas" w:cs="Consolas" w:eastAsia="Consolas" w:hAnsi="Consolas"/>
                <w:b/>
                <w:bCs/>
                <w:color w:val="0A5D65"/>
                <w:sz w:val="18"/>
                <w:szCs w:val="18"/>
              </w:rPr>
              <w:t xml:space="preserve">external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 Container Apps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external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significa «esterno all’ambiente», non «esposto su Internet». Su un ambiente internal, un’app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external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è raggiungibile da tutta la rete virtuale — quindi dall’Application Gateway, che sta fuori dall’ambiente. Un’app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internal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è raggiungibile solo dalle altre app dello stesso ambiente e risponde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404 «Azure Container App - Unavailable»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a ogni richiesta da rete virtuale o gateway. Conseguenza pratica: con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external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il nome di dominio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non contiene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il segmento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.internal.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, e i pool dell’Application Gateway devono usare quel nome.</w:t>
            </w:r>
          </w:p>
        </w:tc>
      </w:tr>
    </w:tbl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3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Configurazione di Entra ID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Applicazione SAML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Registrare l’applicazione (account del solo tenant).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Aggiungere una piattaforma Web con URI di reindirizzamento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https://&lt;hostname&gt;/api/auth/callback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Scaricare i metadati di federazione e ricavarne l’endpoint SSO e il certificato in formato PEM.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Impostare l’Entity ID (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https://&lt;hostname&gt;/saml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), che deve coincidere con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SAML_ISSUER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Impostare l’URL di disconnessione front-channel: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https://&lt;hostname&gt;/api/auth/slo/callback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Impostare il formato del NameID su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persistent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con origine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user.userPrincipalName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Signing Option = «Sign SAML response and assertion»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(vedi nota).</w:t>
      </w:r>
    </w:p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Valori per la produzione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Redirect URI (ACS)      https://guestportal.dompe.com/api/auth/callback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Entity ID (Identifier)  https://guestportal.dompe.com/saml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Front-channel logout    https://guestportal.dompe.com/api/auth/slo/callback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120"/>
        <w:gridCol w:w="2699"/>
        <w:gridCol w:w="1542"/>
        <w:gridCol w:w="3277"/>
      </w:tblGrid>
      <w:tr>
        <w:trPr>
          <w:tblHeader/>
        </w:trP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Claim</w:t>
            </w:r>
          </w:p>
        </w:tc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Attributo di origine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Obbligatorio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emailaddress</w:t>
            </w:r>
          </w:p>
        </w:tc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user.mail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Sì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Visualizzazione e audit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name</w:t>
            </w:r>
          </w:p>
        </w:tc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user.displayName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Sì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Intestazione dell’interfaccia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givenname</w:t>
            </w:r>
          </w:p>
        </w:tc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user.givenName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Sì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Profilo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surname</w:t>
            </w:r>
          </w:p>
        </w:tc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user.surname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Sì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Profilo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objectidentifier</w:t>
            </w:r>
          </w:p>
        </w:tc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user.objectId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Consigliato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Chiave stabile della directory applicativa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upn</w:t>
            </w:r>
          </w:p>
        </w:tc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user.userPrincipalName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Sì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Identificazione e convenzione amministratori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nameID</w:t>
            </w:r>
          </w:p>
        </w:tc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user.userPrincipalName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Sì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Soggetto SAML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3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Mappatura delle claim.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Signing Option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L’impostazione predefinita di Entra («Sign SAML assertion») firma solo l’asserzione, mentre l’applicazione pretende anche la firma della risposta: ogni accesso fallisce con «Invalid document signature». Il rimedio preferito è lato IdP, perché mantiene la copertura della firma sull’intero documento. Dove quell’impostazione non è modificabile, si abbassa il requisito con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SAML_WANT_AUTHN_RESPONSE_SIGNED=false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: le claim restano protette, perché la firma dell’asserzione resta incondizionata.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Applicazione per la posta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Una registrazione applicativa separata con permesso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applicativo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Mail.Send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consenso amministratore concesso, e una casella licenziata come mittente. Servono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MAIL_GRAPH_TENANT_ID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MAIL_GRAPH_CLIENT_ID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MAIL_GRAPH_CLIENT_SECRET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(da Key Vault),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MAIL_GRAPH_USER_ID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MAIL_GRAPH_FROM_ADDRESS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4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Segreti in Key Vault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3277"/>
        <w:gridCol w:w="3277"/>
        <w:gridCol w:w="3084"/>
      </w:tblGrid>
      <w:tr>
        <w:trPr>
          <w:tblHeader/>
        </w:trP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Variabile d’ambiente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Segreto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Obbligatorio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DATABASE_URL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DATABASE-URL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 — senza password: l’autenticazione è a token Entra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SESSION_SECRET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SESSION-SECRET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 — almeno 64 caratteri casuali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SAML_ENTRY_POINT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SAML-ENTRY-POINT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SAML_ISSUER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SAML-ISSUER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SAML_CALLBACK_URL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SAML-CALLBACK-URL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SAML_CERT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SAML-CERT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 — PEM, comprese le righe di delimitazione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WLC_PASSWORD_&lt;CODICE&gt;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WLC-PASSWORD-&lt;CODICE&gt;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Sì —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una per sede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SAML_DECRYPTION_KEY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SAML-DECRYPTION-KEY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Solo con asserzioni cifrate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SAML_LOGOUT_URL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SAML_LOGOUT_CALLBACK_URL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SAML-LOGOUT-URL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SAML-LOGOUT-CALLBACK-URL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Solo con Single Logout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MAIL_GRAPH_CLIENT_SECRET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MAIL-GRAPH-CLIENT-SECRET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Solo con la posta attiva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APPLICATIONINSIGHTS_CONNECTION_STRING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APPINSIGHTS-CONNECTION-STRING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Solo con Application Insights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BREAKGLASS_SEED_PASSWORD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BREAKGLASS-SEED-PASSWORD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Solo al bootstrap —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legare al solo job di migrazione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KEY_VAULT_URL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— (valore in chiaro)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Indirizzo del vault: abilita la lettura diretta delle password e la loro gestione dal pannello. Vuoto = solo variabili d’ambiente</w:t>
            </w:r>
          </w:p>
        </w:tc>
      </w:tr>
      <w:tr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DIRECTORY_SEARCH_ENABLED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DIRECTORY_UPN_DOMAINS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— (valori in chiaro)</w:t>
            </w:r>
          </w:p>
        </w:tc>
        <w:tc>
          <w:tcPr>
            <w:tcW w:type="dxa" w:w="308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Ricerca del referente in Entra ID. Spenta per default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4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Segreti richiesti per ambiente.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az keyvault secret set --vault-name &lt;KV&gt; --name SESSION-SECRET --value "&lt;64+ caratteri casuali&gt;"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az keyvault secret set --vault-name &lt;KV&gt; --name SAML-CERT       --file ./saml-cert.pem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az keyvault secret set --vault-name &lt;KV&gt; --name WLC-PASSWORD-MIL --value "&lt;password admin del controller&gt;"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Collegamento dei segreti alla Container App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Container Apps non capisce la sintassi di App Service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forma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@Microsoft.KeyVault(SecretUri=…)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non viene espansa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da Container Apps: al container arriva il testo letterale. È un difetto già osservato in produzione, con due conseguenze — ogni accesso SSO falliva con «idpCert is not in PEM format»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SESSION_SECRET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conteneva la stringa del riferimento, quindi una chiave di firma dei cookie ricavabile da informazioni pubbliche. La forma corretta usa i segreti della Container App.</w:t>
            </w:r>
          </w:p>
        </w:tc>
      </w:tr>
    </w:tbl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# 1) definire il segreto dell'app come riferimento a Key Vault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az containerapp secret set -n &lt;APP&gt; -g &lt;RG&gt; \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--secrets session-secret=keyvaultref:https://&lt;KV&gt;.vault.azure.net/secrets/SESSION-SECRET,identityref:&lt;UAMI_RESOURCE_ID&gt;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# 2) collegare la variabile d'ambiente al segreto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az containerapp update -n &lt;APP&gt; -g &lt;RG&gt; \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--set-env-vars SESSION_SECRET=secretref:session-secret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# 3) verificare che il segreto risulti presente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az containerapp secret list -n &lt;APP&gt; -g &lt;RG&gt; -o table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L’applicazione valida il certificato SAML all’avvio: un riferimento non risolto viene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rifiutato con un messaggio esplicito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l’SSO viene disabilitato e il processo resta in piedi, così l’accesso di emergenza rimane disponibile.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5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Deploy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1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Pipeline in quattro stadi e artefatti coinvolti.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5.1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Tramite pipeline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Build &amp; Scan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— controllo dei tipi, test unitari, compilazione, costruzione delle due immagini, scansione Trivy (filesystem e immagini, blocco sulle CRITICAL), push su Container Registry con tag pari allo SHA del commit.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DB Migration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— avvio del job di migrazione pre-provisionato.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—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az containerapp update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 la nuova immagine e le variabili d’ambiente, in un unico comando idempotente.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Verify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— nota informativa post-deploy; le applicazioni sono interne e non verificabili dall’esterno.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L’autenticazione verso Azure è 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identità federata OIDC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nessun segreto di accesso al cloud è custodito nella pipeline. I nomi delle risorse arrivano da GitHub Secrets, così nulla è codificato nel repository.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5.2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Manualmente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# build e push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az acr login -n &lt;ACR&gt;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docker build -t &lt;ACR&gt;.azurecr.io/guestportal-backend:&lt;sha&gt;  -f Dockerfile .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docker build -t &lt;ACR&gt;.azurecr.io/guestportal-frontend:&lt;sha&gt; -f Dockerfile.frontend .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docker push &lt;ACR&gt;.azurecr.io/guestportal-backend:&lt;sha&gt;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docker push &lt;ACR&gt;.azurecr.io/guestportal-frontend:&lt;sha&gt;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# migrazione, PRIMA di mettere in servizio la nuova immagine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az containerapp job start -n &lt;MIGRATION_JOB&gt; -g &lt;RG&gt;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# deploy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az containerapp update -n ca-guestportal-backend-&lt;amb&gt;  -g &lt;RG&gt; --image &lt;ACR&gt;.azurecr.io/guestportal-backend:&lt;sha&gt;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az containerapp update -n ca-guestportal-frontend-&lt;amb&gt; -g &lt;RG&gt; --image &lt;ACR&gt;.azurecr.io/guestportal-frontend:&lt;sha&gt;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5.3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Dati di riferimento — passo obbligatorio alla prima installazione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Senza questo passo l’applicazione è inutilizzabile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migrazione crea le tabelle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vuote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. Le cinque sedi sono dati anagrafici e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non esiste una API per crearle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: senza il seed, la prima schermata dopo l’accesso SSO mostra «Nessuna sede configurata» e non c’è via d’uscita dall’interfaccia.</w:t>
            </w:r>
          </w:p>
        </w:tc>
      </w:tr>
    </w:tbl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az containerapp exec -n &lt;BACKEND_APP&gt; -g &lt;RG&gt; \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--command "node backend/dist/db/seed.js"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# output atteso:  Reference data seeded successfully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È idempotente: le sedi sono cercate per codice, quindi rieseguirlo non duplica nulla e non sovrascrive ciò che un amministratore ha corretto dal pannello.</w:t>
      </w:r>
    </w:p>
    <w:tbl>
      <w:tblPr>
        <w:tblW w:type="dxa" w:w="9638"/>
        <w:tblBorders>
          <w:top w:val="none"/>
          <w:left w:val="single" w:color="5A5A5A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0F0F0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Non usare </w:t>
            </w:r>
            <w:r>
              <w:rPr>
                <w:rFonts w:ascii="Consolas" w:cs="Consolas" w:eastAsia="Consolas" w:hAnsi="Consolas"/>
                <w:b/>
                <w:bCs/>
                <w:color w:val="0A5D65"/>
                <w:sz w:val="18"/>
                <w:szCs w:val="18"/>
              </w:rPr>
              <w:t xml:space="preserve">SEED_ENABLED=true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 per farlo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Funziona, ma richiede due revisioni e, se resta attivo, il seed gira a ogni riavvio. In produzione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SEED_ENABLED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resta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false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5.4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Verifica post-deploy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# da una macchina nella rete virtuale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curl -sS https://&lt;FQDN_BACKEND&gt;/api/healthz   # 200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curl -sS https://&lt;FQDN_BACKEND&gt;/api/readyz    # 200 + db: connected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curl -sS https://&lt;FQDN_FRONTEND&gt;/healthz      # 200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# attraverso l'Application Gateway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curl -sS https://&lt;hostname&gt;/api/healthz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# verifica che l'AuthnRequest non vincoli il metodo di autenticazione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#   aprire /api/auth/login, prendere SAMLRequest dal redirect,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#   URL-decode → base64-decode → inflate: nessun RequestedAuthnContext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Accesso SSO completato con un utente reale.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Comparsa delle cinque sedi nel selettore.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Connessione a una sede riuscita.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Registrazione di un ospite di prova, con verifica della comparsa sul controller e della ricezione del messaggio.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Revoca dell’ospite di prova.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6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Primo accesso amministrativo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Ogni utente SSO nasce bloccato, quindi su un ambiente nuovo occorre un modo per profilare i primi amministratori. Ci sono tre vie, in ordine di preferenza.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120"/>
        <w:gridCol w:w="4433"/>
        <w:gridCol w:w="3085"/>
      </w:tblGrid>
      <w:tr>
        <w:trPr>
          <w:tblHeader/>
        </w:trP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Via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Come</w:t>
            </w:r>
          </w:p>
        </w:tc>
        <w:tc>
          <w:tcPr>
            <w:tcW w:type="dxa" w:w="308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Quando usarla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Convenzione sull’indirizzo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Accedere con un account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admin365-*@dompe.onmicrosoft.com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: il ruolo è concesso automaticamente.</w:t>
            </w:r>
          </w:p>
        </w:tc>
        <w:tc>
          <w:tcPr>
            <w:tcW w:type="dxa" w:w="308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La più semplice, se l’account esiste nel tenant.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Riga di comando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appusers grant &lt;indirizzo&gt; --role admin --sedi MIL,AQ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eseguito nel container.</w:t>
            </w:r>
          </w:p>
        </w:tc>
        <w:tc>
          <w:tcPr>
            <w:tcW w:type="dxa" w:w="308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Non espone nulla in rete: richiede solo accesso shell.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È la via consigliata.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Account di emergenza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Creato dal bootstrap della migrazione o dalla riga di comando; accedere e profilare dal pannello.</w:t>
            </w:r>
          </w:p>
        </w:tc>
        <w:tc>
          <w:tcPr>
            <w:tcW w:type="dxa" w:w="308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Solo se le prime due non sono praticabili; richiede di esporre l’endpoint di emergenza.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5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Vie per il primo accesso amministrativo.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az containerapp exec -n &lt;BACKEND_APP&gt; -g &lt;RG&gt; \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--command "node backend/dist/scripts/appusers.js list --status pending"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az containerapp exec -n &lt;BACKEND_APP&gt; -g &lt;RG&gt; \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--command "node backend/dist/scripts/appusers.js grant m.rossi@dompe.com --role admin --sedi MIL,AQ"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7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Password dei controller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Dal rilascio corrente le password dei controller si gestiscono dal pannello di amministrazione anziché con un ticket al team di piattaforma e una nuova revisione dell’applicazione. È la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deviazione D4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descritta per esteso nel documento SEC.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7.1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Come funziona la risoluzione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Il backend, all’avvio, legge da Key Vault il segreto WLC-PASSWORD-&lt;CODICE&gt;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di ogni sede e lo tiene in memoria.  Ordine di risoluzione, per sede: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1.  valore letto da Key Vault      (KEY_VAULT_URL impostato)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2.  variabile WLC_PASSWORD_&lt;CODICE&gt;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3.  WLC_DEFAULT_PASSWORD           (solo sviluppo locale)</w:t>
      </w:r>
    </w:p>
    <w:tbl>
      <w:tblPr>
        <w:tblW w:type="dxa" w:w="9638"/>
        <w:tblBorders>
          <w:top w:val="none"/>
          <w:left w:val="single" w:color="04C1C8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D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5D65"/>
                <w:sz w:val="20"/>
                <w:szCs w:val="20"/>
              </w:rPr>
              <w:t xml:space="preserve">Un riferimento rimasto testuale viene ignorato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WLC_PASSWORD_&lt;CODICE&gt;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contiene ancora un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@Microsoft.KeyVault(...)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o un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secretref: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non risolto, il backend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lo scarta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invece di inviarlo al controller come se fosse la password. È la correzione del difetto descritto al §4.1: il sintomo passa da «il controller rifiuta le credenziali senza motivo apparente» a una password semplicemente assente.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7.2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Ruotare la password di un controller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Cambiare la password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prima sul controller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L’applicazione non lo tocca: se si inverte l’ordine la sede resta fuori servizio fino alla correzione.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Nel pannello, scheda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Sedi e WLC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selezionare la sede e premere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Modifica password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Inserire il nuovo valore e confermare. Viene creata una nuova versione del segreto ed è in uso dalla chiamata successiva,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senza riavvio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Verificare con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Test connessione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7.3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Segreto cambiato direttamente in Key Vault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Se il valore viene sostituito nel vault senza passare dal pannello, il backend continua a usare quello che ha in memoria. Per allinearlo basta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Ricarica configurazioni WLC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nel pannello: non serve riavviare la revisione.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ricarica restituisce tre elenchi — sedi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caricate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mancanti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(nessun segreto nel vault) 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fallite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Una sede fallita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conserva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il valore che aveva: un errore transitorio non mette fuori servizio un controller funzionante.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7.4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Mettere in servizio una sede nuova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Non serve più creare il segreto fuori dall’applicazione né legare una variabile d’ambiente: impostando la password dal pannello il segreto viene creato, e la sede può essere testata e attivata nella stessa sessione. Resta necessario il ruolo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Secrets Officer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sul vault.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8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Gestione degli account di emergenza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Disattivati per impostazione predefinita. Attivarli è una decisione consapevole: l’accesso aggira Conditional Access e MFA e non ha un secondo fattore (deviazione D1 nel documento SEC).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8.1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Attivazione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popolare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BREAKGLASS_IP_ALLOWLIST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 gli intervalli di uscita aziendali e VPN. In assenza di secondo fattore è il controllo compensativo più efficace.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Impostare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BREAKGLASS_ENABLED=true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Creare l’account dalla riga di comando e archiviare la password nel gestore di password aziendale.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Configurare l’alert su Log Analytics (§9.2).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È un requisito, non una raccomandazione.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Verificare: comparsa del collegamento, accesso riuscito, banner visibile, blocco funzionante.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make breakglass ARGS="list"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make breakglass ARGS='set bg.operator --display "Break Glass" --expires 2027-12-31'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make breakglass ARGS="unlock bg.operator"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make breakglass ARGS="disable bg.operator"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# in produzione, dentro il container: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az containerapp exec -n &lt;BACKEND_APP&gt; -g &lt;RG&gt; \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--command "node backend/dist/scripts/breakglass.js list"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Dopo il bootstrap, ruotare la password</w:t>
            </w:r>
          </w:p>
          <w:p>
            <w:pPr>
              <w:spacing w:after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BREAKGLASS_SEED_PASSWORD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va legata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solo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al job di migrazione, mai al container backend — che non ne ha bisogno, dato che in produzione le migrazioni non girano all’avvio. Dopo il bootstrap la password va ruotata dalla riga di comando: da quel momento il valore in Key Vault non è più quello attivo.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8.2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Che cosa si può fare dal pannello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Elencare, abilitare, disabilitare, sbloccare.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creare,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ruotare la password: quelle operazioni restano alla riga di comando, perché una sessione amministrativa compromessa non deve poter coniare una credenziale che aggira Entra ID.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9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Gestione corrente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9.1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Aggiungere una sede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Chiedere al team di piattaforma la creazione del segreto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WLC-PASSWORD-&lt;CODICE&gt;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il collegamento alla variabile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WLC_PASSWORD_&lt;CODICE&gt;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della Container App backend.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Creare la sede dal pannello. Nasce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fuori servizio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con il codice che diventa immutabile.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Compilare indirizzo del controller, porte, account e SSID.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Eseguire la prova di connessione: deve dare esito positivo.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Mettere la sede in servizio.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Concedere la sede agli operatori interessati.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Il codice di sede non è modificabile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È ciò che risolve il nome del segreto in Key Vault: cambiarlo scollegherebbe la sede dalla propria password. Due codici non possono nemmeno normalizzare sulla stessa variabile d’ambiente — la creazione viene rifiutata, perché le due sedi condividerebbero la credenziale.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9.2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Abilitare un operatore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L’utente accede una prima volta in SSO: la voce viene creata, bloccata.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Nel pannello, filtrare per stato «in attesa» e individuarlo dallo UPN.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Assegnare ruolo, stato attivo e le sedi.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L’effetto è immediato entro 15 secondi; l’utente non deve riautenticarsi.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9.3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Sospendere o rimuovere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Sospendere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blocca l’accesso entro 15 secondi, anche sul canale in tempo reale già aperto.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Rimuovere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cancella la voce e le concessioni; la voce viene ricreata, bloccata, al successivo accesso.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API rifiuta di sospendere o declassare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l’ultimo amministratore attivo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e rifiuta a un amministratore di modificare il proprio ruolo o stato.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10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Sorveglianza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10.1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Che cosa guardare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506"/>
        <w:gridCol w:w="2891"/>
        <w:gridCol w:w="4241"/>
      </w:tblGrid>
      <w:tr>
        <w:trPr>
          <w:tblHeader/>
        </w:trP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Segnale</w:t>
            </w:r>
          </w:p>
        </w:tc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Dove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Soglia / criterio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/api/readyz</w:t>
            </w:r>
          </w:p>
        </w:tc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Sonde della piattaforma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503 significa database irraggiungibile.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Accesso di emergenza riuscito</w:t>
            </w:r>
          </w:p>
        </w:tc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Log Analytics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Ogni occorrenza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va verificata. Severità 1.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Rifiuti di accesso di emergenza</w:t>
            </w:r>
          </w:p>
        </w:tc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Log Analytics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Più di 5 in 15 minuti. Severità 2.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Errori di sincronizzazione</w:t>
            </w:r>
          </w:p>
        </w:tc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Tabella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sync_logs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, codice 502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Ricorrenti sulla stessa sede: controller o percorso di rete.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Rifiuti di autorizzazione</w:t>
            </w:r>
          </w:p>
        </w:tc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Log Analytics,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event: authz-denied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Un aumento improvviso indica un difetto di profilazione.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Promozioni ad amministratore</w:t>
            </w:r>
          </w:p>
        </w:tc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Log Analytics,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event: admin-user-updated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Ogni passaggio 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admin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va riconosciuto.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Password di controller lette o cambiate</w:t>
            </w:r>
          </w:p>
        </w:tc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Log Analytics,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event: admin-wlc-password-*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Vanno ricondotte a un’attività nota: una lettura non motivata è un segnale quanto una modifica.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Errori Key Vault</w:t>
            </w:r>
          </w:p>
        </w:tc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Log Analytics,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event: admin-wlc-keyvault-error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Ricorrenti in scrittura: verificare il ruolo Secrets Officer.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Diagnostica delle sedi</w:t>
            </w:r>
          </w:p>
        </w:tc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Pannello di amministrazione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Esito e messaggio dell’ultima verifica per sede.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6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Segnali da sorvegliare.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10.2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Alert obbligatorio sugli accessi di emergenza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ContainerAppConsoleLogs_CL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| where TimeGenerated &gt; ago(15m)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| extend d = parse_json(Log_s)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| where tostring(d.event) startswith "breakglass-"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| project TimeGenerated, event = tostring(d.event), reason = tostring(d.reason),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      username = tostring(d.username), ip = tostring(d.ip),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        userAgent = tostring(d.userAgent), correlationId = tostring(d.correlationId)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| order by TimeGenerated desc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891"/>
        <w:gridCol w:w="5205"/>
        <w:gridCol w:w="1542"/>
      </w:tblGrid>
      <w:tr>
        <w:trPr>
          <w:tblHeader/>
        </w:trP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Evento</w:t>
            </w:r>
          </w:p>
        </w:tc>
        <w:tc>
          <w:tcPr>
            <w:tcW w:type="dxa" w:w="52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Significato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Severità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breakglass-login-success</w:t>
            </w:r>
          </w:p>
        </w:tc>
        <w:tc>
          <w:tcPr>
            <w:tcW w:type="dxa" w:w="52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Un aggiramento dell’SSO è avvenuto.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Da verificare sempre.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breakglass-login-denied</w:t>
            </w:r>
          </w:p>
        </w:tc>
        <w:tc>
          <w:tcPr>
            <w:tcW w:type="dxa" w:w="52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Tentativo rifiutato; il campo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reason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porta la causa reale.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2 oltre 5 in 15 minuti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breakglass-account-locked</w:t>
            </w:r>
          </w:p>
        </w:tc>
        <w:tc>
          <w:tcPr>
            <w:tcW w:type="dxa" w:w="52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Account bloccato per tentativi falliti ripetuti.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breakglass-logout</w:t>
            </w:r>
          </w:p>
        </w:tc>
        <w:tc>
          <w:tcPr>
            <w:tcW w:type="dxa" w:w="52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Sessione di emergenza terminata.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Informativo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7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Eventi di accesso di emergenza e severità suggerite.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 valori possibili di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reason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sono: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unknown-account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bad-password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account-locked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account-disabled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account-expired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ip-not-allowed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ip-throttled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missing-credentials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All’utente il messaggio è sempre lo stesso: la causa vive solo nel log.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11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Diagnosi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Sintomo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Causa probabile e azione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docker push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risponde 401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Sessione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az acr login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scaduta, o ruolo di push mancante.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La Container App non scarica l’immagine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All’identità gestita manca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AcrPull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sul registry, oppure l’identità del registry è configurata male.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Il riferimento a Key Vault non si risolve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Sintassi di App Service invece di quella di Container Apps (§4.1), oppure manca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Key Vault Secrets User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all’identità del backend, oppure il segreto non esiste.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/api/readyz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risponde 503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Database irraggiungibile, oppure principal Entra e concessioni mancanti.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Autenticazione al database fallita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Il login non coincide con il nome dell’identità gestita, oppure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pgaadauth_create_principal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non è stato eseguito.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AADSTS75011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L’AuthnRequest vincola il metodo di autenticazione.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Non è un problema di configurazione Entra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e non esiste un’impostazione lato applicazione aziendale per ignorarlo: verificare che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SAML_DISABLE_REQUESTED_AUTHN_CONTEXT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non sia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false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e che l’immagine includa la correzione. Verifica sul campo in §5.4.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«Invalid document signature» dopo l’accesso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Entra firma solo l’asserzione. Rimedio preferito: Signing Option = «Sign SAML response and assertion». Alternativa: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SAML_WANT_AUTHN_RESPONSE_SIGNED=false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«Unknown authentication strategy "saml"»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Il certificato dell’IdP non è utilizzabile e la strategia non è stata costruita. La causa precisa è nei log di avvio. Le rotte SSO rispondono 501 e l’accesso di emergenza resta disponibile.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Ciclo infinito di reindirizzamenti all’accesso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Il corpo della risposta SAML non viene interpretato: verificare che l’immagine includa il parser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urlencoded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sui callback.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«Nessuna sede configurata» dopo l’accesso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La tabella delle sedi è vuota: eseguire il seed (§5.3).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Il collegamento «Accesso di emergenza» non compare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Funzione disattivata, oppure indirizzo del client fuori dalla lista consentita. L’endpoint risponde 404 in entrambi i casi, di proposito.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Accesso di emergenza sempre rifiutato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Account inesistente, disabilitato, scaduto o bloccato: il messaggio è identico in tutti i casi. La causa è nel campo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reason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del log. Sbloccare con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breakglass unlock &lt;utente&gt;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Accesso di emergenza non funziona con il database giù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Atteso: gli account risiedono su PostgreSQL. Copre un’indisponibilità di Entra, non del database.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404 «Azure Container App - Unavailable» su ogni percorso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App creata con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--ingress internal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 Correggere con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az containerapp ingress enable --type external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e riallineare i pool del gateway al nuovo nome,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senza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.internal.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 Diagnosi: l’app risponde 200 dall’interno del container e 404 dall’esterno.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502 dall’Application Gateway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Pool o sonda puntano a un nome errato, oppure la sonda di salute fallisce.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Il controller non risponde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Egress verso la rete di gestione non abilitato. Il messaggio distingue i casi: «Host irraggiungibile» è rete, «Connessione rifiutata» è porta chiusa, «Nome host non risolto» è DNS.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«Certificato TLS del WLC rifiutato»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Il controller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risponde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: a fallire è la verifica del certificato, non la rete. Il Catalyst 9800 presenta un certificato autofirmato. Impostare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WLC_TLS_REJECT_UNAUTHORIZED=false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(deviazione D3) oppure installare un certificato attendibile.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Messaggi non inviati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Posta non abilitata, oppure permesso, consenso o segreto mancanti.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503 authz_unavailable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La risoluzione dei permessi è fallita: verificare il database. È un rifiuto voluto, non un ruolo assunto per difetto.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Referente: nessun suggerimento, solo testo libero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DIRECTORY_SEARCH_ENABLED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non è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true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(risposta 503), oppure manca il permesso Graph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User.Read.All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sull’identità del backend (risposta 502, log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Directory search failed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). La registrazione degli ospiti non è bloccata in nessuno dei due casi.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Pannello: «Key Vault non configurato»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KEY_VAULT_URL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non impostato sul backend.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Pannello: «Scrittura su Key Vault non riuscita»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Manca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Key Vault Secrets Officer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sul segreto della sede. La sola lettura richiede Secrets User.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Il controller rifiuta le credenziali dopo un deploy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Verificare che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WLC_PASSWORD_&lt;CODICE&gt;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non contenga un riferimento rimasto testuale: ora viene ignorato, quindi il sintomo è una password assente. Impostarla dal pannello, oppure correggere il binding.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8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Sintomi, cause probabili e azioni.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12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Rollback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az containerapp update -n ca-guestportal-backend-&lt;amb&gt;  -g &lt;RG&gt; \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--image &lt;ACR&gt;.azurecr.io/guestportal-backend:&lt;sha-precedente&gt;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az containerapp update -n ca-guestportal-frontend-&lt;amb&gt; -g &lt;RG&gt; \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--image &lt;ACR&gt;.azurecr.io/guestportal-frontend:&lt;sha-precedente&gt;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Le migrazioni sono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idempotenti e additive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il rollback dell’immagine non richiede un rollback dello schema. Il tag immutabile pari allo SHA del commit rende la versione precedente sempre identificabile.</w:t>
      </w:r>
    </w:p>
    <w:tbl>
      <w:tblPr>
        <w:tblW w:type="dxa" w:w="9638"/>
        <w:tblBorders>
          <w:top w:val="none"/>
          <w:left w:val="single" w:color="04C1C8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D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5D65"/>
                <w:sz w:val="20"/>
                <w:szCs w:val="20"/>
              </w:rPr>
              <w:t xml:space="preserve">Il limite di questa garanzia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Vale finché le migrazioni restano additive. Una migrazione che rimuovesse o rinominasse una colonna romperebbe la revisione precedente e renderebbe il rollback dell’immagine insufficiente. È la ragione per cui nello schema non ci sono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DROP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13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Manutenzione ricorrente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506"/>
        <w:gridCol w:w="1735"/>
        <w:gridCol w:w="5397"/>
      </w:tblGrid>
      <w:tr>
        <w:trPr>
          <w:tblHeader/>
        </w:trP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Attività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Cadenza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Note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Rotazione di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SESSION_SECRET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Annuale, o a incidente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La rotazione invalida tutte le sessioni: gli utenti devono riautenticarsi. Aggiornare il segreto e riavviare la revisione.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Rinnovo del certificato SAML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Alla scadenza indicata da Entra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Aggiornare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SAML-CERT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prima della scadenza; un certificato scaduto blocca ogni accesso SSO.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Rotazione delle password dei controller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Secondo la politica di rete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Cambiarla prima sul controller, poi dal pannello (§7.2).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Non serve più riavviare la revisione.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Rotazione del segreto Graph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Alla scadenza del segreto applicativo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Un segreto scaduto ferma solo l’invio dei messaggi, non il resto.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Rotazione della password di emergenza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Semestrale, e dopo ogni uso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Da riga di comando. Archiviare nel gestore di password.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Revisione dei profili utente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Trimestrale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Verificare ruoli, stati e concessioni; rimuovere chi non opera più.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Revisione degli account di emergenza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Trimestrale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Verificare esistenza, scadenza e stato di abilitazione.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Aggiornamento delle immagini di base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Mensile, o a vulnerabilità critica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La scansione Trivy blocca sulle CRITICAL; Dependabot propone gli aggiornamenti delle dipendenze.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Pulizia dello storico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Da definire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Nessuna politica automatica. Circa 14.400 righe al giorno dalla sola sincronizzazione.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9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Attività di manutenzione ricorrente.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Dopo la modifica di un segreto in Key Vault occorre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riavviare la revisione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della Container App perché il nuovo valore venga letto.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14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Checklist go-live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Applicazioni Entra create: quella SAML e quella per la posta.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Due identità gestite create, con i ruoli assegnati — compresi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Key Vault Secrets Officer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sui segreti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WLC-PASSWORD-*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il permesso Graph </w:t>
      </w:r>
      <w:r>
        <w:rPr>
          <w:rFonts w:ascii="Consolas" w:cs="Consolas" w:eastAsia="Consolas" w:hAnsi="Consolas"/>
          <w:b/>
          <w:bCs/>
          <w:color w:val="0A5D65"/>
          <w:sz w:val="19"/>
          <w:szCs w:val="19"/>
        </w:rPr>
        <w:t xml:space="preserve">User.Read.All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 consenso amministratore.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Segreti popolati in Key Vault e collegati con la sintassi di Container Apps.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Database creato, principal Entra mappato all’identità del backend e concessioni assegnate.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Immagini costruite e caricate, con tag pari allo SHA e alias di ambiente.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Job di migrazione creato ed eseguito.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Sedi popolate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 il seed — senza questo passo l’applicazione mostra «Nessuna sede configurata».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Container App create con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--ingress external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Nomi di dominio verificati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senza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.internal.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sonde di salute a 200 da una macchina nella rete virtuale,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di toccare l’Application Gateway.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Application Gateway: pool allineati ai nomi effettivi, sonde, impostazioni, listener, regole di percorso e voce DNS.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Egress verso la rete di gestione abilitato.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Verifica di salute, accesso SSO, connessione a una sede e invio di un messaggio.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KEY_VAULT_URL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impostato e password delle sedi leggibili dal pannello;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Ricarica configurazioni WLC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eseguita con esito positivo.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Se si vuole la ricerca del referente: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DIRECTORY_SEARCH_ENABLED=true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un suggerimento verificato nel modulo di registrazione.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Se serve l’accesso di emergenza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(opzionale, spento per default): lista di indirizzi popolata, funzione attivata, account creato da riga di comando con password archiviata, alert su Log Analytics attivo, banner e blocco verificati.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91" w:right="1134" w:bottom="1134" w:left="1134" w:header="624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6"/>
      </w:pBdr>
      <w:tabs>
        <w:tab w:val="right" w:pos="9638"/>
      </w:tabs>
    </w:pPr>
    <w:r>
      <w:rPr>
        <w:rFonts w:ascii="Arial" w:cs="Arial" w:eastAsia="Arial" w:hAnsi="Arial"/>
        <w:color w:val="5A5A5A"/>
        <w:sz w:val="15"/>
        <w:szCs w:val="15"/>
      </w:rPr>
      <w:t xml:space="preserve">Dompé  |  Guest Portal — Cisco Catalyst 9800 Guest Management Desk  ·  Uso interno</w:t>
    </w:r>
    <w:r>
      <w:tab/>
    </w:r>
    <w:r>
      <w:rPr>
        <w:rFonts w:ascii="Arial" w:cs="Arial" w:eastAsia="Arial" w:hAnsi="Arial"/>
        <w:color w:val="5A5A5A"/>
        <w:sz w:val="15"/>
        <w:szCs w:val="15"/>
      </w:rPr>
      <w:t xml:space="preserve">Pag. </w:t>
    </w:r>
    <w:r>
      <w:rPr>
        <w:rFonts w:ascii="Arial" w:cs="Arial" w:eastAsia="Arial" w:hAnsi="Arial"/>
        <w:color w:val="5A5A5A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A5A5A"/>
        <w:sz w:val="15"/>
        <w:szCs w:val="15"/>
      </w:rPr>
      <w:t xml:space="preserve"> di </w:t>
    </w:r>
    <w:r>
      <w:rPr>
        <w:rFonts w:ascii="Arial" w:cs="Arial" w:eastAsia="Arial" w:hAnsi="Arial"/>
        <w:color w:val="5A5A5A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  <w:tabs>
        <w:tab w:val="right" w:pos="9638"/>
      </w:tabs>
      <w:spacing w:after="60"/>
    </w:pPr>
    <w:r>
      <w:rPr>
        <w:rFonts w:ascii="Arial" w:cs="Arial" w:eastAsia="Arial" w:hAnsi="Arial"/>
        <w:color w:val="5A5A5A"/>
        <w:spacing w:val="20"/>
        <w:sz w:val="16"/>
        <w:szCs w:val="16"/>
      </w:rPr>
      <w:t xml:space="preserve">OPS  |  Runbook operativo</w:t>
    </w:r>
    <w:r>
      <w:tab/>
    </w:r>
    <w:r>
      <w:drawing>
        <wp:inline distT="0" distB="0" distL="0" distR="0">
          <wp:extent cx="904875" cy="3524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40" w:hanging="200"/>
      </w:pPr>
      <w:rPr>
        <w:rFonts w:ascii="Arial" w:cs="Arial" w:eastAsia="Arial" w:hAnsi="Arial"/>
        <w:color w:val="DC3230"/>
        <w:sz w:val="14"/>
        <w:szCs w:val="14"/>
      </w:rPr>
    </w:lvl>
    <w:lvl w:ilvl="1" w15:tentative="1">
      <w:start w:val="1"/>
      <w:numFmt w:val="bullet"/>
      <w:lvlText w:val="–"/>
      <w:lvlJc w:val="left"/>
      <w:pPr>
        <w:ind w:left="700" w:hanging="200"/>
      </w:pPr>
      <w:rPr>
        <w:rFonts w:ascii="Arial" w:cs="Arial" w:eastAsia="Arial" w:hAnsi="Arial"/>
        <w:color w:val="0A5D65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  <w:rPr>
        <w:rFonts w:ascii="Arial" w:cs="Arial" w:eastAsia="Arial" w:hAnsi="Arial"/>
        <w:b/>
        <w:bCs/>
        <w:color w:val="DC3230"/>
      </w:rPr>
    </w:lvl>
    <w:lvl w:ilvl="1" w15:tentative="1">
      <w:start w:val="1"/>
      <w:numFmt w:val="lowerLetter"/>
      <w:lvlText w:val="%2."/>
      <w:lvlJc w:val="left"/>
      <w:pPr>
        <w:ind w:left="760" w:hanging="260"/>
      </w:pPr>
      <w:rPr>
        <w:rFonts w:ascii="Arial" w:cs="Arial" w:eastAsia="Arial" w:hAnsi="Arial"/>
        <w:b/>
        <w:bCs/>
        <w:color w:val="0A5D65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212121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0A5D65"/>
      <w:sz w:val="27"/>
      <w:szCs w:val="27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212121"/>
      <w:sz w:val="23"/>
      <w:szCs w:val="23"/>
    </w:rPr>
  </w:style>
  <w:style w:type="paragraph" w:styleId="Heading4">
    <w:name w:val="Heading 4"/>
    <w:basedOn w:val="Normal"/>
    <w:next w:val="Normal"/>
    <w:qFormat/>
    <w:rPr>
      <w:rFonts w:ascii="Arial" w:cs="Arial" w:eastAsia="Arial" w:hAnsi="Arial"/>
      <w:b/>
      <w:bCs/>
      <w:color w:val="5A5A5A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40" w:line="288"/>
    </w:pPr>
    <w:rPr>
      <w:rFonts w:ascii="Arial" w:cs="Arial" w:eastAsia="Arial" w:hAnsi="Arial"/>
      <w:color w:val="212121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90fc41f7af4182ec7938f768dc9bece76862e869.png"/><Relationship Id="rId12" Type="http://schemas.openxmlformats.org/officeDocument/2006/relationships/image" Target="media/513b83695da7d893dbee7996516589fc2adf168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0fc41f7af4182ec7938f768dc9bece76862e869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OPS — Runbook operativo</dc:title>
  <dc:creator>Dompé farmaceutici S.p.A.</dc:creator>
  <dc:description>Prerequisiti di piattaforma, deploy, configurazione, manutenzione, diagnosi e rollback</dc:description>
  <cp:lastModifiedBy>Un-named</cp:lastModifiedBy>
  <cp:revision>1</cp:revision>
  <dcterms:created xsi:type="dcterms:W3CDTF">2026-09-25T10:19:38.977Z</dcterms:created>
  <dcterms:modified xsi:type="dcterms:W3CDTF">2026-09-25T10:19:38.978Z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