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/>
      </w:pPr>
      <w:r>
        <w:drawing>
          <wp:inline distT="0" distB="0" distL="0" distR="0">
            <wp:extent cx="1981200" cy="771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04C1C8" w:color="auto" w:val="clear"/>
            <w:tcMar>
              <w:top w:type="dxa" w:w="520"/>
              <w:left w:type="dxa" w:w="340"/>
              <w:bottom w:type="dxa" w:w="520"/>
              <w:right w:type="dxa" w:w="340"/>
            </w:tcMar>
          </w:tcPr>
          <w:p>
            <w:pPr>
              <w:spacing w:after="220"/>
            </w:pPr>
            <w:r>
              <w:rPr>
                <w:rFonts w:ascii="Arial" w:cs="Arial" w:eastAsia="Arial" w:hAnsi="Arial"/>
                <w:b/>
                <w:bCs/>
                <w:color w:val="212121"/>
                <w:spacing w:val="60"/>
                <w:sz w:val="17"/>
                <w:szCs w:val="17"/>
              </w:rPr>
              <w:t xml:space="preserve">DOCUMENTAZIONE TECNICA</w:t>
            </w:r>
          </w:p>
          <w:p>
            <w:pPr>
              <w:spacing w:after="140" w:line="420"/>
            </w:pPr>
            <w:r>
              <w:rPr>
                <w:rFonts w:ascii="Arial" w:cs="Arial" w:eastAsia="Arial" w:hAnsi="Arial"/>
                <w:b/>
                <w:bCs/>
                <w:color w:val="212121"/>
                <w:sz w:val="56"/>
                <w:szCs w:val="56"/>
              </w:rPr>
              <w:t xml:space="preserve">High Level Design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212121"/>
                <w:sz w:val="24"/>
                <w:szCs w:val="24"/>
              </w:rPr>
              <w:t xml:space="preserve">Architettura della soluzione di gestione degli accessi Wi-Fi ospiti sui controller Cisco Catalyst 9800</w:t>
            </w:r>
          </w:p>
        </w:tc>
      </w:tr>
    </w:tbl>
    <w:p>
      <w:pPr>
        <w:spacing w:after="360" w:before="160"/>
      </w:pPr>
      <w:r>
        <w:rPr>
          <w:rFonts w:ascii="Arial" w:cs="Arial" w:eastAsia="Arial" w:hAnsi="Arial"/>
          <w:color w:val="DC3230"/>
          <w:sz w:val="26"/>
          <w:szCs w:val="26"/>
        </w:rPr>
        <w:t xml:space="preserve">●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Campo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Valore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Applicativo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Guest Portal — Cisco Catalyst 9800 Guest Management Desk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Indirizzo (produzione)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https://guestportal.dompe.com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Documento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HLD — High Level Design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Versione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1.2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Data di emissione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25 settembre 2026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Stato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Emesso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Destinatari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IT Infrastructure, Security, Sviluppo, Service Desk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Classificazione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Uso interno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Repository di riferimento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github.com/ACF-Dompe/Centralino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Revisione del codice</w:t>
            </w:r>
          </w:p>
        </w:tc>
        <w:tc>
          <w:tcPr>
            <w:tcW w:type="dxa" w:w="67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main · 3338398 (+ modifiche non ancora committate)</w:t>
            </w:r>
          </w:p>
        </w:tc>
      </w:tr>
    </w:tbl>
    <w:p>
      <w:r>
        <w:br w:type="page"/>
      </w:r>
    </w:p>
    <w:p>
      <w:pPr>
        <w:pBdr>
          <w:bottom w:val="single" w:color="04C1C8" w:sz="12" w:space="8"/>
        </w:pBdr>
        <w:spacing w:after="240"/>
      </w:pPr>
      <w:r>
        <w:rPr>
          <w:rFonts w:ascii="Arial" w:cs="Arial" w:eastAsia="Arial" w:hAnsi="Arial"/>
          <w:b/>
          <w:bCs/>
          <w:color w:val="212121"/>
          <w:sz w:val="34"/>
          <w:szCs w:val="34"/>
        </w:rPr>
        <w:t xml:space="preserve">Indice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1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Scopo e ambito del documento</w:t>
      </w:r>
    </w:p>
    <w:p>
      <w:pPr>
        <w:pBdr>
          <w:left w:val="single" w:color="04C1C8" w:sz="18" w:space="12"/>
        </w:pBdr>
        <w:spacing w:after="240" w:line="300"/>
        <w:ind w:left="170"/>
      </w:pPr>
      <w:r>
        <w:rPr>
          <w:rFonts w:ascii="Arial" w:cs="Arial" w:eastAsia="Arial" w:hAnsi="Arial"/>
          <w:color w:val="5A5A5A"/>
          <w:sz w:val="23"/>
          <w:szCs w:val="23"/>
        </w:rPr>
        <w:t xml:space="preserve">Questo documento descrive l’architettura di alto livello del Guest Portal: quali componenti esistono, come sono collegati, quali responsabilità hanno e su quali decisioni progettuali si regge l’insieme. Non entra nel dettaglio implementativo, che è oggetto del documento LLD.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1.1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Obiettivo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Il Guest Portal è la console con cui il personale Dompé rilascia, sorveglia e revoca gli accessi Wi-Fi destinati ai visitatori delle sedi aziendali. Sostituisce l’uso diretto della interfaccia di amministrazione dei controller wireless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Cisco Catalyst 9800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che richiedeva credenziali di rete privilegiate e non lasciava traccia di chi avesse rilasciato quale accesso.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L’applicazione persegue tre risultati: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rendere l’operazione accessibile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a personale non specialistico (reception, service desk),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mantenere il controllo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su chi può operare e su quale sede, e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lasciare una traccia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di ogni azione eseguita sui controller.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1.2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Destinatari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506"/>
        <w:gridCol w:w="7132"/>
      </w:tblGrid>
      <w:tr>
        <w:trPr>
          <w:tblHeader/>
        </w:trP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Ruolo</w:t>
            </w:r>
          </w:p>
        </w:tc>
        <w:tc>
          <w:tcPr>
            <w:tcW w:type="dxa" w:w="7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Che cosa trova in questo documento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Architetti e IT Infrastructure</w:t>
            </w:r>
          </w:p>
        </w:tc>
        <w:tc>
          <w:tcPr>
            <w:tcW w:type="dxa" w:w="7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Vista d’insieme, componenti, dipendenze di piattaforma, requisiti non funzionali.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Sicurezza e Compliance</w:t>
            </w:r>
          </w:p>
        </w:tc>
        <w:tc>
          <w:tcPr>
            <w:tcW w:type="dxa" w:w="7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Perimetro, modello di autenticazione e autorizzazione, deviazioni accettate (dettaglio nel documento SEC).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Sviluppo</w:t>
            </w:r>
          </w:p>
        </w:tc>
        <w:tc>
          <w:tcPr>
            <w:tcW w:type="dxa" w:w="7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Contesto architetturale entro cui si collocano le scelte di dettaglio descritte nel documento LLD.</w:t>
            </w:r>
          </w:p>
        </w:tc>
      </w:tr>
      <w:tr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Esercizio e Service Desk</w:t>
            </w:r>
          </w:p>
        </w:tc>
        <w:tc>
          <w:tcPr>
            <w:tcW w:type="dxa" w:w="713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Comprensione dei flussi e dei modi di degrado del servizio (dettaglio nei documenti FUN e OPS).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1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Destinatari del documento e relative sezioni di interesse.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1.3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Documenti correlati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964"/>
        <w:gridCol w:w="3084"/>
        <w:gridCol w:w="5590"/>
      </w:tblGrid>
      <w:tr>
        <w:trPr>
          <w:tblHeader/>
        </w:trP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Codice</w:t>
            </w:r>
          </w:p>
        </w:tc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Documento</w:t>
            </w:r>
          </w:p>
        </w:tc>
        <w:tc>
          <w:tcPr>
            <w:tcW w:type="dxa" w:w="559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Contenuto</w:t>
            </w:r>
          </w:p>
        </w:tc>
      </w:tr>
      <w:t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HLD</w:t>
            </w:r>
          </w:p>
        </w:tc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High Level Design</w:t>
            </w:r>
          </w:p>
        </w:tc>
        <w:tc>
          <w:tcPr>
            <w:tcW w:type="dxa" w:w="559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Questo documento: architettura d’insieme.</w:t>
            </w:r>
          </w:p>
        </w:tc>
      </w:tr>
      <w:t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LLD</w:t>
            </w:r>
          </w:p>
        </w:tc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Low Level Design</w:t>
            </w:r>
          </w:p>
        </w:tc>
        <w:tc>
          <w:tcPr>
            <w:tcW w:type="dxa" w:w="559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Struttura del codice, moduli, contratti interni, test.</w:t>
            </w:r>
          </w:p>
        </w:tc>
      </w:tr>
      <w:t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DB</w:t>
            </w:r>
          </w:p>
        </w:tc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Schema del database</w:t>
            </w:r>
          </w:p>
        </w:tc>
        <w:tc>
          <w:tcPr>
            <w:tcW w:type="dxa" w:w="559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Tabelle, vincoli, indici, migrazioni, dati di riferimento.</w:t>
            </w:r>
          </w:p>
        </w:tc>
      </w:tr>
      <w:t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FUN</w:t>
            </w:r>
          </w:p>
        </w:tc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Funzionamento dell’applicativo</w:t>
            </w:r>
          </w:p>
        </w:tc>
        <w:tc>
          <w:tcPr>
            <w:tcW w:type="dxa" w:w="559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Flussi funzionali passo per passo e comportamento dell’interfaccia.</w:t>
            </w:r>
          </w:p>
        </w:tc>
      </w:tr>
      <w:t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API</w:t>
            </w:r>
          </w:p>
        </w:tc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API Reference</w:t>
            </w:r>
          </w:p>
        </w:tc>
        <w:tc>
          <w:tcPr>
            <w:tcW w:type="dxa" w:w="559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Contratto REST e WebSocket, codici di errore, matrice permessi.</w:t>
            </w:r>
          </w:p>
        </w:tc>
      </w:tr>
      <w:t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SEC</w:t>
            </w:r>
          </w:p>
        </w:tc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Sicurezza e conformità</w:t>
            </w:r>
          </w:p>
        </w:tc>
        <w:tc>
          <w:tcPr>
            <w:tcW w:type="dxa" w:w="559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Modello di sicurezza, controlli, deviazioni consapevoli, stato di conformità.</w:t>
            </w:r>
          </w:p>
        </w:tc>
      </w:tr>
      <w:tr>
        <w:tc>
          <w:tcPr>
            <w:tcW w:type="dxa" w:w="96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OPS</w:t>
            </w:r>
          </w:p>
        </w:tc>
        <w:tc>
          <w:tcPr>
            <w:tcW w:type="dxa" w:w="30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Runbook operativo</w:t>
            </w:r>
          </w:p>
        </w:tc>
        <w:tc>
          <w:tcPr>
            <w:tcW w:type="dxa" w:w="559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Deploy, configurazione, manutenzione, troubleshooting, rollback.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2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Insieme documentale della soluzione.</w:t>
      </w:r>
    </w:p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2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Contesto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2.1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Il problema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Un visitatore che arriva in una sede Dompé ha bisogno di una connessione Wi-Fi temporanea. Sui controller Catalyst 9800 questo si traduce nella creazione di un utente locale di tipo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network-user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con una durata (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lifetime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) e nella sua rimozione a scadenza. Farlo a mano comporta tre problemi: richiede accesso amministrativo al controller, è soggetto a errore, e non lascia una traccia consultabile di chi ha rilasciato l’accesso e a chi.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2.2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Gli attori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928"/>
        <w:gridCol w:w="2506"/>
        <w:gridCol w:w="5204"/>
      </w:tblGrid>
      <w:tr>
        <w:trPr>
          <w:tblHeader/>
        </w:trP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Attore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Descrizione</w:t>
            </w:r>
          </w:p>
        </w:tc>
        <w:tc>
          <w:tcPr>
            <w:tcW w:type="dxa" w:w="520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Interazione con il sistema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Operatore di sede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Reception, front office, service desk.</w:t>
            </w:r>
          </w:p>
        </w:tc>
        <w:tc>
          <w:tcPr>
            <w:tcW w:type="dxa" w:w="520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Registra ospiti, consegna o rinvia credenziali, elimina accessi della propria sede.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Amministratore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IT Infrastructure / Network.</w:t>
            </w:r>
          </w:p>
        </w:tc>
        <w:tc>
          <w:tcPr>
            <w:tcW w:type="dxa" w:w="520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Profila gli utenti, configura le sedi e i controller, consulta lo storico, gestisce gli account di emergenza.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Osservatore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Ruolo di sola lettura.</w:t>
            </w:r>
          </w:p>
        </w:tc>
        <w:tc>
          <w:tcPr>
            <w:tcW w:type="dxa" w:w="520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Consulta la lista ospiti delle sedi concesse, senza poter modificare nulla.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Ospite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Il visitatore.</w:t>
            </w:r>
          </w:p>
        </w:tc>
        <w:tc>
          <w:tcPr>
            <w:tcW w:type="dxa" w:w="520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Non usa l’applicazione: riceve le credenziali via e-mail o su carta e si connette alla rete Wi-Fi.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Team di piattaforma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Chi possiede le risorse Azure.</w:t>
            </w:r>
          </w:p>
        </w:tc>
        <w:tc>
          <w:tcPr>
            <w:tcW w:type="dxa" w:w="520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Pre-provisiona l’infrastruttura, popola Key Vault, gestisce rete e ingress.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3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Attori del sistema.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2.3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Perimetro funzionale</w:t>
      </w:r>
    </w:p>
    <w:p>
      <w:pPr>
        <w:spacing w:after="140" w:line="288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Nel perimetro: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autenticazione aziendale degli operatori, selezione della sede di lavoro, creazione e revoca degli account ospite sul controller della sede, consegna delle credenziali via e-mail o a voce, monitoraggio in tempo reale della durata residua, riconciliazione periodica con i controller, amministrazione di utenti e sedi.</w:t>
      </w:r>
    </w:p>
    <w:p>
      <w:pPr>
        <w:spacing w:after="140" w:line="288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Fuori perimetro: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la configurazione radio e di rete dei controller, la gestione del captive portal, l’anagrafica dei visitatori in sistemi terzi, l’invio SMS (la funzione è presente a schema ma dormiente), e la creazione delle risorse Azure, che appartiene al team di piattaforma.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2.4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Sedi servite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L’applicazione è multi-sede per costruzione: ogni sede ha il proprio controller, i propri operatori abilitati e i propri ospiti. Il confine fra sedi è applicato dall’API, non soltanto dall’interfaccia.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157"/>
        <w:gridCol w:w="2891"/>
        <w:gridCol w:w="1928"/>
        <w:gridCol w:w="2024"/>
        <w:gridCol w:w="1638"/>
      </w:tblGrid>
      <w:tr>
        <w:trPr>
          <w:tblHeader/>
        </w:trPr>
        <w:tc>
          <w:tcPr>
            <w:tcW w:type="dxa" w:w="115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Codice</w:t>
            </w:r>
          </w:p>
        </w:tc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Sede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Città</w:t>
            </w:r>
          </w:p>
        </w:tc>
        <w:tc>
          <w:tcPr>
            <w:tcW w:type="dxa" w:w="202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Controller</w:t>
            </w:r>
          </w:p>
        </w:tc>
        <w:tc>
          <w:tcPr>
            <w:tcW w:type="dxa" w:w="1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SSID</w:t>
            </w:r>
          </w:p>
        </w:tc>
      </w:tr>
      <w:tr>
        <w:tc>
          <w:tcPr>
            <w:tcW w:type="dxa" w:w="115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MIL</w:t>
            </w:r>
          </w:p>
        </w:tc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Dompé Milano HQ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Milano</w:t>
            </w:r>
          </w:p>
        </w:tc>
        <w:tc>
          <w:tcPr>
            <w:tcW w:type="dxa" w:w="202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172.18.106.100</w:t>
            </w:r>
          </w:p>
        </w:tc>
        <w:tc>
          <w:tcPr>
            <w:tcW w:type="dxa" w:w="1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Dompe Guest</w:t>
            </w:r>
          </w:p>
        </w:tc>
      </w:tr>
      <w:tr>
        <w:tc>
          <w:tcPr>
            <w:tcW w:type="dxa" w:w="115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AQ</w:t>
            </w:r>
          </w:p>
        </w:tc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Dompé L’Aquila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L’Aquila</w:t>
            </w:r>
          </w:p>
        </w:tc>
        <w:tc>
          <w:tcPr>
            <w:tcW w:type="dxa" w:w="202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172.18.106.101</w:t>
            </w:r>
          </w:p>
        </w:tc>
        <w:tc>
          <w:tcPr>
            <w:tcW w:type="dxa" w:w="1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Dompe Guest AQ</w:t>
            </w:r>
          </w:p>
        </w:tc>
      </w:tr>
      <w:tr>
        <w:tc>
          <w:tcPr>
            <w:tcW w:type="dxa" w:w="115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NA</w:t>
            </w:r>
          </w:p>
        </w:tc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Dompé Napoli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Napoli</w:t>
            </w:r>
          </w:p>
        </w:tc>
        <w:tc>
          <w:tcPr>
            <w:tcW w:type="dxa" w:w="202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172.18.106.102</w:t>
            </w:r>
          </w:p>
        </w:tc>
        <w:tc>
          <w:tcPr>
            <w:tcW w:type="dxa" w:w="1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Dompe Guest NA</w:t>
            </w:r>
          </w:p>
        </w:tc>
      </w:tr>
      <w:tr>
        <w:tc>
          <w:tcPr>
            <w:tcW w:type="dxa" w:w="115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TIR</w:t>
            </w:r>
          </w:p>
        </w:tc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Dompé Tirana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Tirana (AL)</w:t>
            </w:r>
          </w:p>
        </w:tc>
        <w:tc>
          <w:tcPr>
            <w:tcW w:type="dxa" w:w="202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172.18.106.103</w:t>
            </w:r>
          </w:p>
        </w:tc>
        <w:tc>
          <w:tcPr>
            <w:tcW w:type="dxa" w:w="1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Dompe Guest TIR</w:t>
            </w:r>
          </w:p>
        </w:tc>
      </w:tr>
      <w:tr>
        <w:tc>
          <w:tcPr>
            <w:tcW w:type="dxa" w:w="115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SM</w:t>
            </w:r>
          </w:p>
        </w:tc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Dompé San Mateo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San Mateo (USA)</w:t>
            </w:r>
          </w:p>
        </w:tc>
        <w:tc>
          <w:tcPr>
            <w:tcW w:type="dxa" w:w="202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172.18.106.104</w:t>
            </w:r>
          </w:p>
        </w:tc>
        <w:tc>
          <w:tcPr>
            <w:tcW w:type="dxa" w:w="1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Dompe Guest SM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4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Sedi configurate come dati di riferimento (`backend/src/db/seed.ts`).</w:t>
      </w:r>
    </w:p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3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Visione d’insieme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La soluzione è composta da due container indipendenti — una single-page application servita da nginx e una API Node.js — pubblicati su Azure Container Apps dietro un Application Gateway con WAF. La API è l’unico componente che parla con il database, con Key Vault, con Microsoft Graph e con i controller wireless.</w:t>
      </w:r>
    </w:p>
    <w:p>
      <w:pPr>
        <w:spacing w:after="80" w:before="200"/>
        <w:jc w:val="center"/>
      </w:pPr>
      <w:r>
        <w:drawing>
          <wp:inline distT="0" distB="0" distL="0" distR="0">
            <wp:extent cx="6096000" cy="4648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Figura 1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Architettura logica: percorso della richiesta, servizi di piattaforma consumati e unico punto di uscita verso la rete di gestione.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3.1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Principi architetturali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Due immagini, nessuno stato locale.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Frontend e backend sono immagini separate, entrambe stateless e con utente non privilegiato: qualunque replica può servire qualunque richiesta.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Un solo perimetro di uscita.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L’unico traffico che lascia l’ambiente Azure verso la rete aziendale è quello diretto ai controller (HTTPS 443 e SSH 22). Tutto il resto resta su servizi di piattaforma.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Nessun segreto nel codice e nessun segreto nel database.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Ogni credenziale vive in Key Vault ed è iniettata come variabile d’ambiente; la password amministrativa del controller non è mai persistita.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Fail closed.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Ogni percorso di autorizzazione che non può concludersi rifiuta la richiesta: un errore nella risoluzione dei permessi produce 503, mai un ruolo di ripiego.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Il controller è la fonte di verità sull’accesso alla rete.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La banca dati applicativa lo rispecchia e viene riallineata periodicamente, non il contrario.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Modello consume-only.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L’applicazione e la sua pipeline consumano risorse pre-provisionate; non ne creano.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3.2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Componenti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735"/>
        <w:gridCol w:w="2506"/>
        <w:gridCol w:w="5397"/>
      </w:tblGrid>
      <w:tr>
        <w:trPr>
          <w:tblHeader/>
        </w:trPr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Componente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Tecnologia</w:t>
            </w:r>
          </w:p>
        </w:tc>
        <w:tc>
          <w:tcPr>
            <w:tcW w:type="dxa" w:w="539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Responsabilità</w:t>
            </w:r>
          </w:p>
        </w:tc>
      </w:tr>
      <w:tr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Frontend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React 18 · Vite · Tailwind · nginx 1.28 unprivileged</w:t>
            </w:r>
          </w:p>
        </w:tc>
        <w:tc>
          <w:tcPr>
            <w:tcW w:type="dxa" w:w="539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Interfaccia operatore e pannello di amministrazione. Non contiene logica di autorizzazione: nasconde ciò che l’utente non può fare, ma non lo impedisce.</w:t>
            </w:r>
          </w:p>
        </w:tc>
      </w:tr>
      <w:tr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Backend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Node.js 22 · Express · TypeScript (ESM)</w:t>
            </w:r>
          </w:p>
        </w:tc>
        <w:tc>
          <w:tcPr>
            <w:tcW w:type="dxa" w:w="539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API REST sotto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/api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, canale WebSocket, autenticazione, autorizzazione, dialogo con i controller, invio e-mail, servizi di background.</w:t>
            </w:r>
          </w:p>
        </w:tc>
      </w:tr>
      <w:tr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Database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Azure Database for PostgreSQL Flexible Server</w:t>
            </w:r>
          </w:p>
        </w:tc>
        <w:tc>
          <w:tcPr>
            <w:tcW w:type="dxa" w:w="539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Ospiti, sedi, directory utenti, sessioni, account di emergenza, storico delle operazioni.</w:t>
            </w:r>
          </w:p>
        </w:tc>
      </w:tr>
      <w:tr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Job di migrazione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Azure Container Apps Job</w:t>
            </w:r>
          </w:p>
        </w:tc>
        <w:tc>
          <w:tcPr>
            <w:tcW w:type="dxa" w:w="539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Applica lo schema prima che la nuova revisione del backend entri in servizio.</w:t>
            </w:r>
          </w:p>
        </w:tc>
      </w:tr>
      <w:tr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Application Gateway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Azure Application Gateway WAF v2</w:t>
            </w:r>
          </w:p>
        </w:tc>
        <w:tc>
          <w:tcPr>
            <w:tcW w:type="dxa" w:w="539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Terminazione TLS, WAF in prevenzione, instradamento per percorso: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/api/*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 al backend, tutto il resto al frontend.</w:t>
            </w:r>
          </w:p>
        </w:tc>
      </w:tr>
      <w:tr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Identity Provider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Microsoft Entra ID (SAML 2.0)</w:t>
            </w:r>
          </w:p>
        </w:tc>
        <w:tc>
          <w:tcPr>
            <w:tcW w:type="dxa" w:w="539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Autenticazione degli operatori, Conditional Access, Single Logout.</w:t>
            </w:r>
          </w:p>
        </w:tc>
      </w:tr>
      <w:tr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Key Vault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Azure Key Vault</w:t>
            </w:r>
          </w:p>
        </w:tc>
        <w:tc>
          <w:tcPr>
            <w:tcW w:type="dxa" w:w="539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Segreti applicativi e password amministrative dei controller, una per sede. Dal rilascio corrente il backend le legge </w:t>
            </w: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direttamente via SDK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 e un amministratore può consultarle e sostituirle dal pannello (deviazione D4).</w:t>
            </w:r>
          </w:p>
        </w:tc>
      </w:tr>
      <w:tr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Posta e directory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Microsoft Graph</w:t>
            </w:r>
          </w:p>
        </w:tc>
        <w:tc>
          <w:tcPr>
            <w:tcW w:type="dxa" w:w="539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Mail.Send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 per la consegna delle credenziali all’ospite;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User.Read.All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 per la ricerca del referente interno in Entra ID.</w:t>
            </w:r>
          </w:p>
        </w:tc>
      </w:tr>
      <w:tr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Controller wireless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Cisco Catalyst 9800 (IOS-XE)</w:t>
            </w:r>
          </w:p>
        </w:tc>
        <w:tc>
          <w:tcPr>
            <w:tcW w:type="dxa" w:w="539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Sistema di destinazione: ospita gli account ospite effettivi.</w:t>
            </w:r>
          </w:p>
        </w:tc>
      </w:tr>
      <w:tr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Osservabilità</w:t>
            </w:r>
          </w:p>
        </w:tc>
        <w:tc>
          <w:tcPr>
            <w:tcW w:type="dxa" w:w="2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Log Analytics · Application Insights</w:t>
            </w:r>
          </w:p>
        </w:tc>
        <w:tc>
          <w:tcPr>
            <w:tcW w:type="dxa" w:w="539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Log strutturati, correlazione delle richieste, alert sugli accessi di emergenza.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5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Componenti della soluzione e relative responsabilità.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3.3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Perché nessun CORS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Frontend e backend sono esposti sullo stesso hostname e distinti solo per percorso: il browser non effettua mai una richiesta cross-origin verso la API. Abilitare CORS non servirebbe a nulla e amplierebbe la superficie: è deliberatamente assente.</w:t>
      </w:r>
    </w:p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4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Flussi principali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 flussi sono descritti qui nella loro logica; il dettaglio passo per passo è nel documento FUN.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4.1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Accesso alla console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L’operatore apre l’applicazione e viene reindirizzato a Microsoft Entra ID.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Al primo accesso riuscito viene creata una voce nella directory applicativa,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bloccata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: l’utente è autenticato ma non può fare nulla.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Un amministratore assegna ruolo, stato e sedi. Il cambiamento ha effetto entro pochi secondi, senza che l’utente debba riautenticarsi.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L’operatore sceglie la sede su cui lavorare; la sessione viene legata a quella sede.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4.2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Rilascio di un accesso ospite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L’operatore compila nome, referente interno e durata (preset fino a una settimana, oppure una data di fine).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Il server genera username e password con un generatore crittografico. L’username è verificato contro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tutti gli ospiti mai creati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così non eredita un account preesistente sul controller; la password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esiste solo in memoria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L’ospite viene registrato in banca dati senza password, e la credenziale viene spinta sul controller della sede via SSH.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La password è mostrata all’operatore una sola volta e, se è stato indicato un indirizzo, inviata all’ospite via Microsoft Graph.</w:t>
      </w:r>
    </w:p>
    <w:p>
      <w:pPr>
        <w:pStyle w:val="ListParagraph"/>
        <w:numPr>
          <w:ilvl w:val="0"/>
          <w:numId w:val="4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Un evento WebSocket aggiorna in tempo reale le altre postazioni della stessa sede.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4.3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Connesso non significa attivo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Un account valido e un dispositivo effettivamente collegato sono due cose diverse. La sincronizzazione legge anche la tabella dei client del controller: la console distingue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Attivi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(account validi) da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Connessi Ora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(dispositivi sulla rete). È una sonda facoltativa — un controller che non la espone lascia lo stato «non noto», mai «non connesso», e non compromette il resto della sincronizzazione.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4.4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Scadenza e revoca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Un servizio di background calcola ogni secondo il tempo trascorso dagli account attivi e li porta a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scaduto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quando la durata è esaurita. Ogni trenta secondi una sincronizzazione legge la configurazione dei controller e riallinea la banca dati: gli utenti trovati sul controller ma sconosciuti vengono importati, quelli spariti dal controller vengono disattivati. La revoca manuale rimuove l’utente dal controller e ne aggiorna lo stato.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4.4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Amministrazione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Il pannello di amministrazione, riservato al ruolo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admin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copre la directory degli utenti, l’anagrafica e i parametri di connessione delle sedi con relativa diagnostica, e la gestione degli account di emergenza — limitatamente ad abilitazione, disabilitazione e sblocco. La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creazione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di un account di emergenza e la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rotazione della sua password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restano fuori dalla API, disponibili solo da riga di comando.</w:t>
      </w:r>
    </w:p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5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Modello di sicurezza (sintesi)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Il modello completo è descritto nel documento SEC; qui se ne riassumono i pilastri.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5.1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Autenticazione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SSO SAML 2.0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verso Microsoft Entra ID, con firma dell’asserzione e della risposta, verifica di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audience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e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InResponseTo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e Single Logout.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L’applicazione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non impone il metodo di autenticazione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: l’AuthnRequest non contiene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RequestedAuthnContext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così l’accesso senza password (certificato, Windows Hello, FIDO2) resta una decisione di Conditional Access del tenant.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Accesso di emergenza (break-glass)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locale, disattivato per impostazione predefinita, da usare solo quando l’IdP non è disponibile.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5.2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Autorizzazione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542"/>
        <w:gridCol w:w="8096"/>
      </w:tblGrid>
      <w:tr>
        <w:trPr>
          <w:tblHeader/>
        </w:trPr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Ruolo</w:t>
            </w:r>
          </w:p>
        </w:tc>
        <w:tc>
          <w:tcPr>
            <w:tcW w:type="dxa" w:w="809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Può</w:t>
            </w:r>
          </w:p>
        </w:tc>
      </w:tr>
      <w:tr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viewer</w:t>
            </w:r>
          </w:p>
        </w:tc>
        <w:tc>
          <w:tcPr>
            <w:tcW w:type="dxa" w:w="809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Consultare cruscotto e lista ospiti delle sole sedi concesse.</w:t>
            </w:r>
          </w:p>
        </w:tc>
      </w:tr>
      <w:tr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operator</w:t>
            </w:r>
          </w:p>
        </w:tc>
        <w:tc>
          <w:tcPr>
            <w:tcW w:type="dxa" w:w="809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Quanto sopra, più creare, revocare e rinviare credenziali sulle sedi concesse.</w:t>
            </w:r>
          </w:p>
        </w:tc>
      </w:tr>
      <w:tr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admin</w:t>
            </w:r>
          </w:p>
        </w:tc>
        <w:tc>
          <w:tcPr>
            <w:tcW w:type="dxa" w:w="809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Quanto sopra su tutte le sedi, più il pannello di amministrazione.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6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Ruoli applicativi.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L’autorizzazione è risolta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a ogni richiesta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e non è mai serializzata in sessione: una sospensione ha effetto entro il tempo di vita della cache (15 secondi), non al prossimo accesso dell’utente. Lo stesso controllo si applica all’apertura del canale WebSocket.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5.3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Segreti e dati sensibili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Ogni segreto risiede in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Azure Key Vault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 Il backend lo raggiunge con la propria identità gestita: le password dei controller sono lette direttamente dal vault, gli altri segreti arrivano come variabili d’ambiente.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La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password amministrativa del controller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è una per sede (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WLC-PASSWORD-&lt;CODICE&gt;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) e non compare in alcuna tabella. Non compare nemmeno negli elenchi o nel record di sede restituiti dalla API: un amministratore può leggerla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solo puntualmente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una sede alla volta, e ogni lettura è tracciata (deviazione D4).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La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password dell’ospite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non viene mai persistita: è generata in memoria, consegnata e dimenticata. Non esiste un percorso per rileggerla, solo per rigenerarla.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Il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database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è raggiunto con un token Entra ID ottenuto dall’identità gestita: nella stringa di connessione non c’è alcuna password.</w:t>
      </w:r>
    </w:p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6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Modello dati (sintesi)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Il modello completo, con tipi, vincoli e indici, è nel documento DB. In sintesi ruota attorno a tre nuclei.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928"/>
        <w:gridCol w:w="2699"/>
        <w:gridCol w:w="5011"/>
      </w:tblGrid>
      <w:tr>
        <w:trPr>
          <w:tblHeader/>
        </w:trP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Nucleo</w:t>
            </w:r>
          </w:p>
        </w:tc>
        <w:tc>
          <w:tcPr>
            <w:tcW w:type="dxa" w:w="269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Tabelle</w:t>
            </w:r>
          </w:p>
        </w:tc>
        <w:tc>
          <w:tcPr>
            <w:tcW w:type="dxa" w:w="501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Ruolo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Operatività</w:t>
            </w:r>
          </w:p>
        </w:tc>
        <w:tc>
          <w:tcPr>
            <w:tcW w:type="dxa" w:w="269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guests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sedi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sync_logs</w:t>
            </w:r>
          </w:p>
        </w:tc>
        <w:tc>
          <w:tcPr>
            <w:tcW w:type="dxa" w:w="501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Gli ospiti, le sedi con i parametri del rispettivo controller, e lo storico delle operazioni eseguite.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Identità e permessi</w:t>
            </w:r>
          </w:p>
        </w:tc>
        <w:tc>
          <w:tcPr>
            <w:tcW w:type="dxa" w:w="269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app_users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app_user_sedi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breakglass_users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session</w:t>
            </w:r>
          </w:p>
        </w:tc>
        <w:tc>
          <w:tcPr>
            <w:tcW w:type="dxa" w:w="501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Directory applicativa popolata al primo accesso, concessioni per sede, account di emergenza, sessioni persistite.</w:t>
            </w:r>
          </w:p>
        </w:tc>
      </w:tr>
      <w:tr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Supporto al protocollo</w:t>
            </w:r>
          </w:p>
        </w:tc>
        <w:tc>
          <w:tcPr>
            <w:tcW w:type="dxa" w:w="269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saml_request_ids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sms_config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wlc_config</w:t>
            </w:r>
          </w:p>
        </w:tc>
        <w:tc>
          <w:tcPr>
            <w:tcW w:type="dxa" w:w="501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Identificativi delle AuthnRequest in attesa, configurazione SMS dormiente, residuo legacy in via di dismissione.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7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Raggruppamento logico delle tabelle.</w:t>
      </w:r>
    </w:p>
    <w:tbl>
      <w:tblPr>
        <w:tblW w:type="dxa" w:w="9638"/>
        <w:tblBorders>
          <w:top w:val="none"/>
          <w:left w:val="single" w:color="DC3230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EE2E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C3230"/>
                <w:sz w:val="20"/>
                <w:szCs w:val="20"/>
              </w:rPr>
              <w:t xml:space="preserve">Due assenze deliberate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Nello schema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non esiste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una colonna per la password dell’ospite, e </w:t>
            </w: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non esiste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 una colonna per la password amministrativa del controller. Sono scelte progettuali, non omissioni: la prima vive solo in memoria per il tempo di una richiesta, la seconda solo in Key Vault.</w:t>
            </w:r>
          </w:p>
        </w:tc>
      </w:tr>
    </w:tbl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7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Architettura di deployment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7.1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Ambienti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120"/>
        <w:gridCol w:w="1349"/>
        <w:gridCol w:w="3277"/>
        <w:gridCol w:w="2892"/>
      </w:tblGrid>
      <w:tr>
        <w:trPr>
          <w:tblHeader/>
        </w:trP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Ambiente</w:t>
            </w:r>
          </w:p>
        </w:tc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Suffisso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Origine del deploy</w:t>
            </w:r>
          </w:p>
        </w:tc>
        <w:tc>
          <w:tcPr>
            <w:tcW w:type="dxa" w:w="289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Hostname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Sviluppo</w:t>
            </w:r>
          </w:p>
        </w:tc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dev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Avvio manuale del workflow</w:t>
            </w:r>
          </w:p>
        </w:tc>
        <w:tc>
          <w:tcPr>
            <w:tcW w:type="dxa" w:w="289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https://guestportal-dev.dompe.com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Collaudo</w:t>
            </w:r>
          </w:p>
        </w:tc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stg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Push sul ramo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staging</w:t>
            </w:r>
          </w:p>
        </w:tc>
        <w:tc>
          <w:tcPr>
            <w:tcW w:type="dxa" w:w="289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https://guestportal-stg.dompe.com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Produzione</w:t>
            </w:r>
          </w:p>
        </w:tc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prod</w:t>
            </w:r>
          </w:p>
        </w:tc>
        <w:tc>
          <w:tcPr>
            <w:tcW w:type="dxa" w:w="32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Push sul ramo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main</w:t>
            </w:r>
          </w:p>
        </w:tc>
        <w:tc>
          <w:tcPr>
            <w:tcW w:type="dxa" w:w="289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https://guestportal.dompe.com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8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Ambienti e mappatura dei rami.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La convenzione di denominazione della zona aziendale prevede che la produzione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non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abbia suffisso; ogni ambiente ha il proprio Key Vault, il proprio database e la propria applicazione registrata in Entra ID.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7.2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Pipeline</w:t>
      </w:r>
    </w:p>
    <w:p>
      <w:pPr>
        <w:spacing w:after="80" w:before="200"/>
        <w:jc w:val="center"/>
      </w:pPr>
      <w:r>
        <w:drawing>
          <wp:inline distT="0" distB="0" distL="0" distR="0">
            <wp:extent cx="60960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Figura 2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Pipeline CI/CD: quattro stadi, autenticazione federata OIDC, nessuna creazione di risorse.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L’autenticazione verso Azure avviene con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identità federata OIDC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: la pipeline non custodisce alcun segreto di accesso al cloud. I segreti applicativi non transitano mai dalla pipeline, che si limita a impostare i riferimenti a Key Vault sulle variabili d’ambiente della Container App.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7.3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Modello consume-only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Resource Group, ambiente Container Apps, le due Container App, le identità gestite, Key Vault, PostgreSQL, Container Registry, Application Gateway e il job di migrazione sono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pre-provisionati dal team di piattaforma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. La pipeline esegue soltanto aggiornamenti; lo script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scripts/provision.sh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effettua una verifica in sola lettura della presenza delle risorse attese.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7.4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Ingress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L’ambiente Container Apps è </w:t>
      </w: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internal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: non possiede un indirizzo pubblico. Le due applicazioni sono create con ingress </w:t>
      </w:r>
      <w:r>
        <w:rPr>
          <w:rFonts w:ascii="Consolas" w:cs="Consolas" w:eastAsia="Consolas" w:hAnsi="Consolas"/>
          <w:b w:val="false"/>
          <w:bCs w:val="false"/>
          <w:color w:val="0A5D65"/>
          <w:sz w:val="19"/>
          <w:szCs w:val="19"/>
        </w:rPr>
        <w:t xml:space="preserve">external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, che in Container Apps significa «raggiungibile dall’intera rete virtuale», non «esposto su Internet»: è la condizione necessaria perché l’Application Gateway, che vive fuori dall’ambiente, possa raggiungerle. La conformità «nessun ingress pubblico» è garantita dall’ambiente, non dal singolo flag applicativo.</w:t>
      </w:r>
    </w:p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8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Requisiti non funzionali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735"/>
        <w:gridCol w:w="3855"/>
        <w:gridCol w:w="4048"/>
      </w:tblGrid>
      <w:tr>
        <w:trPr>
          <w:tblHeader/>
        </w:trPr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Ambito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Scelta architetturale</w:t>
            </w:r>
          </w:p>
        </w:tc>
        <w:tc>
          <w:tcPr>
            <w:tcW w:type="dxa" w:w="40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Conseguenza operativa</w:t>
            </w:r>
          </w:p>
        </w:tc>
      </w:tr>
      <w:tr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Disponibilità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Componenti stateless, sessioni su PostgreSQL, revisione singola senza autoscaling.</w:t>
            </w:r>
          </w:p>
        </w:tc>
        <w:tc>
          <w:tcPr>
            <w:tcW w:type="dxa" w:w="40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Il riavvio di una replica non disconnette gli operatori. La disponibilità dipende da quella del database e dell’Application Gateway.</w:t>
            </w:r>
          </w:p>
        </w:tc>
      </w:tr>
      <w:tr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Prestazioni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Cruscotto aggiornato da eventi WebSocket con polling di sicurezza a 30 s; timer lato server a 1 s.</w:t>
            </w:r>
          </w:p>
        </w:tc>
        <w:tc>
          <w:tcPr>
            <w:tcW w:type="dxa" w:w="40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Il carico verso la API è dominato dalla sincronizzazione periodica, non dai client.</w:t>
            </w:r>
          </w:p>
        </w:tc>
      </w:tr>
      <w:tr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Scalabilità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Il collo di bottiglia è il numero di sedi da sincronizzare, non il numero di operatori.</w:t>
            </w:r>
          </w:p>
        </w:tc>
        <w:tc>
          <w:tcPr>
            <w:tcW w:type="dxa" w:w="40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La sincronizzazione è sequenziale per sede ogni 30 s: con cinque sedi il margine è ampio.</w:t>
            </w:r>
          </w:p>
        </w:tc>
      </w:tr>
      <w:tr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Sicurezza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Vedi §5 e documento SEC.</w:t>
            </w:r>
          </w:p>
        </w:tc>
        <w:tc>
          <w:tcPr>
            <w:tcW w:type="dxa" w:w="40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WAF in prevenzione, nessun ingress pubblico, segreti solo in Key Vault.</w:t>
            </w:r>
          </w:p>
        </w:tc>
      </w:tr>
      <w:tr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Osservabilità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Log strutturati JSON con identificativo di correlazione su ogni richiesta; sonde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/api/healthz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/api/readyz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.</w:t>
            </w:r>
          </w:p>
        </w:tc>
        <w:tc>
          <w:tcPr>
            <w:tcW w:type="dxa" w:w="40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Ogni richiesta è ricostruibile in Log Analytics; gli accessi di emergenza sono registrati a livello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warn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 per l’alerting.</w:t>
            </w:r>
          </w:p>
        </w:tc>
      </w:tr>
      <w:tr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Manutenibilità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Migrazioni idempotenti eseguite da un job dedicato prima del deploy.</w:t>
            </w:r>
          </w:p>
        </w:tc>
        <w:tc>
          <w:tcPr>
            <w:tcW w:type="dxa" w:w="40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Un rollback dell’immagine non richiede un rollback dello schema, purché le migrazioni restino additive.</w:t>
            </w:r>
          </w:p>
        </w:tc>
      </w:tr>
      <w:tr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Continuità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Persistenza affidata al backup gestito di PostgreSQL Flexible Server.</w:t>
            </w:r>
          </w:p>
        </w:tc>
        <w:tc>
          <w:tcPr>
            <w:tcW w:type="dxa" w:w="40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RPO e RTO coincidono con quelli definiti dal team di piattaforma per il servizio gestito.</w:t>
            </w:r>
          </w:p>
        </w:tc>
      </w:tr>
      <w:tr>
        <w:tc>
          <w:tcPr>
            <w:tcW w:type="dxa" w:w="17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Internazionalizzazione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Interfaccia in italiano e inglese, commutabile senza ricaricare la pagina.</w:t>
            </w:r>
          </w:p>
        </w:tc>
        <w:tc>
          <w:tcPr>
            <w:tcW w:type="dxa" w:w="40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Le sedi estere (Tirana, San Mateo) usano la stessa installazione.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9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Requisiti non funzionali e relative scelte.</w:t>
      </w:r>
    </w:p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9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Decisioni architetturali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Le decisioni seguenti hanno effetti che attraversano più componenti; sono riportate con la motivazione perché una loro revisione futura possa partire dal problema originario e non dalla sola soluzione.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771"/>
        <w:gridCol w:w="3855"/>
        <w:gridCol w:w="5012"/>
      </w:tblGrid>
      <w:tr>
        <w:trPr>
          <w:tblHeader/>
        </w:trPr>
        <w:tc>
          <w:tcPr>
            <w:tcW w:type="dxa" w:w="7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#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Decisione</w:t>
            </w:r>
          </w:p>
        </w:tc>
        <w:tc>
          <w:tcPr>
            <w:tcW w:type="dxa" w:w="50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Motivazione</w:t>
            </w:r>
          </w:p>
        </w:tc>
      </w:tr>
      <w:tr>
        <w:tc>
          <w:tcPr>
            <w:tcW w:type="dxa" w:w="7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AD-01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 parametri del controller vivono sul record di sede, non su una tabella separata collegata da entrambi i lati.</w:t>
            </w:r>
          </w:p>
        </w:tc>
        <w:tc>
          <w:tcPr>
            <w:tcW w:type="dxa" w:w="50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Il doppio collegamento poteva divergere, e ogni lettura portava con sé un ripiego. Una riga per sede elimina la classe di errore.</w:t>
            </w:r>
          </w:p>
        </w:tc>
      </w:tr>
      <w:tr>
        <w:tc>
          <w:tcPr>
            <w:tcW w:type="dxa" w:w="7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AD-02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La sede su cui si opera è tenuta in sessione e non accettata dal client.</w:t>
            </w:r>
          </w:p>
        </w:tc>
        <w:tc>
          <w:tcPr>
            <w:tcW w:type="dxa" w:w="50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Quando arrivava dalla query string, chiunque poteva leggere gli ospiti di un’altra sede modificando l’URL.</w:t>
            </w:r>
          </w:p>
        </w:tc>
      </w:tr>
      <w:tr>
        <w:tc>
          <w:tcPr>
            <w:tcW w:type="dxa" w:w="7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AD-03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L’autorizzazione è risolta a ogni richiesta, mai letta dalla sessione.</w:t>
            </w:r>
          </w:p>
        </w:tc>
        <w:tc>
          <w:tcPr>
            <w:tcW w:type="dxa" w:w="50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Un ruolo memorizzato in sessione avrebbe tenuto in vita i permessi di un utente sospeso fino alla scadenza del cookie (24 ore).</w:t>
            </w:r>
          </w:p>
        </w:tc>
      </w:tr>
      <w:tr>
        <w:tc>
          <w:tcPr>
            <w:tcW w:type="dxa" w:w="7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AD-04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La password dell’ospite non viene persistita.</w:t>
            </w:r>
          </w:p>
        </w:tc>
        <w:tc>
          <w:tcPr>
            <w:tcW w:type="dxa" w:w="50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Riduce l’impatto di una compromissione della banca dati; la riconsegna avviene per rigenerazione, non per rilettura.</w:t>
            </w:r>
          </w:p>
        </w:tc>
      </w:tr>
      <w:tr>
        <w:tc>
          <w:tcPr>
            <w:tcW w:type="dxa" w:w="7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AD-05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La password amministrativa del controller è una per sede e risiede solo in Key Vault.</w:t>
            </w:r>
          </w:p>
        </w:tc>
        <w:tc>
          <w:tcPr>
            <w:tcW w:type="dxa" w:w="50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Evita che la schermata di accesso diventi un modo per riconfigurare un controller, e limita il raggio di una compromissione a una sola sede.</w:t>
            </w:r>
          </w:p>
        </w:tc>
      </w:tr>
      <w:tr>
        <w:tc>
          <w:tcPr>
            <w:tcW w:type="dxa" w:w="7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AD-06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Gli identificativi delle AuthnRequest SAML sono persistiti su PostgreSQL.</w:t>
            </w:r>
          </w:p>
        </w:tc>
        <w:tc>
          <w:tcPr>
            <w:tcW w:type="dxa" w:w="50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La cache in memoria di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node-saml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 non sopravvive a un riavvio fra il redirect e la risposta dell’IdP, e non funziona affatto con più repliche.</w:t>
            </w:r>
          </w:p>
        </w:tc>
      </w:tr>
      <w:tr>
        <w:tc>
          <w:tcPr>
            <w:tcW w:type="dxa" w:w="7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AD-07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La sessione è persistita su PostgreSQL con un pool costruito dall’applicazione.</w:t>
            </w:r>
          </w:p>
        </w:tc>
        <w:tc>
          <w:tcPr>
            <w:tcW w:type="dxa" w:w="50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Il pool interno della libreria non usa TLS e non dispone del token Entra: contro Azure PostgreSQL non si connette.</w:t>
            </w:r>
          </w:p>
        </w:tc>
      </w:tr>
      <w:tr>
        <w:tc>
          <w:tcPr>
            <w:tcW w:type="dxa" w:w="7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AD-08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L’AuthnRequest non contiene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RequestedAuthnContext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.</w:t>
            </w:r>
          </w:p>
        </w:tc>
        <w:tc>
          <w:tcPr>
            <w:tcW w:type="dxa" w:w="50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Il valore predefinito della libreria vincolava l’accesso a «password»: ogni accesso passwordless falliva con AADSTS75011. Il metodo di autenticazione è una decisione del tenant.</w:t>
            </w:r>
          </w:p>
        </w:tc>
      </w:tr>
      <w:tr>
        <w:tc>
          <w:tcPr>
            <w:tcW w:type="dxa" w:w="7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AD-09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La convenzione che concede il ruolo di amministratore si valuta sullo UPN, non sull’indirizzo di posta.</w:t>
            </w:r>
          </w:p>
        </w:tc>
        <w:tc>
          <w:tcPr>
            <w:tcW w:type="dxa" w:w="50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Gli account amministrativi non hanno casella: valutata sulla posta, la regola mancava esattamente gli account per cui esiste.</w:t>
            </w:r>
          </w:p>
        </w:tc>
      </w:tr>
      <w:tr>
        <w:tc>
          <w:tcPr>
            <w:tcW w:type="dxa" w:w="7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AD-10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Creazione e rotazione degli account di emergenza restano fuori dalla API.</w:t>
            </w:r>
          </w:p>
        </w:tc>
        <w:tc>
          <w:tcPr>
            <w:tcW w:type="dxa" w:w="50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Una sessione amministrativa compromessa non deve poter creare una credenziale che aggira Entra ID.</w:t>
            </w:r>
          </w:p>
        </w:tc>
      </w:tr>
      <w:tr>
        <w:tc>
          <w:tcPr>
            <w:tcW w:type="dxa" w:w="7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AD-11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Il controller è la fonte di verità sull’accesso alla rete.</w:t>
            </w:r>
          </w:p>
        </w:tc>
        <w:tc>
          <w:tcPr>
            <w:tcW w:type="dxa" w:w="50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 caso di divergenza vince ciò che consente o nega effettivamente l’accesso, non ciò che è registrato in banca dati.</w:t>
            </w:r>
          </w:p>
        </w:tc>
      </w:tr>
      <w:tr>
        <w:tc>
          <w:tcPr>
            <w:tcW w:type="dxa" w:w="7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AD-12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Le password dei controller sono lette direttamente da Key Vault e tenute in memoria, con le variabili d’ambiente come ripiego.</w:t>
            </w:r>
          </w:p>
        </w:tc>
        <w:tc>
          <w:tcPr>
            <w:tcW w:type="dxa" w:w="50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Il legame per variabile d’ambiente richiedeva una nuova revisione della Container App a ogni rotazione, e un riferimento non risolto finiva al controller </w:t>
            </w: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come se fosse la password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. Leggere dal vault rende la rotazione un’operazione di esercizio e permette di ignorare un riferimento rimasto testuale.</w:t>
            </w:r>
          </w:p>
        </w:tc>
      </w:tr>
      <w:tr>
        <w:tc>
          <w:tcPr>
            <w:tcW w:type="dxa" w:w="7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AD-13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La ricerca del referente interroga Entra ID a ogni battitura, senza alcuna cache.</w:t>
            </w:r>
          </w:p>
        </w:tc>
        <w:tc>
          <w:tcPr>
            <w:tcW w:type="dxa" w:w="50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Una cache avrebbe mostrato persone non più in azienda e avrebbe conservato dati della directory in un secondo posto. Dal backend escono solo i nomi visualizzati.</w:t>
            </w:r>
          </w:p>
        </w:tc>
      </w:tr>
      <w:tr>
        <w:tc>
          <w:tcPr>
            <w:tcW w:type="dxa" w:w="7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AD-14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La presenza dei dispositivi è tenuta in memoria, con scadenza a 90 secondi, e non è mai persistita.</w:t>
            </w:r>
          </w:p>
        </w:tc>
        <w:tc>
          <w:tcPr>
            <w:tcW w:type="dxa" w:w="50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È una copia di stato vivo del controller, riletta ogni 30 secondi: persisterla le darebbe solo un modo di diventare obsoleta. Una lettura troppo vecchia risponde «non noto», mai «non connesso».</w:t>
            </w:r>
          </w:p>
        </w:tc>
      </w:tr>
      <w:tr>
        <w:tc>
          <w:tcPr>
            <w:tcW w:type="dxa" w:w="7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AD-15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Il reinvio delle credenziali </w:t>
            </w: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ricrea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 l’account sul controller invece di modificarlo.</w:t>
            </w:r>
          </w:p>
        </w:tc>
        <w:tc>
          <w:tcPr>
            <w:tcW w:type="dxa" w:w="50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Il controller conta la durata da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creation-time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, che una modifica non azzera: le credenziali reinviate arrivavano già scadute mentre il messaggio prometteva una durata nuova.</w:t>
            </w:r>
          </w:p>
        </w:tc>
      </w:tr>
      <w:tr>
        <w:tc>
          <w:tcPr>
            <w:tcW w:type="dxa" w:w="7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AD-16</w:t>
            </w:r>
          </w:p>
        </w:tc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Dopo ogni scrittura l’account viene riletto dal controller e confrontato con quanto richiesto.</w:t>
            </w:r>
          </w:p>
        </w:tc>
        <w:tc>
          <w:tcPr>
            <w:tcW w:type="dxa" w:w="50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Prima l’output della sessione veniva scartato: un account arrivato sul controller malformato era indistinguibile da uno corretto.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10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Registro delle decisioni architetturali.</w:t>
      </w:r>
    </w:p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10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Rischi e deviazioni accettate</w:t>
      </w:r>
    </w:p>
    <w:p>
      <w:pPr>
        <w:spacing w:after="140" w:line="288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Quattro deviazioni dai requisiti di sicurezza di riferimento sono state assunte consapevolmente. Il dettaglio, con i controlli compensativi e il rischio residuo, è nel documento SEC.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675"/>
        <w:gridCol w:w="3181"/>
        <w:gridCol w:w="5782"/>
      </w:tblGrid>
      <w:tr>
        <w:trPr>
          <w:tblHeader/>
        </w:trPr>
        <w:tc>
          <w:tcPr>
            <w:tcW w:type="dxa" w:w="6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#</w:t>
            </w:r>
          </w:p>
        </w:tc>
        <w:tc>
          <w:tcPr>
            <w:tcW w:type="dxa" w:w="31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Deviazione</w:t>
            </w:r>
          </w:p>
        </w:tc>
        <w:tc>
          <w:tcPr>
            <w:tcW w:type="dxa" w:w="578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Controlli compensativi</w:t>
            </w:r>
          </w:p>
        </w:tc>
      </w:tr>
      <w:tr>
        <w:tc>
          <w:tcPr>
            <w:tcW w:type="dxa" w:w="6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D1</w:t>
            </w:r>
          </w:p>
        </w:tc>
        <w:tc>
          <w:tcPr>
            <w:tcW w:type="dxa" w:w="31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L’accesso di emergenza non prevede un secondo fattore.</w:t>
            </w:r>
          </w:p>
        </w:tc>
        <w:tc>
          <w:tcPr>
            <w:tcW w:type="dxa" w:w="578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Disattivato per impostazione predefinita, lista di indirizzi consentiti, blocco dell’account e limitazione per indirizzo di origine, sessione più breve, registrazione di ogni tentativo a livello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warn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 per l’alerting, account creabili solo da riga di comando.</w:t>
            </w:r>
          </w:p>
        </w:tc>
      </w:tr>
      <w:tr>
        <w:tc>
          <w:tcPr>
            <w:tcW w:type="dxa" w:w="6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D2</w:t>
            </w:r>
          </w:p>
        </w:tc>
        <w:tc>
          <w:tcPr>
            <w:tcW w:type="dxa" w:w="31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La verifica della chiave host SSH verso i controller è disattivata.</w:t>
            </w:r>
          </w:p>
        </w:tc>
        <w:tc>
          <w:tcPr>
            <w:tcW w:type="dxa" w:w="578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Percorso di rete interno e gestito; l’applicazione registra una segnalazione alla prima connessione non verificata perché lo stato sia visibile.</w:t>
            </w:r>
          </w:p>
        </w:tc>
      </w:tr>
      <w:tr>
        <w:tc>
          <w:tcPr>
            <w:tcW w:type="dxa" w:w="6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D3</w:t>
            </w:r>
          </w:p>
        </w:tc>
        <w:tc>
          <w:tcPr>
            <w:tcW w:type="dxa" w:w="31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La verifica del certificato TLS dei controller è disattivata in produzione.</w:t>
            </w:r>
          </w:p>
        </w:tc>
        <w:tc>
          <w:tcPr>
            <w:tcW w:type="dxa" w:w="578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 Catalyst 9800 presentano un certificato autofirmato; la connessione resta cifrata e confinata alla rete di gestione. La rimozione della deviazione richiede l’installazione di certificati attendibili sui controller.</w:t>
            </w:r>
          </w:p>
        </w:tc>
      </w:tr>
      <w:tr>
        <w:tc>
          <w:tcPr>
            <w:tcW w:type="dxa" w:w="6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D4</w:t>
            </w:r>
          </w:p>
        </w:tc>
        <w:tc>
          <w:tcPr>
            <w:tcW w:type="dxa" w:w="31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Un amministratore può leggere e sostituire la password di un controller dal pannello.</w:t>
            </w:r>
          </w:p>
        </w:tc>
        <w:tc>
          <w:tcPr>
            <w:tcW w:type="dxa" w:w="578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Solo ruolo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admin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; lettura puntuale, una sede alla volta, mai in un elenco né nel record di sede; ogni lettura e ogni scrittura tracciate con l’attore; il valore non è mai registrato nei log né restituito da una scrittura; Key Vault resta l’unico archivio. Ribalta, su richiesta esplicita, la regola «nessun segreto attraversa la API».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11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Deviazioni consapevoli e controlli compensativi.</w:t>
      </w:r>
    </w:p>
    <w:p>
      <w:pPr>
        <w:pStyle w:val="Heading2"/>
        <w:keepNext/>
        <w:spacing w:after="130" w:before="340"/>
      </w:pPr>
      <w:r>
        <w:rPr>
          <w:rFonts w:ascii="Arial" w:cs="Arial" w:eastAsia="Arial" w:hAnsi="Arial"/>
          <w:b/>
          <w:bCs/>
          <w:color w:val="DC3230"/>
          <w:sz w:val="27"/>
          <w:szCs w:val="27"/>
        </w:rPr>
        <w:t xml:space="preserve">10.1  </w:t>
      </w:r>
      <w:r>
        <w:rPr>
          <w:rFonts w:ascii="Arial" w:cs="Arial" w:eastAsia="Arial" w:hAnsi="Arial"/>
          <w:b/>
          <w:bCs/>
          <w:caps w:val="false"/>
          <w:color w:val="0A5D65"/>
          <w:sz w:val="27"/>
          <w:szCs w:val="27"/>
        </w:rPr>
        <w:t xml:space="preserve">Rischi residui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Dipendenza da una sola istanza di database.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Un’indisponibilità di PostgreSQL blocca autenticazione e operatività: le sessioni vivono lì.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Riconciliazione a finestra.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Una modifica eseguita direttamente sul controller è visibile in console entro trenta secondi, non immediatamente.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Consegna delle credenziali via posta.</w:t>
      </w:r>
      <w:r>
        <w:rPr>
          <w:rFonts w:ascii="Arial" w:cs="Arial" w:eastAsia="Arial" w:hAnsi="Arial"/>
          <w:color w:val="212121"/>
          <w:sz w:val="21"/>
          <w:szCs w:val="21"/>
        </w:rPr>
        <w:t xml:space="preserve"> L’invio è considerato riuscito se Microsoft Graph accetta il messaggio; la consegna effettiva alla casella dell’ospite non è tracciata.</w:t>
      </w:r>
    </w:p>
    <w:p>
      <w:pPr>
        <w:pStyle w:val="Heading1"/>
        <w:keepNext/>
        <w:pageBreakBefore/>
        <w:pBdr>
          <w:bottom w:val="single" w:color="04C1C8" w:sz="12" w:space="8"/>
        </w:pBdr>
        <w:spacing w:after="220" w:before="0"/>
      </w:pPr>
      <w:r>
        <w:rPr>
          <w:rFonts w:ascii="Arial" w:cs="Arial" w:eastAsia="Arial" w:hAnsi="Arial"/>
          <w:b/>
          <w:bCs/>
          <w:color w:val="DC3230"/>
          <w:sz w:val="34"/>
          <w:szCs w:val="34"/>
        </w:rPr>
        <w:t xml:space="preserve">11  </w:t>
      </w:r>
      <w:r>
        <w:rPr>
          <w:rFonts w:ascii="Arial" w:cs="Arial" w:eastAsia="Arial" w:hAnsi="Arial"/>
          <w:b/>
          <w:bCs/>
          <w:caps w:val="false"/>
          <w:color w:val="212121"/>
          <w:sz w:val="34"/>
          <w:szCs w:val="34"/>
        </w:rPr>
        <w:t xml:space="preserve">Evoluzioni previste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2120"/>
        <w:gridCol w:w="3662"/>
        <w:gridCol w:w="3856"/>
      </w:tblGrid>
      <w:tr>
        <w:trPr>
          <w:tblHeader/>
        </w:trP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Tema</w:t>
            </w:r>
          </w:p>
        </w:tc>
        <w:tc>
          <w:tcPr>
            <w:tcW w:type="dxa" w:w="366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Stato attuale</w:t>
            </w:r>
          </w:p>
        </w:tc>
        <w:tc>
          <w:tcPr>
            <w:tcW w:type="dxa" w:w="3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4C1C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Direzione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Verifica della chiave host SSH</w:t>
            </w:r>
          </w:p>
        </w:tc>
        <w:tc>
          <w:tcPr>
            <w:tcW w:type="dxa" w:w="366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Disattivata: esiste un solo valore atteso a fronte di cinque controller.</w:t>
            </w:r>
          </w:p>
        </w:tc>
        <w:tc>
          <w:tcPr>
            <w:tcW w:type="dxa" w:w="3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Introdurre una chiave attesa per sede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WLC_SSH_HOST_KEY_&lt;CODICE&gt;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) e attivare la verifica.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Certificati dei controller</w:t>
            </w:r>
          </w:p>
        </w:tc>
        <w:tc>
          <w:tcPr>
            <w:tcW w:type="dxa" w:w="366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Autofirmati.</w:t>
            </w:r>
          </w:p>
        </w:tc>
        <w:tc>
          <w:tcPr>
            <w:tcW w:type="dxa" w:w="3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Installare certificati attendibili e riportare 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true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 la verifica TLS in produzione.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Tabella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wlc_config</w:t>
            </w:r>
          </w:p>
        </w:tc>
        <w:tc>
          <w:tcPr>
            <w:tcW w:type="dxa" w:w="366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Ancora presente e scritta per compatibilità.</w:t>
            </w:r>
          </w:p>
        </w:tc>
        <w:tc>
          <w:tcPr>
            <w:tcW w:type="dxa" w:w="3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Rimuoverla una volta esaurita la finestra di convivenza con le revisioni precedenti.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Canale SMS</w:t>
            </w:r>
          </w:p>
        </w:tc>
        <w:tc>
          <w:tcPr>
            <w:tcW w:type="dxa" w:w="366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Schema e configurazione presenti, funzione dormiente.</w:t>
            </w:r>
          </w:p>
        </w:tc>
        <w:tc>
          <w:tcPr>
            <w:tcW w:type="dxa" w:w="3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Attivare o rimuovere: allo stato attuale è superficie inutilizzata.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Sincronizzazione</w:t>
            </w:r>
          </w:p>
        </w:tc>
        <w:tc>
          <w:tcPr>
            <w:tcW w:type="dxa" w:w="366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Sequenziale per sede ogni trenta secondi.</w:t>
            </w:r>
          </w:p>
        </w:tc>
        <w:tc>
          <w:tcPr>
            <w:tcW w:type="dxa" w:w="3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Passare a un’esecuzione parallela con limite di concorrenza se il numero di sedi cresce.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Endpoint deprecati</w:t>
            </w:r>
          </w:p>
        </w:tc>
        <w:tc>
          <w:tcPr>
            <w:tcW w:type="dxa" w:w="366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/api/config/wlc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A5D65"/>
                <w:sz w:val="17"/>
                <w:szCs w:val="17"/>
              </w:rPr>
              <w:t xml:space="preserve">/api/health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 mantenuti per compatibilità.</w:t>
            </w:r>
          </w:p>
        </w:tc>
        <w:tc>
          <w:tcPr>
            <w:tcW w:type="dxa" w:w="3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F0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Rimuoverli dopo il ritiro delle revisioni che li usano.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Cache delle password WLC</w:t>
            </w:r>
          </w:p>
        </w:tc>
        <w:tc>
          <w:tcPr>
            <w:tcW w:type="dxa" w:w="366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 memoria, per processo: con una sola replica è sufficiente.</w:t>
            </w:r>
          </w:p>
        </w:tc>
        <w:tc>
          <w:tcPr>
            <w:tcW w:type="dxa" w:w="38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 più repliche una modifica dal pannello raggiunge le altre al riavvio o alla ricarica manuale. Da rivedere prima di scalare orizzontalmente.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0A5D65"/>
          <w:sz w:val="17"/>
          <w:szCs w:val="17"/>
        </w:rPr>
        <w:t xml:space="preserve">Tabella 12 — </w:t>
      </w: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Evoluzioni identificate.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91" w:right="1134" w:bottom="1134" w:left="1134" w:header="624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6"/>
      </w:pBdr>
      <w:tabs>
        <w:tab w:val="right" w:pos="9638"/>
      </w:tabs>
    </w:pPr>
    <w:r>
      <w:rPr>
        <w:rFonts w:ascii="Arial" w:cs="Arial" w:eastAsia="Arial" w:hAnsi="Arial"/>
        <w:color w:val="5A5A5A"/>
        <w:sz w:val="15"/>
        <w:szCs w:val="15"/>
      </w:rPr>
      <w:t xml:space="preserve">Dompé  |  Guest Portal — Cisco Catalyst 9800 Guest Management Desk  ·  Uso interno</w:t>
    </w:r>
    <w:r>
      <w:tab/>
    </w:r>
    <w:r>
      <w:rPr>
        <w:rFonts w:ascii="Arial" w:cs="Arial" w:eastAsia="Arial" w:hAnsi="Arial"/>
        <w:color w:val="5A5A5A"/>
        <w:sz w:val="15"/>
        <w:szCs w:val="15"/>
      </w:rPr>
      <w:t xml:space="preserve">Pag. </w:t>
    </w:r>
    <w:r>
      <w:rPr>
        <w:rFonts w:ascii="Arial" w:cs="Arial" w:eastAsia="Arial" w:hAnsi="Arial"/>
        <w:color w:val="5A5A5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5A5A"/>
        <w:sz w:val="15"/>
        <w:szCs w:val="15"/>
      </w:rPr>
      <w:t xml:space="preserve"> di </w:t>
    </w:r>
    <w:r>
      <w:rPr>
        <w:rFonts w:ascii="Arial" w:cs="Arial" w:eastAsia="Arial" w:hAnsi="Arial"/>
        <w:color w:val="5A5A5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6"/>
      </w:pBdr>
      <w:tabs>
        <w:tab w:val="right" w:pos="9638"/>
      </w:tabs>
      <w:spacing w:after="60"/>
    </w:pPr>
    <w:r>
      <w:rPr>
        <w:rFonts w:ascii="Arial" w:cs="Arial" w:eastAsia="Arial" w:hAnsi="Arial"/>
        <w:color w:val="5A5A5A"/>
        <w:spacing w:val="20"/>
        <w:sz w:val="16"/>
        <w:szCs w:val="16"/>
      </w:rPr>
      <w:t xml:space="preserve">HLD  |  High Level Design</w:t>
    </w:r>
    <w:r>
      <w:tab/>
    </w:r>
    <w:r>
      <w:drawing>
        <wp:inline distT="0" distB="0" distL="0" distR="0">
          <wp:extent cx="904875" cy="3524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40" w:hanging="200"/>
      </w:pPr>
      <w:rPr>
        <w:rFonts w:ascii="Arial" w:cs="Arial" w:eastAsia="Arial" w:hAnsi="Arial"/>
        <w:color w:val="DC3230"/>
        <w:sz w:val="14"/>
        <w:szCs w:val="14"/>
      </w:rPr>
    </w:lvl>
    <w:lvl w:ilvl="1" w15:tentative="1">
      <w:start w:val="1"/>
      <w:numFmt w:val="bullet"/>
      <w:lvlText w:val="–"/>
      <w:lvlJc w:val="left"/>
      <w:pPr>
        <w:ind w:left="700" w:hanging="200"/>
      </w:pPr>
      <w:rPr>
        <w:rFonts w:ascii="Arial" w:cs="Arial" w:eastAsia="Arial" w:hAnsi="Arial"/>
        <w:color w:val="0A5D65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  <w:rPr>
        <w:rFonts w:ascii="Arial" w:cs="Arial" w:eastAsia="Arial" w:hAnsi="Arial"/>
        <w:b/>
        <w:bCs/>
        <w:color w:val="DC3230"/>
      </w:rPr>
    </w:lvl>
    <w:lvl w:ilvl="1" w15:tentative="1">
      <w:start w:val="1"/>
      <w:numFmt w:val="lowerLetter"/>
      <w:lvlText w:val="%2."/>
      <w:lvlJc w:val="left"/>
      <w:pPr>
        <w:ind w:left="760" w:hanging="260"/>
      </w:pPr>
      <w:rPr>
        <w:rFonts w:ascii="Arial" w:cs="Arial" w:eastAsia="Arial" w:hAnsi="Arial"/>
        <w:b/>
        <w:bCs/>
        <w:color w:val="0A5D6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212121"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A5D65"/>
      <w:sz w:val="27"/>
      <w:szCs w:val="27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212121"/>
      <w:sz w:val="23"/>
      <w:szCs w:val="23"/>
    </w:rPr>
  </w:style>
  <w:style w:type="paragraph" w:styleId="Heading4">
    <w:name w:val="Heading 4"/>
    <w:basedOn w:val="Normal"/>
    <w:next w:val="Normal"/>
    <w:qFormat/>
    <w:rPr>
      <w:rFonts w:ascii="Arial" w:cs="Arial" w:eastAsia="Arial" w:hAnsi="Arial"/>
      <w:b/>
      <w:bCs/>
      <w:color w:val="5A5A5A"/>
      <w:sz w:val="21"/>
      <w:szCs w:val="21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40" w:line="288"/>
    </w:pPr>
    <w:rPr>
      <w:rFonts w:ascii="Arial" w:cs="Arial" w:eastAsia="Arial" w:hAnsi="Arial"/>
      <w:color w:val="212121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90fc41f7af4182ec7938f768dc9bece76862e869.png"/><Relationship Id="rId12" Type="http://schemas.openxmlformats.org/officeDocument/2006/relationships/image" Target="media/91d0716c059e43632f4516dd6115b5a174ef700f.png"/><Relationship Id="rId13" Type="http://schemas.openxmlformats.org/officeDocument/2006/relationships/image" Target="media/513b83695da7d893dbee7996516589fc2adf1682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0fc41f7af4182ec7938f768dc9bece76862e869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HLD — High Level Design</dc:title>
  <dc:creator>Dompé farmaceutici S.p.A.</dc:creator>
  <dc:description>Architettura della soluzione di gestione degli accessi Wi-Fi ospiti sui controller Cisco Catalyst 9800</dc:description>
  <cp:lastModifiedBy>Un-named</cp:lastModifiedBy>
  <cp:revision>1</cp:revision>
  <dcterms:created xsi:type="dcterms:W3CDTF">2026-10-01T15:00:07.455Z</dcterms:created>
  <dcterms:modified xsi:type="dcterms:W3CDTF">2026-10-01T15:00:07.456Z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