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  <w:r>
        <w:drawing>
          <wp:inline distT="0" distB="0" distL="0" distR="0">
            <wp:extent cx="1981200" cy="77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04C1C8" w:color="auto" w:val="clear"/>
            <w:tcMar>
              <w:top w:type="dxa" w:w="520"/>
              <w:left w:type="dxa" w:w="340"/>
              <w:bottom w:type="dxa" w:w="520"/>
              <w:right w:type="dxa" w:w="340"/>
            </w:tcMar>
          </w:tcPr>
          <w:p>
            <w:pPr>
              <w:spacing w:after="220"/>
            </w:pPr>
            <w:r>
              <w:rPr>
                <w:rFonts w:ascii="Arial" w:cs="Arial" w:eastAsia="Arial" w:hAnsi="Arial"/>
                <w:b/>
                <w:bCs/>
                <w:color w:val="212121"/>
                <w:spacing w:val="60"/>
                <w:sz w:val="17"/>
                <w:szCs w:val="17"/>
              </w:rPr>
              <w:t xml:space="preserve">DOCUMENTAZIONE TECNICA</w:t>
            </w:r>
          </w:p>
          <w:p>
            <w:pPr>
              <w:spacing w:after="140" w:line="420"/>
            </w:pPr>
            <w:r>
              <w:rPr>
                <w:rFonts w:ascii="Arial" w:cs="Arial" w:eastAsia="Arial" w:hAnsi="Arial"/>
                <w:b/>
                <w:bCs/>
                <w:color w:val="212121"/>
                <w:sz w:val="56"/>
                <w:szCs w:val="56"/>
              </w:rPr>
              <w:t xml:space="preserve">Sicurezza e conformità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2121"/>
                <w:sz w:val="24"/>
                <w:szCs w:val="24"/>
              </w:rPr>
              <w:t xml:space="preserve">Modello di sicurezza, controlli implementati, deviazioni consapevoli e stato di conformità</w:t>
            </w:r>
          </w:p>
        </w:tc>
      </w:tr>
    </w:tbl>
    <w:p>
      <w:pPr>
        <w:spacing w:after="360" w:before="160"/>
      </w:pPr>
      <w:r>
        <w:rPr>
          <w:rFonts w:ascii="Arial" w:cs="Arial" w:eastAsia="Arial" w:hAnsi="Arial"/>
          <w:color w:val="DC3230"/>
          <w:sz w:val="26"/>
          <w:szCs w:val="26"/>
        </w:rPr>
        <w:t xml:space="preserve">●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Campo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Valore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Applicativo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Guest Portal — Cisco Catalyst 9800 Guest Management Desk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Indirizzo (produzione)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https://guestportal.dompe.com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Documento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SEC — Sicurezza e conformità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Versione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1.2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 di emissione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25 settembre 2026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Stato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Emesso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Destinatari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Security, Compliance, IT Infrastructure, Sviluppo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Classificazione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Uso interno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Repository di riferimento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github.com/ACF-Dompe/Centralino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Revisione del codice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main · 3338398 (+ modifiche non ancora committate)</w:t>
            </w:r>
          </w:p>
        </w:tc>
      </w:tr>
    </w:tbl>
    <w:p>
      <w:r>
        <w:br w:type="page"/>
      </w:r>
    </w:p>
    <w:p>
      <w:pPr>
        <w:pBdr>
          <w:bottom w:val="single" w:color="04C1C8" w:sz="12" w:space="8"/>
        </w:pBdr>
        <w:spacing w:after="240"/>
      </w:pPr>
      <w:r>
        <w:rPr>
          <w:rFonts w:ascii="Arial" w:cs="Arial" w:eastAsia="Arial" w:hAnsi="Arial"/>
          <w:b/>
          <w:bCs/>
          <w:color w:val="212121"/>
          <w:sz w:val="34"/>
          <w:szCs w:val="34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1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Scopo e riferimenti</w:t>
      </w:r>
    </w:p>
    <w:p>
      <w:pPr>
        <w:pBdr>
          <w:left w:val="single" w:color="04C1C8" w:sz="18" w:space="12"/>
        </w:pBdr>
        <w:spacing w:after="240" w:line="300"/>
        <w:ind w:left="170"/>
      </w:pPr>
      <w:r>
        <w:rPr>
          <w:rFonts w:ascii="Arial" w:cs="Arial" w:eastAsia="Arial" w:hAnsi="Arial"/>
          <w:color w:val="5A5A5A"/>
          <w:sz w:val="23"/>
          <w:szCs w:val="23"/>
        </w:rPr>
        <w:t xml:space="preserve">Questo documento descrive il modello di sicurezza del Guest Portal, i controlli effettivamente implementati nel codice, le deviazioni assunte consapevolmente con i relativi controlli compensativi, e lo stato di conformità rispetto alla baseline di piattaforma.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Riferimento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Valore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Baseline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Azure Container Platform — AI Development Guidelines, Standard Architecture Definition v1.5 (2026-06-15)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Ambito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Non-GxP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Fonte primaria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COMPLIANCE.md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nel repository, mantenuto insieme al codice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Classificazione dei dati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Dati personali comuni (identificativi e contatti di visitatori e operatori). Nessun dato particolare.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Riferimenti normativi e di ambito.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2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Perimetro e superficie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2.1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Esposizione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L’ambiente Container Apps è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internal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non possiede alcun indirizzo pubblico.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L’unico punto di ingresso è l’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Application Gateway con WAF v2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in modalità *Prevention*, su listener HTTPS.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Le due applicazioni sono create con ingress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external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che in Container Apps significa «raggiungibile dalla rete virtuale», non «esposto su Internet». La conformità «nessun ingress pubblico» è garantita dall’ambiente.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CORS è assente per scelta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frontend e backend condividono l’origine e il browser non effettua mai una richiesta cross-origin. Abilitarlo amplierebbe la superficie senza alcun beneficio.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L’unico traffico in uscita verso la rete aziendale è quello diretto ai controller: HTTPS 443 e SSH 22, con egress ristretto alla rete di gestione.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2.2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Superficie applicativa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Superficie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Protezione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/api/healthz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/api/readyz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/api/health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Aperte per necessità della piattaforma. Non rivelano nulla oltre lo stato del processo e la raggiungibilità del database.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/api/auth/*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Aperte per costruzione (sono il percorso di accesso), ma protette da hardening SAML, limitazione dei tentativi e lista di indirizzi consentiti.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/api/*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Sessione + profilo attivo + ruolo + sede.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/api/admin/*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Le stesse, più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requireRole('admin')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all’ingresso del router. Comprende la lettura e la sostituzione delle password dei controller — deviazione D4, §10.4.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/api/directory/users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Sessione + ruolo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admin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operator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. Restituisce solo nomi visualizzati, di utenti abilitati su domini consentiti.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/api/ws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Sessione verificata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e autorizzazione risolta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sull’upgrade; l’ambito degli eventi è limitato alla sede.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2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Superficie esposta e relative protezioni.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3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Autenticazione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SSO SAML 2.0</w:t>
      </w:r>
    </w:p>
    <w:p>
      <w:pPr>
        <w:spacing w:after="80" w:before="200"/>
        <w:jc w:val="center"/>
      </w:pPr>
      <w:r>
        <w:drawing>
          <wp:inline distT="0" distB="0" distL="0" distR="0">
            <wp:extent cx="6096000" cy="460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Figura 1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Sequenza dell’accesso SSO, con i punti in cui avviene la validazione.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120"/>
        <w:gridCol w:w="2313"/>
        <w:gridCol w:w="5205"/>
      </w:tblGrid>
      <w:tr>
        <w:trPr>
          <w:tblHeader/>
        </w:trP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Controllo</w:t>
            </w:r>
          </w:p>
        </w:tc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Stato</w:t>
            </w:r>
          </w:p>
        </w:tc>
        <w:tc>
          <w:tcPr>
            <w:tcW w:type="dxa" w:w="52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Libreria</w:t>
            </w:r>
          </w:p>
        </w:tc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@node-saml/passport-saml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5.x</w:t>
            </w:r>
          </w:p>
        </w:tc>
        <w:tc>
          <w:tcPr>
            <w:tcW w:type="dxa" w:w="52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Attivamente mantenuta; sostituisce la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passport-saml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non più aggiornata.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Firma dell’asserzione</w:t>
            </w:r>
          </w:p>
        </w:tc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Richiesta,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incondizionata</w:t>
            </w:r>
          </w:p>
        </w:tc>
        <w:tc>
          <w:tcPr>
            <w:tcW w:type="dxa" w:w="52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Le dichiarazioni di identità devono essere firmate, sempre.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Firma della risposta</w:t>
            </w:r>
          </w:p>
        </w:tc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Richiesta, sovrascrivibile</w:t>
            </w:r>
          </w:p>
        </w:tc>
        <w:tc>
          <w:tcPr>
            <w:tcW w:type="dxa" w:w="52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Copre l’intero documento. Richiede su Entra la Signing Option «Sign SAML response and assertion».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Algoritmo</w:t>
            </w:r>
          </w:p>
        </w:tc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SHA-256</w:t>
            </w:r>
          </w:p>
        </w:tc>
        <w:tc>
          <w:tcPr>
            <w:tcW w:type="dxa" w:w="52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Nessun algoritmo deprecato.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Verifica del destinatario</w:t>
            </w:r>
          </w:p>
        </w:tc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audience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SAML_ISSUER</w:t>
            </w:r>
          </w:p>
        </w:tc>
        <w:tc>
          <w:tcPr>
            <w:tcW w:type="dxa" w:w="52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Impedisce il riuso di un’asserzione destinata a un’altra applicazione.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Anti-replay</w:t>
            </w:r>
          </w:p>
        </w:tc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validateInResponseTo: ifPresent</w:t>
            </w:r>
          </w:p>
        </w:tc>
        <w:tc>
          <w:tcPr>
            <w:tcW w:type="dxa" w:w="52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 cache degli identificativi persistita su PostgreSQL (vedi §3.2).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Reindirizzamento aperto</w:t>
            </w:r>
          </w:p>
        </w:tc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Impedito</w:t>
            </w:r>
          </w:p>
        </w:tc>
        <w:tc>
          <w:tcPr>
            <w:tcW w:type="dxa" w:w="52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Il parametro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redirect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è accettato solo se punta alla stessa origine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isLocalUrl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).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Contesto di autenticazione</w:t>
            </w:r>
          </w:p>
        </w:tc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 imposto</w:t>
            </w:r>
          </w:p>
        </w:tc>
        <w:tc>
          <w:tcPr>
            <w:tcW w:type="dxa" w:w="52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Vedi §3.3.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Single Logout</w:t>
            </w:r>
          </w:p>
        </w:tc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Supportato</w:t>
            </w:r>
          </w:p>
        </w:tc>
        <w:tc>
          <w:tcPr>
            <w:tcW w:type="dxa" w:w="52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 l’IdP non risponde, l’uscita locale avviene comunque.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Certificato inutilizzabile</w:t>
            </w:r>
          </w:p>
        </w:tc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Degrado esplicito</w:t>
            </w:r>
          </w:p>
        </w:tc>
        <w:tc>
          <w:tcPr>
            <w:tcW w:type="dxa" w:w="52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Le rotte SSO rispondono 501 con la causa probabile; il processo non cade e l’accesso di emergenza resta disponibile.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3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Controlli sull’autenticazione SAML.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Cache anti-replay persistita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node-saml registra l’identificativo di ogni AuthnRequest e verifica il campo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InResponseTo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della risposta. Lo store predefinito è la memoria di processo, e la documentazione della libreria stessa dichiara che «non sarà sufficiente» quando richiesta e risposta possono essere gestite da processi diversi. Su Container Apps è il caso normale: basta un riavvio fra il reindirizzamento di accesso e la risposta dell’IdP, e con più repliche il problema è sistematico. Inoltre node-saml consuma l’identificativo anche sul percorso di errore, quindi ogni tentativo fallito ne brucia uno.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cache è implementata su PostgreSQL (tabella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saml_request_ids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): la verifica sopravvive ai riavvii e funziona fra repliche, e la scadenza è applicata in SQL.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La protezione anti-replay non è indebolita: è soltanto affidabile.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3.3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L’applicazione non impone il metodo di autenticazione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libreria inserisce per impostazione predefinita un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RequestedAuthnContext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pari a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PasswordProtectedTransport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con confronto esatto. Entra ID onora il vincolo, quindi ogni utente che si autentica senza password — certificato, Windows Hello, FIDO2 — viene rifiutato:</w:t>
      </w:r>
    </w:p>
    <w:p>
      <w:pPr>
        <w:keepLines/>
        <w:shd w:fill="F0F0F0" w:color="auto" w:val="clear"/>
        <w:spacing w:after="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AADSTS75011: Authentication method 'X509, MultiFactor, X509Device' by which the</w:t>
      </w:r>
    </w:p>
    <w:p>
      <w:pPr>
        <w:keepLines/>
        <w:shd w:fill="F0F0F0" w:color="auto" w:val="clear"/>
        <w:spacing w:after="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user authenticated with the service doesn't match requested authentication</w:t>
      </w:r>
    </w:p>
    <w:p>
      <w:pPr>
        <w:keepLines/>
        <w:shd w:fill="F0F0F0" w:color="auto" w:val="clear"/>
        <w:spacing w:after="180" w:before="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method 'Password, ProtectedTransport'.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Quali metodi siano accettabili è una decisione di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Conditional Access / Authentication Strength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del tenant, non del service provider: la strategia omette l’elemento del tutto. Non c’è nulla da cambiare sul lato Entra — un’applicazione SAML non ha un interruttore per ignorare un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RequestedAuthnContext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ricevuto. La correzione appartiene all’applicazione.</w:t>
      </w:r>
    </w:p>
    <w:p>
      <w:pPr>
        <w:pStyle w:val="Heading4"/>
        <w:keepNext/>
        <w:spacing w:after="100" w:before="240"/>
      </w:pPr>
      <w:r>
        <w:rPr>
          <w:rFonts w:ascii="Arial" w:cs="Arial" w:eastAsia="Arial" w:hAnsi="Arial"/>
          <w:b/>
          <w:bCs/>
          <w:caps/>
          <w:color w:val="5A5A5A"/>
          <w:sz w:val="21"/>
          <w:szCs w:val="21"/>
        </w:rPr>
        <w:t xml:space="preserve">Come verificarlo su un ambiente attivo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Aprire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/api/auth/login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prendere il parametro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SAMLRequest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dal reindirizzamento verso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login.microsoftonline.com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Decodificare l’URL, decodificare base64, decomprimere.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L’XML risultante non deve contenere alcun elemento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RequestedAuthnContext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3.4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Sessione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Controllo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Valore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Cookie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guestportal.sid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HttpOnly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SameSite=lax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Secure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in produzione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Firma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HMAC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SESSION_SECRET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da Key Vault (≥ 64 caratteri casuali)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Persistenza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PostgreSQL con TLS e autenticazione a token Entra ID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Durata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24 ore per una sessione SSO, 120 minuti per una di emergenza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Rigenerazione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Passport rigenera la sessione all’accesso (anti session-fixation)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Contenuto</w:t>
            </w:r>
          </w:p>
        </w:tc>
        <w:tc>
          <w:tcPr>
            <w:tcW w:type="dxa" w:w="732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Solo attributi di identità.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Nessun ruolo, nessun permesso, nessun segreto.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4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Controlli sulla sessione.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Il ripiego di </w:t>
            </w:r>
            <w:r>
              <w:rPr>
                <w:rFonts w:ascii="Consolas" w:cs="Consolas" w:eastAsia="Consolas" w:hAnsi="Consolas"/>
                <w:b/>
                <w:bCs/>
                <w:color w:val="0A5D65"/>
                <w:sz w:val="18"/>
                <w:szCs w:val="18"/>
              </w:rPr>
              <w:t xml:space="preserve">SESSION_SECRET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Esiste un valore di ripiego, esplicitamente marcato come insicuro nel codice, perché l’applicazione possa avviarsi in sviluppo locale senza che ogni sviluppatore debba generare un segreto. In produzione il valore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deve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arrivare da Key Vault: un difetto già corretto — la sintassi di riferimento sbagliata — aveva portato il segreto letterale del riferimento dentro la variabile, rendendo i cookie di sessione falsificabili a partire da informazioni pubbliche.</w:t>
            </w:r>
          </w:p>
        </w:tc>
      </w:tr>
    </w:tbl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4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Autorizzazione</w:t>
      </w:r>
    </w:p>
    <w:p>
      <w:pPr>
        <w:spacing w:after="80" w:before="200"/>
        <w:jc w:val="center"/>
      </w:pPr>
      <w:r>
        <w:drawing>
          <wp:inline distT="0" distB="0" distL="0" distR="0">
            <wp:extent cx="6096000" cy="399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Figura 2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Catena di autorizzazione: guardie, rifiuti e sorgenti del profilo.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4.1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Il principio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L’autorizzazione è risolta a ogni richiesta e non è mai serializzata in sessione.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Un ruolo memorizzato in sessione sopravvivrebbe fino alla scadenza del cookie: un utente sospeso continuerebbe a operare per 24 ore. Con la risoluzione per richiesta, una sospensione ha effetto entro il tempo di vita della cache — 15 secondi per impostazione predefinita, tenuto deliberatamente sotto l’intervallo di aggiornamento del cruscotto.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4.2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Ruoli e ambito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542"/>
        <w:gridCol w:w="5205"/>
        <w:gridCol w:w="2891"/>
      </w:tblGrid>
      <w:tr>
        <w:trPr>
          <w:tblHeader/>
        </w:trPr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Ruolo</w:t>
            </w:r>
          </w:p>
        </w:tc>
        <w:tc>
          <w:tcPr>
            <w:tcW w:type="dxa" w:w="52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Operazioni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Ambito</w:t>
            </w:r>
          </w:p>
        </w:tc>
      </w:tr>
      <w:tr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viewer</w:t>
            </w:r>
          </w:p>
        </w:tc>
        <w:tc>
          <w:tcPr>
            <w:tcW w:type="dxa" w:w="52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Sola consultazione.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Sedi concesse.</w:t>
            </w:r>
          </w:p>
        </w:tc>
      </w:tr>
      <w:tr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operator</w:t>
            </w:r>
          </w:p>
        </w:tc>
        <w:tc>
          <w:tcPr>
            <w:tcW w:type="dxa" w:w="52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Consultazione, registrazione, revoca, reinvio credenziali.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Sedi concesse.</w:t>
            </w:r>
          </w:p>
        </w:tc>
      </w:tr>
      <w:tr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admin</w:t>
            </w:r>
          </w:p>
        </w:tc>
        <w:tc>
          <w:tcPr>
            <w:tcW w:type="dxa" w:w="52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Tutte, più il pannello di amministrazione.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Tutte le sedi.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5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Ruoli applicativi.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Ogni utente che completa l’accesso SSO ottiene una voce in directory al primo accesso, e quella voce nasce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bloccata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può autenticarsi, non gli è concesso nulla. È un provisioning a negazione predefinita.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4.3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Fail closed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Un errore nella risoluzione del profilo produce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503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mai un profilo di ripiego. Un livello di autorizzazione che degrada ad «accetta» sotto carico non è un livello di autorizzazione.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Una richiesta che richiede una sede e non la indica viene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rifiutata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non servita con un valore predefinito: «nessuna sede» significava «usa la prima riga», ed è il ripiego che poteva far finire l’operazione di un operatore sul controller di un’altra sede.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null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(nessuna restrizione) 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[]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(nessuna concessione) non sono mai confusi: il primo è un amministratore, il secondo un utente che non deve vedere nulla.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L’upgrade WebSocket attraversa lo stesso controllo: un utente sospeso perde il canale.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4.4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Amministratori per convenzione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Un UPN della forma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admin365-&lt;qualcosa&gt;@dompe.onmicrosoft.com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concede il ruolo di amministratore senza profilazione. Serve a raggiungere un ambiente appena installato senza esporre l’accesso di emergenza.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Il vincolo sul dominio sta facendo un lavoro reale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 regola lega privilegi pieni a una stringa contenuta in un indirizzo. Senza il vincolo di dominio, un account ospite (B2B) invitato nel tenant — il cui UPN appartiene al tenant di provenienza — potrebbe presentarsi come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admin365-x@attacker.com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e arrivare come amministratore di piattaforma. Per questa ragione,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una lista di domini vuota disattiva la regola invece di aprirla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: è l’unico punto in cui un valore vuoto non deve significare «nessuna restrizione».</w:t>
            </w:r>
          </w:p>
        </w:tc>
      </w:tr>
    </w:tbl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regola è valutata sullo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UPN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non sull’indirizzo di posta: gli account amministrativi non hanno casella, e valutata sulla posta la regola mancava esattamente gli account per cui esiste. La chiave della directory resta comunque l’identificativo dell’oggetto in Entra: lo UPN è una colonna indicizzata ma non identificante, perché cambia a una rinomina.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4.5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Isolamento fra sedi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sede su cui si opera vive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in sessione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non nei parametri della richiesta. Quando arrivava dalla query string, chiunque poteva leggere gli ospiti di un’altra sede modificando l’URL.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Gli endpoint che agiscono su una sede verificano la concessione; quelli che scoprono la sede solo dopo una lettura la verificano subito dopo.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Gli eventi in tempo reale sono filtrati per sede: i nomi degli ospiti sono dati personali.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Per un utente non amministratore, indirizzo, porte e account del controller sono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rimossi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dalle risposte della API.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5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Gestione dei segreti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506"/>
        <w:gridCol w:w="2506"/>
        <w:gridCol w:w="4626"/>
      </w:tblGrid>
      <w:tr>
        <w:trPr>
          <w:tblHeader/>
        </w:trP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Segreto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Dove risiede</w:t>
            </w:r>
          </w:p>
        </w:tc>
        <w:tc>
          <w:tcPr>
            <w:tcW w:type="dxa" w:w="4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Come arriva all’applicazione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SESSION-SECRET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Key Vault</w:t>
            </w:r>
          </w:p>
        </w:tc>
        <w:tc>
          <w:tcPr>
            <w:tcW w:type="dxa" w:w="4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Variabile d’ambiente via riferimento a segreto della Container App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SAML-CERT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Key Vault</w:t>
            </w:r>
          </w:p>
        </w:tc>
        <w:tc>
          <w:tcPr>
            <w:tcW w:type="dxa" w:w="4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Idem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SAML-DECRYPTION-KEY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Key Vault (opzionale)</w:t>
            </w:r>
          </w:p>
        </w:tc>
        <w:tc>
          <w:tcPr>
            <w:tcW w:type="dxa" w:w="4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Idem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WLC-PASSWORD-&lt;CODICE&gt;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Key Vault,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una per sede</w:t>
            </w:r>
          </w:p>
        </w:tc>
        <w:tc>
          <w:tcPr>
            <w:tcW w:type="dxa" w:w="4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Letta direttamente dal vault con l’identità gestita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KEY_VAULT_URL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) all’avvio e alla ricarica; la variabile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WLC_PASSWORD_&lt;CODICE&gt;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resta come ripiego. Leggibile e sostituibile da un amministratore — §10.4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MAIL-GRAPH-CLIENT-SECRET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Key Vault</w:t>
            </w:r>
          </w:p>
        </w:tc>
        <w:tc>
          <w:tcPr>
            <w:tcW w:type="dxa" w:w="4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Idem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Credenziale del database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 esiste</w:t>
            </w:r>
          </w:p>
        </w:tc>
        <w:tc>
          <w:tcPr>
            <w:tcW w:type="dxa" w:w="4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Token Entra ID ottenuto dall’identità gestita a ogni nuova connessione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Password dell’ospite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 esiste</w:t>
            </w:r>
          </w:p>
        </w:tc>
        <w:tc>
          <w:tcPr>
            <w:tcW w:type="dxa" w:w="4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Generata in memoria, consegnata, dimenticata. 12 caratteri interamente casuali (~69 bit)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Password di emergenza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Solo come hash scrypt in banca dati</w:t>
            </w:r>
          </w:p>
        </w:tc>
        <w:tc>
          <w:tcPr>
            <w:tcW w:type="dxa" w:w="4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Impostata da riga di comando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sms_config.api_key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Banca dati</w:t>
            </w:r>
          </w:p>
        </w:tc>
        <w:tc>
          <w:tcPr>
            <w:tcW w:type="dxa" w:w="4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Unico segreto residuo in banca dati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; campo vuoto, funzione dormiente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6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Inventario dei segreti.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Nessun segreto è presente nel codice sorgente né nelle immagini.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Nessun segreto transita dalla pipeline: la CI imposta 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riferimenti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non i valori.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L’autenticazione della pipeline verso Azure usa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identità federata OIDC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non esiste un segreto di accesso al cloud da custodire.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L’identità gestita del backend richiede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Key Vault Secrets User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per leggere 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Key Vault Secrets Officer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per sostituire una password di controller. Il secondo ruolo va assegnato con ambito ristretto ai soli segreti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WLC-PASSWORD-*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non all’intero vault.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Per la ricerca del referente la stessa identità richiede il permesso applicativo Microsoft Graph </w:t>
      </w:r>
      <w:r>
        <w:rPr>
          <w:rFonts w:ascii="Consolas" w:cs="Consolas" w:eastAsia="Consolas" w:hAnsi="Consolas"/>
          <w:b/>
          <w:bCs/>
          <w:color w:val="0A5D65"/>
          <w:sz w:val="19"/>
          <w:szCs w:val="19"/>
        </w:rPr>
        <w:t xml:space="preserve">User.Read.All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con consenso amministratore.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Le risposte della API non restituiscono mai un segreto: la password del controller è omessa, la chiave SMS è omessa. Il pannello mostra solo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una password risulti configurata 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il nome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del segreto da richiedere.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Sintassi dei riferimenti a Key Vault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Container Apps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non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espande la sintassi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@Microsoft.KeyVault(SecretUri=…)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di App Service: al container arriverebbe il testo letterale. È un difetto già individuato, con conseguenze gravi — ogni accesso SSO falliva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SESSION_SECRET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conteneva la stringa del riferimento. La procedura corretta usa i segreti della Container App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keyvaultref: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secretref: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) ed è documentata nel runbook.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La conversione della pipeline è ancora aperta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(vedi §11).</w:t>
            </w:r>
          </w:p>
        </w:tc>
      </w:tr>
    </w:tbl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6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Protezione dei dati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Misura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Attuazione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Minimizzazione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 password dell’ospite non è persistita. Quella del controller non è in banca dati. Il recapito telefonico è raccolto ma non utilizzato.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Robustezza delle credenziali ospite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Il prefisso fisso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DOMPE-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è stato rimosso: erano sei caratteri su quattordici che qualunque ospite poteva prevedere. Ora sono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12 caratteri casuali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su un alfabeto di 55, con almeno una maiuscola, una minuscola e una cifra. Gli account già creati mantengono la password fino al reinvio.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Presenza dei dispositivi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Tenuta solo in memoria, per sede, con scadenza a 90 secondi. Mai persistita, mai esposta oltre il campo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connected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dell’elenco ospiti.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Oscuramento nei log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 password di destinazione è sostituita da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***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prima della scrittura nello storico, e la trascrizione della sessione verso il controller passa da un mascheramento che sostituisce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ogni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password prima di essere registrata. La query string è esclusa dal log delle richieste (contiene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redirect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SAMLRequest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). Il token del database non è mai registrato: lo è solo la sua scadenza.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Cifratura in transito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HTTPS fino all’Application Gateway e da lì alle Container App; TLS verso PostgreSQL con verifica del certificato; TLS verso Key Vault, Graph ed Entra.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Cifratura a riposo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Cifratura gestita dalla piattaforma su PostgreSQL Flexible Server e Key Vault.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Isolamento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 operatore vede solo gli ospiti della propria sede, in console, nella API e nel canale in tempo reale.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Ricerca nella directory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Dal backend escono solo i nomi visualizzati, di utenti abilitati su domini consentiti. Nulla è memorizzato, né sul server né nel browser. Il testo cercato non viene registrato: è il nome di una persona.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Cancellazione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L’eliminazione di un ospite rimuove la riga e revoca l’account sul controller. L’eliminazione di un utente rimuove anche le concessioni.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7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Misure di protezione dei dati.</w:t>
      </w:r>
    </w:p>
    <w:tbl>
      <w:tblPr>
        <w:tblW w:type="dxa" w:w="9638"/>
        <w:tblBorders>
          <w:top w:val="none"/>
          <w:left w:val="single" w:color="04C1C8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EFD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5D65"/>
                <w:sz w:val="20"/>
                <w:szCs w:val="20"/>
              </w:rPr>
              <w:t xml:space="preserve">Ritenzione dello storico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 tabella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8"/>
                <w:szCs w:val="18"/>
              </w:rPr>
              <w:t xml:space="preserve">sync_logs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non ha una politica di ritenzione automatica e cresce di circa 14.400 righe al giorno per effetto della sola sincronizzazione. Conserva nomi utente e, sulle voci di invio, gli indirizzi dei destinatari. Definire una ritenzione è una raccomandazione aperta.</w:t>
            </w:r>
          </w:p>
        </w:tc>
      </w:tr>
    </w:tbl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7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Sicurezza verso i controller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percorso verso i controller è l’unico che lascia il perimetro Azure e porta con sé le credenziali più sensibili del sistema. Merita una lettura unitaria, perché le due deviazioni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D2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D3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insistono sullo stesso canale e il rischio è quindi cumulativo, non distribuito.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Controllo</w:t>
            </w:r>
          </w:p>
        </w:tc>
        <w:tc>
          <w:tcPr>
            <w:tcW w:type="dxa" w:w="693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269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Iniezione di comandi IOS-XE</w:t>
            </w:r>
          </w:p>
        </w:tc>
        <w:tc>
          <w:tcPr>
            <w:tcW w:type="dxa" w:w="693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Chiusa.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Ogni valore che finisce in un comando passa da validazione: nessun capoverso, nessun byte nullo, alfabeto ristretto per username e password, durata come intero entro limiti.</w:t>
            </w:r>
          </w:p>
        </w:tc>
      </w:tr>
      <w:tr>
        <w:tc>
          <w:tcPr>
            <w:tcW w:type="dxa" w:w="269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Autenticazione del server SSH</w:t>
            </w:r>
          </w:p>
        </w:tc>
        <w:tc>
          <w:tcPr>
            <w:tcW w:type="dxa" w:w="693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Disattivata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— deviazione D2.</w:t>
            </w:r>
          </w:p>
        </w:tc>
      </w:tr>
      <w:tr>
        <w:tc>
          <w:tcPr>
            <w:tcW w:type="dxa" w:w="269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Autenticazione del server TLS</w:t>
            </w:r>
          </w:p>
        </w:tc>
        <w:tc>
          <w:tcPr>
            <w:tcW w:type="dxa" w:w="693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Disattivata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in produzione — deviazione D3.</w:t>
            </w:r>
          </w:p>
        </w:tc>
      </w:tr>
      <w:tr>
        <w:tc>
          <w:tcPr>
            <w:tcW w:type="dxa" w:w="269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Cifratura del canale</w:t>
            </w:r>
          </w:p>
        </w:tc>
        <w:tc>
          <w:tcPr>
            <w:tcW w:type="dxa" w:w="693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Attiva su entrambi: SSH e TLS cifrano, pur senza autenticare il server.</w:t>
            </w:r>
          </w:p>
        </w:tc>
      </w:tr>
      <w:tr>
        <w:tc>
          <w:tcPr>
            <w:tcW w:type="dxa" w:w="269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Egress</w:t>
            </w:r>
          </w:p>
        </w:tc>
        <w:tc>
          <w:tcPr>
            <w:tcW w:type="dxa" w:w="693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Ristretto alla rete di gestione: il percorso non attraversa reti non gestite.</w:t>
            </w:r>
          </w:p>
        </w:tc>
      </w:tr>
      <w:tr>
        <w:tc>
          <w:tcPr>
            <w:tcW w:type="dxa" w:w="269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Ambito della credenziale</w:t>
            </w:r>
          </w:p>
        </w:tc>
        <w:tc>
          <w:tcPr>
            <w:tcW w:type="dxa" w:w="693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Una password per sede: la compromissione di una non compromette le altre.</w:t>
            </w:r>
          </w:p>
        </w:tc>
      </w:tr>
      <w:tr>
        <w:tc>
          <w:tcPr>
            <w:tcW w:type="dxa" w:w="269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Persistenza della credenziale</w:t>
            </w:r>
          </w:p>
        </w:tc>
        <w:tc>
          <w:tcPr>
            <w:tcW w:type="dxa" w:w="693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Nessuna: la password del controller non è in banca dati, quindi un’intercettazione non dà accesso persistente alla configurazione dell’applicazione.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8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Controlli sul percorso verso i controller.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8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Supply chain e immagini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Due immagini distinte,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multi-stage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nell’immagine finale finiscono solo gli artefatti compilati e le dipendenze di produzione.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Entrambe girano con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utente non privilegiato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app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sul backend, UID 101 sul frontend).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apk upgrade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nelle fasi di runtime per allineare i pacchetti di sistema.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Trivy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in tre punti: filesystem, immagine backend, immagine frontend. Il cancello blocca sulle vulnerabilità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CRITICAL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ed è coerente fra i tre scanner. I risultati sono caricati in GitHub Security.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docker-security.yml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è un workflow autonomo che gira su ogni push e pull request.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lockfile del frontend è obbligatorio: la sua assenza fa fallire la build invece di produrre un albero di dipendenze non riproducibile.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Tag immagine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immutabile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pari allo SHA del commit, più un alias mutabile per ambiente: ogni revisione è riconducibile a un commit preciso.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Dependabot è attivo sul repository.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9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Registrazione e audit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891"/>
        <w:gridCol w:w="1349"/>
        <w:gridCol w:w="5398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Evento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Livello</w:t>
            </w:r>
          </w:p>
        </w:tc>
        <w:tc>
          <w:tcPr>
            <w:tcW w:type="dxa" w:w="53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Campi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Richiesta HTTP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info</w:t>
            </w:r>
          </w:p>
        </w:tc>
        <w:tc>
          <w:tcPr>
            <w:tcW w:type="dxa" w:w="53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correlationId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, metodo, percorso, stato, durata, user-agent, IP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Rifiuto di autorizzazione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warn</w:t>
            </w:r>
          </w:p>
        </w:tc>
        <w:tc>
          <w:tcPr>
            <w:tcW w:type="dxa" w:w="53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event: authz-denied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, motivo, soggetto, percorso, metodo,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correlationId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Provisioning JIT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info</w:t>
            </w:r>
          </w:p>
        </w:tc>
        <w:tc>
          <w:tcPr>
            <w:tcW w:type="dxa" w:w="53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event: sso-jit-provisioning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, soggetto, creato, ruolo, stato, amministratore per convenzione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Tentativo di accesso di emergenza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warn</w:t>
            </w:r>
          </w:p>
        </w:tc>
        <w:tc>
          <w:tcPr>
            <w:tcW w:type="dxa" w:w="53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event: breakglass-login-denied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, motivo, IP, user-agent,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correlationId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Accesso di emergenza riuscito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warn</w:t>
            </w:r>
          </w:p>
        </w:tc>
        <w:tc>
          <w:tcPr>
            <w:tcW w:type="dxa" w:w="53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event: breakglass-login-success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, nome utente, durata della sessione, IP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Blocco di un account di emergenza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warn</w:t>
            </w:r>
          </w:p>
        </w:tc>
        <w:tc>
          <w:tcPr>
            <w:tcW w:type="dxa" w:w="53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event: breakglass-account-locked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, nome utente, fine del blocco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Modifica di un profilo utente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warn</w:t>
            </w:r>
          </w:p>
        </w:tc>
        <w:tc>
          <w:tcPr>
            <w:tcW w:type="dxa" w:w="53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event: admin-user-updated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, attore, destinatario, stato prima e dopo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Eliminazione di un utente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warn</w:t>
            </w:r>
          </w:p>
        </w:tc>
        <w:tc>
          <w:tcPr>
            <w:tcW w:type="dxa" w:w="53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event: admin-user-deleted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, attore, destinatario </w:t>
            </w: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e ciò che la riga concedeva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(indirizzo, ruolo, stato, sedi): dopo l’eliminazione il log è l’unica traccia rimasta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Lettura degli account di emergenza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warn</w:t>
            </w:r>
          </w:p>
        </w:tc>
        <w:tc>
          <w:tcPr>
            <w:tcW w:type="dxa" w:w="53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event: admin-breakglass-list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, attore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Modifiche alle sedi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warn</w:t>
            </w:r>
          </w:p>
        </w:tc>
        <w:tc>
          <w:tcPr>
            <w:tcW w:type="dxa" w:w="53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event: admin-sede-*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, attore, codice sede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Password di un controller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warn</w:t>
            </w:r>
          </w:p>
        </w:tc>
        <w:tc>
          <w:tcPr>
            <w:tcW w:type="dxa" w:w="53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event: admin-wlc-password-viewed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-changed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, attore, sede,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correlationId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Una lettura è tracciata come una scrittura.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Ricarica delle password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warn</w:t>
            </w:r>
          </w:p>
        </w:tc>
        <w:tc>
          <w:tcPr>
            <w:tcW w:type="dxa" w:w="53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event: admin-wlc-reload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, attore, elenchi delle sedi caricate, mancanti e fallite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Errore Key Vault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error</w:t>
            </w:r>
          </w:p>
        </w:tc>
        <w:tc>
          <w:tcPr>
            <w:tcW w:type="dxa" w:w="53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event: admin-wlc-keyvault-error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, operazione, sede, messaggio sintetico dell’SDK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Operazioni sui controller e invii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Tabella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sync_logs</w:t>
            </w:r>
          </w:p>
        </w:tc>
        <w:tc>
          <w:tcPr>
            <w:tcW w:type="dxa" w:w="53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Azione, metodo, destinazione, codice di stato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9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Eventi registrati e relativi campi.</w:t>
      </w:r>
    </w:p>
    <w:tbl>
      <w:tblPr>
        <w:tblW w:type="dxa" w:w="9638"/>
        <w:tblBorders>
          <w:top w:val="none"/>
          <w:left w:val="single" w:color="04C1C8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EFD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5D65"/>
                <w:sz w:val="20"/>
                <w:szCs w:val="20"/>
              </w:rPr>
              <w:t xml:space="preserve">Perché anche la sola lettura degli account di emergenza è registrata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Sapere quali account di emergenza esistono, quali sono abilitati e quali bloccati è di per sé un’informazione utile a un attaccante. La lettura è quindi tracciata come le modifiche.</w:t>
            </w:r>
          </w:p>
        </w:tc>
      </w:tr>
    </w:tbl>
    <w:p>
      <w:pPr>
        <w:pStyle w:val="Heading4"/>
        <w:keepNext/>
        <w:spacing w:after="100" w:before="240"/>
      </w:pPr>
      <w:r>
        <w:rPr>
          <w:rFonts w:ascii="Arial" w:cs="Arial" w:eastAsia="Arial" w:hAnsi="Arial"/>
          <w:b/>
          <w:bCs/>
          <w:caps/>
          <w:color w:val="5A5A5A"/>
          <w:sz w:val="21"/>
          <w:szCs w:val="21"/>
        </w:rPr>
        <w:t xml:space="preserve">Alert obbligatorio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Un alert su Log Analytics per gli accessi di emergenza riusciti è un requisito, non una raccomandazione: la query è riportata nel runbook operativo. Un accesso di emergenza riuscito è un evento su cui qualcuno deve guardare, ogni volta.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10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Deviazioni consapevoli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Quattro deviazioni sono state assunte esplicitamente, con il rischio rappresentato al richiedente e accettato. Sono documentate qui perché una deviazione registrata e sorvegliata è gestibile, una dimenticata no.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10.1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D1 — Accesso di emergenza senza secondo fattore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735"/>
        <w:gridCol w:w="7903"/>
      </w:tblGrid>
      <w:tr>
        <w:trPr>
          <w:tblHeader/>
        </w:trP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Campo</w:t>
            </w:r>
          </w:p>
        </w:tc>
        <w:tc>
          <w:tcPr>
            <w:tcW w:type="dxa" w:w="7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Contenuto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Che cosa</w:t>
            </w:r>
          </w:p>
        </w:tc>
        <w:tc>
          <w:tcPr>
            <w:tcW w:type="dxa" w:w="7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Accesso locale con nome utente e password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POST /api/auth/breakglass/login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) che consente di usare la console quando Entra ID o il collegamento SAML non funzionano.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Perché</w:t>
            </w:r>
          </w:p>
        </w:tc>
        <w:tc>
          <w:tcPr>
            <w:tcW w:type="dxa" w:w="7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Continuità operativa: senza di esso un’indisponibilità dell’IdP rende la console inutilizzabile e gli ospiti non registrabili.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Deviazione</w:t>
            </w:r>
          </w:p>
        </w:tc>
        <w:tc>
          <w:tcPr>
            <w:tcW w:type="dxa" w:w="7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Aggira Conditional Access e MFA di Entra.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Non ha un secondo fattore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: è una scelta esplicita del richiedente, presa dopo che il rischio è stato rappresentato. L’alternativa proposta era password + TOTP sulle sole librerie standard, senza dipendenze aggiuntive.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Rischio residuo</w:t>
            </w:r>
          </w:p>
        </w:tc>
        <w:tc>
          <w:tcPr>
            <w:tcW w:type="dxa" w:w="7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Una password compromessa è sufficiente per accedere alla console con pieni privilegi. Il rischio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non è eliminato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, solo ridotto.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10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Deviazione D1.</w:t>
      </w:r>
    </w:p>
    <w:p>
      <w:pPr>
        <w:pStyle w:val="Heading4"/>
        <w:keepNext/>
        <w:spacing w:after="100" w:before="240"/>
      </w:pPr>
      <w:r>
        <w:rPr>
          <w:rFonts w:ascii="Arial" w:cs="Arial" w:eastAsia="Arial" w:hAnsi="Arial"/>
          <w:b/>
          <w:bCs/>
          <w:caps/>
          <w:color w:val="5A5A5A"/>
          <w:sz w:val="21"/>
          <w:szCs w:val="21"/>
        </w:rPr>
        <w:t xml:space="preserve">Controlli compensativi — tutti nel codice, non solo procedurali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Interruttore generale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BREAKGLASS_ENABLED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spento per default: finché non viene acceso deliberatamente l’endpoint risponde 404.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Lista CIDR valutata prima di ogni altra cosa,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fail-closed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se tutte le voci sono malformate; chi è fuori riceve 404 e non vede nemmeno il collegamento nell’interfaccia.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Hash scrypt (RFC 7914) con salt per record e confronto a tempo costante; nessuna dipendenza nativa aggiuntiva.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Blocco dell’account persistito in banca dati, quindi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globale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su tutte le repliche; solo la password errata lo incrementa.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Limitazione per indirizzo di origine a finestra scorrevole, in memoria e quindi per replica: è un controllo aggiuntivo, non quello principale.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Verifica 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costo costante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(hash fittizio per un account inesistente) 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un solo messaggio d’errore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per ogni causa: nessuna enumerazione né per tempi né per testo.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Rigenerazione della sessione all’accesso e durata del cookie ridotta (120 minuti contro 24 ore).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Scadenza per account, per limitare nel tempo la validità della credenziale.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Audit a livello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warn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di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ogni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tentativo, riuscito o meno, con motivo, IP, user-agent e identificativo di correlazione.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Creazione e rotazione della password solo da riga di comando.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Gli endpoint esposti possono abilitare, disabilitare e sbloccare, non creare: una sessione amministrativa compromessa non può coniarsi un aggiramento permanente dell’SSO.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Guardia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last_breakglass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il pannello rifiuta di disabilitare l’ultimo account utilizzabile.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Account di bootstrap creato dalla migrazione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solo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se la password di seed è presente e lunga almeno 16 caratteri, 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solo se assente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non ruota una password già cambiata né riabilita un account disabilitato di proposito.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Banner permanente e badge in console: una sessione di emergenza non può passare per una sessione normale.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L’uscita da una sessione di emergenza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non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tenta il Single Logout SAML: il soggetto è locale e Entra non lo conosce.</w:t>
      </w:r>
    </w:p>
    <w:p>
      <w:pPr>
        <w:pStyle w:val="Heading4"/>
        <w:keepNext/>
        <w:spacing w:after="100" w:before="240"/>
      </w:pPr>
      <w:r>
        <w:rPr>
          <w:rFonts w:ascii="Arial" w:cs="Arial" w:eastAsia="Arial" w:hAnsi="Arial"/>
          <w:b/>
          <w:bCs/>
          <w:caps/>
          <w:color w:val="5A5A5A"/>
          <w:sz w:val="21"/>
          <w:szCs w:val="21"/>
        </w:rPr>
        <w:t xml:space="preserve">Limiti noti, a verbale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Nessun secondo fattore — vedi rischio residuo.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Dipende da PostgreSQL: copre un’indisponibilità di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Entra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non del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database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limitazione per indirizzo è per replica; il blocco per account è globale.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Una lista di indirizzi vuota espone l’endpoint: in assenza di secondo fattore è il controllo compensativo più efficace e va popolata con gli intervalli di uscita aziendali e VPN. Il backend registra un avviso esplicito all’avvio se la funzione è attiva senza lista.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Un amministratore compromesso può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disabilitare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(non creare) un account di emergenza: la guardia impedisce di azzerarli tutti e ogni azione è tracciata, ma resta un modo per degradare la disponibilità del percorso.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password di seed è un segreto e va legata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solo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al job di migrazione, non al container backend. Dopo il bootstrap va ruotata da riga di comando e archiviata nel gestore di password: il valore in Key Vault a quel punto non è più quello attivo.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L’account di emergenza è anche il bootstrap della profilazione: finché non esiste un amministratore profilato è l’unico che può crearne uno. L’alternativa, senza esporre nulla in rete, è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make appusers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eseguito nel container.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10.2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D2 — Verifica della chiave host SSH disattivata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735"/>
        <w:gridCol w:w="7903"/>
      </w:tblGrid>
      <w:tr>
        <w:trPr>
          <w:tblHeader/>
        </w:trP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Campo</w:t>
            </w:r>
          </w:p>
        </w:tc>
        <w:tc>
          <w:tcPr>
            <w:tcW w:type="dxa" w:w="7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Contenuto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Che cosa</w:t>
            </w:r>
          </w:p>
        </w:tc>
        <w:tc>
          <w:tcPr>
            <w:tcW w:type="dxa" w:w="7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WLC_SSH_VERIFY_HOST_KEY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false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: il client SSH non verifica la chiave host dei controller.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Perché</w:t>
            </w:r>
          </w:p>
        </w:tc>
        <w:tc>
          <w:tcPr>
            <w:tcW w:type="dxa" w:w="7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 cinque controller hanno cinque chiavi diverse, mentre la variabile che contiene il valore atteso è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singola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e confrontata con tutti. Con la verifica attiva funzionerebbe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una sola sede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e le altre quattro fallirebbero closed: la funzionalità sarebbe inutilizzabile su quattro sedi su cinque.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Deviazione</w:t>
            </w:r>
          </w:p>
        </w:tc>
        <w:tc>
          <w:tcPr>
            <w:tcW w:type="dxa" w:w="7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 sessione SSH non è autenticata, quindi esposta a interposizione sul percorso verso il controller. Su quella sessione passano la password amministrativa del controller e le credenziali degli ospiti.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Rischio residuo</w:t>
            </w:r>
          </w:p>
        </w:tc>
        <w:tc>
          <w:tcPr>
            <w:tcW w:type="dxa" w:w="7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Chi si interpone fra backend e controller può intercettare quelle credenziali. Ridotto dal percorso su rete interna gestita con egress ristretto,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non eliminato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11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Deviazione D2.</w:t>
      </w:r>
    </w:p>
    <w:p>
      <w:pPr>
        <w:pStyle w:val="Heading4"/>
        <w:keepNext/>
        <w:spacing w:after="100" w:before="240"/>
      </w:pPr>
      <w:r>
        <w:rPr>
          <w:rFonts w:ascii="Arial" w:cs="Arial" w:eastAsia="Arial" w:hAnsi="Arial"/>
          <w:b/>
          <w:bCs/>
          <w:caps/>
          <w:color w:val="5A5A5A"/>
          <w:sz w:val="21"/>
          <w:szCs w:val="21"/>
        </w:rPr>
        <w:t xml:space="preserve">Controlli e mitigazioni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Egress del backend limitato alla rete di gestione: il percorso non attraversa reti non gestite.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Lo stato è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visibile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il backend registra un avviso la prima volta che apre una connessione non verificata, una sola volta per processo.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Quando la verifica viene attivata è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fail-closed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senza il valore atteso rifiuta di connettersi anziché procedere.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flag è per ambiente: si può attivare su un ambiente di prova senza toccare il codice.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Prerequisito per chiudere la deviazione: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chiave host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per sede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WLC_SSH_HOST_KEY_&lt;CODICE&gt;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con lo stesso schema già usato per le password), più la raccolta delle cinque impronte dai controller.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10.3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D3 — Verifica del certificato TLS dei controller disattivata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735"/>
        <w:gridCol w:w="7903"/>
      </w:tblGrid>
      <w:tr>
        <w:trPr>
          <w:tblHeader/>
        </w:trP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Campo</w:t>
            </w:r>
          </w:p>
        </w:tc>
        <w:tc>
          <w:tcPr>
            <w:tcW w:type="dxa" w:w="7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Contenuto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Che cosa</w:t>
            </w:r>
          </w:p>
        </w:tc>
        <w:tc>
          <w:tcPr>
            <w:tcW w:type="dxa" w:w="7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6"/>
                <w:szCs w:val="16"/>
              </w:rPr>
              <w:t xml:space="preserve">WLC_TLS_REJECT_UNAUTHORIZED=false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in produzione: il client HTTPS verso i controller non verifica il certificato del server.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Perché</w:t>
            </w:r>
          </w:p>
        </w:tc>
        <w:tc>
          <w:tcPr>
            <w:tcW w:type="dxa" w:w="7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Il Catalyst 9800 presenta un certificato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autofirmato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, che con la verifica attiva viene sempre rifiutato rendendo impossibile la verifica delle credenziali. Le alternative — certificati attendibili sui cinque controller, oppure pinning per sede — sono state valutate e rinviate su decisione del richiedente.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Deviazione</w:t>
            </w:r>
          </w:p>
        </w:tc>
        <w:tc>
          <w:tcPr>
            <w:tcW w:type="dxa" w:w="7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Il canale HTTPS verso il controller non è autenticato. Su quel canale viaggia l’intestazione di autenticazione Basic, cioè la password amministrativa del controller in base64, non cifrata.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Rischio residuo</w:t>
            </w:r>
          </w:p>
        </w:tc>
        <w:tc>
          <w:tcPr>
            <w:tcW w:type="dxa" w:w="7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Chi si interpone può leggere quella password e impersonare il controller. Ridotto dal percorso su rete interna gestita,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non eliminato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12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Deviazione D3.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D2 e D3 vanno lette insieme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Entrambe rimuovono l’autenticazione del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server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sullo stesso percorso di rete. Il rischio è cumulativo su un unico canale, non distribuito su due canali distinti.</w:t>
            </w:r>
          </w:p>
        </w:tc>
      </w:tr>
    </w:tbl>
    <w:p>
      <w:pPr>
        <w:pStyle w:val="Heading4"/>
        <w:keepNext/>
        <w:spacing w:after="100" w:before="240"/>
      </w:pPr>
      <w:r>
        <w:rPr>
          <w:rFonts w:ascii="Arial" w:cs="Arial" w:eastAsia="Arial" w:hAnsi="Arial"/>
          <w:b/>
          <w:bCs/>
          <w:caps/>
          <w:color w:val="5A5A5A"/>
          <w:sz w:val="21"/>
          <w:szCs w:val="21"/>
        </w:rPr>
        <w:t xml:space="preserve">Controlli e mitigazioni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Egress limitato alla rete di gestione.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password amministrativa del controller non è in banca dati: un’intercettazione non dà accesso persistente alla configurazione dell’applicazione.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Gli errori TLS sono classificati e non più confusi con problemi di rete: un cambio di stato del certificato è diagnosticabile.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flag è per ambiente.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Prerequisito per chiudere la deviazione: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pinning per sede (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WLC_TLS_CA_&lt;CODICE&gt;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con il certificato di ciascun controller) oppure certificati emessi da una CA aziendale installati sui cinque controller. Il pinning mantiene la verifica attiva e rileva l’interposizione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senza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toccare i controller, ed è la via meno costosa.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10.4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D4 — Password dei controller leggibile e modificabile via HTTP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735"/>
        <w:gridCol w:w="7903"/>
      </w:tblGrid>
      <w:tr>
        <w:trPr>
          <w:tblHeader/>
        </w:trP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Campo</w:t>
            </w:r>
          </w:p>
        </w:tc>
        <w:tc>
          <w:tcPr>
            <w:tcW w:type="dxa" w:w="7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Contenuto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Che cosa</w:t>
            </w:r>
          </w:p>
        </w:tc>
        <w:tc>
          <w:tcPr>
            <w:tcW w:type="dxa" w:w="7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Dal pannello un amministratore può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vedere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la password del controller di una sede (letta live da Key Vault),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sostituirla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creando una nuova versione del segreto, e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ricaricare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in memoria tutte le password senza riavviare.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Perché</w:t>
            </w:r>
          </w:p>
        </w:tc>
        <w:tc>
          <w:tcPr>
            <w:tcW w:type="dxa" w:w="7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Richiesta operativa: la rotazione della password di un controller non deve dipendere da un ticket al team di piattaforma e da una nuova revisione dell’applicazione, e una sede nuova deve poter essere messa in servizio dal solo pannello.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Deviazione</w:t>
            </w:r>
          </w:p>
        </w:tc>
        <w:tc>
          <w:tcPr>
            <w:tcW w:type="dxa" w:w="7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Ribalta, per questo unico valore, la regola «nessun segreto attraversa la API». Una sessione amministrativa compromessa può leggere la password amministrativa di ogni controller e sostituirla nel vault, negando il servizio sulla sede finché non viene ripristinata. Il backend passa da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Secrets User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a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Secrets Officer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Rischio residuo</w:t>
            </w:r>
          </w:p>
        </w:tc>
        <w:tc>
          <w:tcPr>
            <w:tcW w:type="dxa" w:w="7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 password del controller diventa raggiungibile da chi controlla una sessione amministrativa, non più soltanto da chi ha accesso a Key Vault.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13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Deviazione D4.</w:t>
      </w:r>
    </w:p>
    <w:p>
      <w:pPr>
        <w:pStyle w:val="Heading4"/>
        <w:keepNext/>
        <w:spacing w:after="100" w:before="240"/>
      </w:pPr>
      <w:r>
        <w:rPr>
          <w:rFonts w:ascii="Arial" w:cs="Arial" w:eastAsia="Arial" w:hAnsi="Arial"/>
          <w:b/>
          <w:bCs/>
          <w:caps/>
          <w:color w:val="5A5A5A"/>
          <w:sz w:val="21"/>
          <w:szCs w:val="21"/>
        </w:rPr>
        <w:t xml:space="preserve">Controlli e mitigazioni — nel codice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Solo ruolo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admin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l’intero router amministrativo è dietro la guardia, e l’autorizzazione è risolta a ogni richiesta.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Ogni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lettura 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ogni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scrittura sono tracciate a livello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warn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con attore, sede e identificativo di correlazione, più una riga nello storico visibile in console. Una lettura è sensibile quanto una scrittura, e viene trattata così.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Lettura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su richiesta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una sede alla volta: la password non fa parte del record di sede né di alcun elenco. Risposta con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Cache-Control: no-store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; nel pannello il valore viene tolto dallo stato quando si nasconde e comunque dopo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30 secondi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Una scrittura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non restituisce mai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il valore, e il valore non compare in alcun log.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password è validata come ogni credenziale destinata a IOS-XE: ASCII stampabile, nessun a capo. Sono rifiutati gli spazi iniziali e finali, che il validatore rimuoverebbe in silenzio salvando un valore diverso da quello impostato sul controller — un disallineamento che emergerebbe solo più tardi, come collegamento fallito.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Key Vault resta l’unico archivio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nulla va in banca dati. La copia in memoria è per processo e si ricostruisce all’avvio.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Un errore di Key Vault non spegne una sede funzionante: la ricarica conserva il valore precedente per le sedi non leggibili, e l’avvio non fallisce.</w:t>
      </w:r>
    </w:p>
    <w:p>
      <w:pPr>
        <w:pStyle w:val="Heading4"/>
        <w:keepNext/>
        <w:spacing w:after="100" w:before="240"/>
      </w:pPr>
      <w:r>
        <w:rPr>
          <w:rFonts w:ascii="Arial" w:cs="Arial" w:eastAsia="Arial" w:hAnsi="Arial"/>
          <w:b/>
          <w:bCs/>
          <w:caps/>
          <w:color w:val="5A5A5A"/>
          <w:sz w:val="21"/>
          <w:szCs w:val="21"/>
        </w:rPr>
        <w:t xml:space="preserve">Limiti noti, a verbale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ruolo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Key Vault Secrets Officer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va concesso al backend. Per contenere l’impatto va assegnato con ambito sui singoli segreti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WLC-PASSWORD-*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non sull’intero vault.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copia in memoria è per replica: con più repliche una modifica fatta dal pannello raggiunge le altre al riavvio o alla ricarica successiva. Oggi il backend gira con una sola replica.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Resta invariata l’esposizione del canale verso il controller descritta in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D2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D3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L’applicazione non tocca il controller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Salvare una password qui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non la cambia sull’apparato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. La sequenza corretta è: cambiarla prima sul controller, poi registrarla nel pannello. Invertire l’ordine mette fuori servizio la sede fino alla correzione.</w:t>
            </w:r>
          </w:p>
        </w:tc>
      </w:tr>
    </w:tbl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11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Stato di conformità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Valutazione sulla checklist §13 della baseline di piattaforma.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578"/>
        <w:gridCol w:w="3855"/>
        <w:gridCol w:w="1349"/>
        <w:gridCol w:w="3856"/>
      </w:tblGrid>
      <w:tr>
        <w:trPr>
          <w:tblHeader/>
        </w:trPr>
        <w:tc>
          <w:tcPr>
            <w:tcW w:type="dxa" w:w="5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6"/>
                <w:szCs w:val="16"/>
              </w:rPr>
              <w:t xml:space="preserve">#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6"/>
                <w:szCs w:val="16"/>
              </w:rPr>
              <w:t xml:space="preserve">Requisito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6"/>
                <w:szCs w:val="16"/>
              </w:rPr>
              <w:t xml:space="preserve">Stato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6"/>
                <w:szCs w:val="16"/>
              </w:rPr>
              <w:t xml:space="preserve">Nota</w:t>
            </w:r>
          </w:p>
        </w:tc>
      </w:tr>
      <w:tr>
        <w:tc>
          <w:tcPr>
            <w:tcW w:type="dxa" w:w="5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1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Due immagini / Dockerfile indipendenti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Conforme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Stateless, non-root, multi-stage.</w:t>
            </w:r>
          </w:p>
        </w:tc>
      </w:tr>
      <w:tr>
        <w:tc>
          <w:tcPr>
            <w:tcW w:type="dxa" w:w="5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2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README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.gitignore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; nessun segreto nel repository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Conforme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Documentazione a più livelli; segreti rimossi.</w:t>
            </w:r>
          </w:p>
        </w:tc>
      </w:tr>
      <w:tr>
        <w:tc>
          <w:tcPr>
            <w:tcW w:type="dxa" w:w="5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3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Configurazione da ambiente; segreti solo da Key Vault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Conforme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Password del controller per sede, lette dal vault via SDK con ripiego sull’ambiente, mai in banca dati; visibili e modificabili solo da un amministratore, con audit (D4). Resta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sms_config.api_key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, campo vuoto e funzione nascosta.</w:t>
            </w:r>
          </w:p>
        </w:tc>
      </w:tr>
      <w:tr>
        <w:tc>
          <w:tcPr>
            <w:tcW w:type="dxa" w:w="5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4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API sotto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/api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, stessa origine, nessun CORS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Conforme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CORS rimosso.</w:t>
            </w:r>
          </w:p>
        </w:tc>
      </w:tr>
      <w:tr>
        <w:tc>
          <w:tcPr>
            <w:tcW w:type="dxa" w:w="5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5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Chiamate frontend→backend lato server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Non applicabile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Nessun rendering lato server.</w:t>
            </w:r>
          </w:p>
        </w:tc>
      </w:tr>
      <w:tr>
        <w:tc>
          <w:tcPr>
            <w:tcW w:type="dxa" w:w="5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6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Dietro Application Gateway (URL relativi, intestazioni inoltrate)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Conforme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trust proxy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; WebSocket sotto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/api/ws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.</w:t>
            </w:r>
          </w:p>
        </w:tc>
      </w:tr>
      <w:tr>
        <w:tc>
          <w:tcPr>
            <w:tcW w:type="dxa" w:w="5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7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Accesso ad Azure con credenziale gestita e scope esplicito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Conforme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Database, Key Vault e Microsoft Graph (ricerca referente) con l’identità gestita del backend; posta con client credentials.</w:t>
            </w:r>
          </w:p>
        </w:tc>
      </w:tr>
      <w:tr>
        <w:tc>
          <w:tcPr>
            <w:tcW w:type="dxa" w:w="5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8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SSO Entra SAML 2.0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Conforme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Hardening completo applicato.</w:t>
            </w:r>
          </w:p>
        </w:tc>
      </w:tr>
      <w:tr>
        <w:tc>
          <w:tcPr>
            <w:tcW w:type="dxa" w:w="5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9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Migrazioni idempotenti, nessun superuser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Conforme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Punto d’ingresso da riga di comando funzionante.</w:t>
            </w:r>
          </w:p>
        </w:tc>
      </w:tr>
      <w:tr>
        <w:tc>
          <w:tcPr>
            <w:tcW w:type="dxa" w:w="5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10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Pipeline a stadi, mappatura dei rami, Trivy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Conforme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Cancello Trivy coerente sulle CRITICAL.</w:t>
            </w:r>
          </w:p>
        </w:tc>
      </w:tr>
      <w:tr>
        <w:tc>
          <w:tcPr>
            <w:tcW w:type="dxa" w:w="5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11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Log strutturati, sonde a specifica, arresto controllato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Conforme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Correlazione,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/healthz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/readyz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, SIGTERM.</w:t>
            </w:r>
          </w:p>
        </w:tc>
      </w:tr>
      <w:tr>
        <w:tc>
          <w:tcPr>
            <w:tcW w:type="dxa" w:w="5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12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Token Entra per PostgreSQL con rinnovo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Conforme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Scope corretto; token per connessione.</w:t>
            </w:r>
          </w:p>
        </w:tc>
      </w:tr>
      <w:tr>
        <w:tc>
          <w:tcPr>
            <w:tcW w:type="dxa" w:w="5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13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Risorse ai valori predefiniti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Conforme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Allineate.</w:t>
            </w:r>
          </w:p>
        </w:tc>
      </w:tr>
      <w:tr>
        <w:tc>
          <w:tcPr>
            <w:tcW w:type="dxa" w:w="5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14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Nessun autoscaling, multi-revisione o ingress pubblico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Parziale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Da completare l’allineamento del provisioning al modello consume-only.</w:t>
            </w:r>
          </w:p>
        </w:tc>
      </w:tr>
      <w:tr>
        <w:tc>
          <w:tcPr>
            <w:tcW w:type="dxa" w:w="5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15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Nessun artefatto locale a runtime; test senza infrastruttura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Conforme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765 test unitari, 31 casi end-to-end (conteggio statico).</w:t>
            </w:r>
          </w:p>
        </w:tc>
      </w:tr>
      <w:tr>
        <w:tc>
          <w:tcPr>
            <w:tcW w:type="dxa" w:w="5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16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Verifica post-deploy identica sui tre rami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Non applicabile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Verifiche eseguite manualmente in questa fase.</w:t>
            </w:r>
          </w:p>
        </w:tc>
      </w:tr>
      <w:tr>
        <w:tc>
          <w:tcPr>
            <w:tcW w:type="dxa" w:w="5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17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Dati di riferimento idempotenti, solo in sviluppo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Conforme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SEED_ENABLED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false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 in produzione.</w:t>
            </w:r>
          </w:p>
        </w:tc>
      </w:tr>
      <w:tr>
        <w:tc>
          <w:tcPr>
            <w:tcW w:type="dxa" w:w="5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18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Punti aperti elencati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Parziale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La pipeline non modifica più l’Application Gateway.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14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Stato di conformità sulla checklist §13.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Sintesi: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13 conformi, 2 parziali, 1 parziale sui default TLS (deviazioni D2 e D3), 2 non applicabili. La deviazione D4 non altera lo stato della checklist: il requisito 3 chiede che i segreti stiano in Key Vault, e continuano a starci.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12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Backlog di remediation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60"/>
        <w:gridCol w:w="5397"/>
        <w:gridCol w:w="867"/>
        <w:gridCol w:w="2314"/>
      </w:tblGrid>
      <w:tr>
        <w:trPr>
          <w:tblHeader/>
        </w:trPr>
        <w:tc>
          <w:tcPr>
            <w:tcW w:type="dxa" w:w="1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Priorità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Azione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Rif.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Tipo</w:t>
            </w:r>
          </w:p>
        </w:tc>
      </w:tr>
      <w:tr>
        <w:tc>
          <w:tcPr>
            <w:tcW w:type="dxa" w:w="1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P0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Convertire la pipeline e lo script di preflight alla sintassi dei segreti di Container Apps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keyvaultref: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secretref: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). Finché non è fatto, un deploy dalla pipeline rompe di nuovo l’SSO e riporta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SESSION_SECRET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a un valore pubblico.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7.1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Codice (pipeline)</w:t>
            </w:r>
          </w:p>
        </w:tc>
      </w:tr>
      <w:tr>
        <w:tc>
          <w:tcPr>
            <w:tcW w:type="dxa" w:w="1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P0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Creare il principal Entra su PostgreSQL mappato all’identità gestita del backend.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3.3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Infrastruttura, una tantum</w:t>
            </w:r>
          </w:p>
        </w:tc>
      </w:tr>
      <w:tr>
        <w:tc>
          <w:tcPr>
            <w:tcW w:type="dxa" w:w="1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Chiave host SSH per sede più raccolta delle cinque impronte — prerequisito per chiudere D2.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D2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Codice + infrastruttura</w:t>
            </w:r>
          </w:p>
        </w:tc>
      </w:tr>
      <w:tr>
        <w:tc>
          <w:tcPr>
            <w:tcW w:type="dxa" w:w="1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Pinning TLS per sede — mantiene la verifica attiva e rileva l’interposizione senza toccare i controller; prerequisito per chiudere D3.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D3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Codice + infrastruttura</w:t>
            </w:r>
          </w:p>
        </w:tc>
      </w:tr>
      <w:tr>
        <w:tc>
          <w:tcPr>
            <w:tcW w:type="dxa" w:w="1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Completare l’adozione delle risorse di piattaforma e l’allineamento di nomi e hostname.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4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Architetturale</w:t>
            </w:r>
          </w:p>
        </w:tc>
      </w:tr>
      <w:tr>
        <w:tc>
          <w:tcPr>
            <w:tcW w:type="dxa" w:w="1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P1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Assegnare all’identità del backend il ruolo </w:t>
            </w: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Key Vault Secrets Officer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con ambito sui soli segreti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WLC-PASSWORD-*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, e il permesso Graph </w:t>
            </w:r>
            <w:r>
              <w:rPr>
                <w:rFonts w:ascii="Consolas" w:cs="Consolas" w:eastAsia="Consolas" w:hAnsi="Consolas"/>
                <w:b/>
                <w:bCs/>
                <w:color w:val="0A5D65"/>
                <w:sz w:val="15"/>
                <w:szCs w:val="15"/>
              </w:rPr>
              <w:t xml:space="preserve">User.Read.All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con consenso amministratore.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D4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Infrastruttura</w:t>
            </w:r>
          </w:p>
        </w:tc>
      </w:tr>
      <w:tr>
        <w:tc>
          <w:tcPr>
            <w:tcW w:type="dxa" w:w="1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P2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Rivedere la copia in memoria delle password prima di passare a più di una replica.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D4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Codice</w:t>
            </w:r>
          </w:p>
        </w:tc>
      </w:tr>
      <w:tr>
        <w:tc>
          <w:tcPr>
            <w:tcW w:type="dxa" w:w="1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P2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Definire una ritenzione per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sync_logs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.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—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Operativo</w:t>
            </w:r>
          </w:p>
        </w:tc>
      </w:tr>
      <w:tr>
        <w:tc>
          <w:tcPr>
            <w:tcW w:type="dxa" w:w="1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P2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Attivare o rimuovere il canale SMS: allo stato attuale è superficie inutilizzata con un segreto in banca dati.</w:t>
            </w:r>
          </w:p>
        </w:tc>
        <w:tc>
          <w:tcPr>
            <w:tcW w:type="dxa" w:w="8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—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Codice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15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Backlog di remediation aperto.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L’elemento più urgente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 conversione della sintassi dei riferimenti a Key Vault nella pipeline è l’unico punto in cui un’azione di routine — un deploy — può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reintrodurre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un difetto già corretto a mano. Va affrontato con attenzione: referenziare un segreto inesistente fa fallire la revisione, quindi le variabili opzionali vanno gestite in modo condizionale.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91" w:right="1134" w:bottom="1134" w:left="1134" w:header="624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6"/>
      </w:pBdr>
      <w:tabs>
        <w:tab w:val="right" w:pos="9638"/>
      </w:tabs>
    </w:pPr>
    <w:r>
      <w:rPr>
        <w:rFonts w:ascii="Arial" w:cs="Arial" w:eastAsia="Arial" w:hAnsi="Arial"/>
        <w:color w:val="5A5A5A"/>
        <w:sz w:val="15"/>
        <w:szCs w:val="15"/>
      </w:rPr>
      <w:t xml:space="preserve">Dompé  |  Guest Portal — Cisco Catalyst 9800 Guest Management Desk  ·  Uso interno</w:t>
    </w:r>
    <w:r>
      <w:tab/>
    </w:r>
    <w:r>
      <w:rPr>
        <w:rFonts w:ascii="Arial" w:cs="Arial" w:eastAsia="Arial" w:hAnsi="Arial"/>
        <w:color w:val="5A5A5A"/>
        <w:sz w:val="15"/>
        <w:szCs w:val="15"/>
      </w:rPr>
      <w:t xml:space="preserve">Pag.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5"/>
        <w:szCs w:val="15"/>
      </w:rPr>
      <w:t xml:space="preserve"> di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6"/>
      </w:pBdr>
      <w:tabs>
        <w:tab w:val="right" w:pos="9638"/>
      </w:tabs>
      <w:spacing w:after="60"/>
    </w:pPr>
    <w:r>
      <w:rPr>
        <w:rFonts w:ascii="Arial" w:cs="Arial" w:eastAsia="Arial" w:hAnsi="Arial"/>
        <w:color w:val="5A5A5A"/>
        <w:spacing w:val="20"/>
        <w:sz w:val="16"/>
        <w:szCs w:val="16"/>
      </w:rPr>
      <w:t xml:space="preserve">SEC  |  Sicurezza e conformità</w:t>
    </w:r>
    <w:r>
      <w:tab/>
    </w:r>
    <w:r>
      <w:drawing>
        <wp:inline distT="0" distB="0" distL="0" distR="0">
          <wp:extent cx="904875" cy="3524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00"/>
      </w:pPr>
      <w:rPr>
        <w:rFonts w:ascii="Arial" w:cs="Arial" w:eastAsia="Arial" w:hAnsi="Arial"/>
        <w:color w:val="DC3230"/>
        <w:sz w:val="14"/>
        <w:szCs w:val="14"/>
      </w:rPr>
    </w:lvl>
    <w:lvl w:ilvl="1" w15:tentative="1">
      <w:start w:val="1"/>
      <w:numFmt w:val="bullet"/>
      <w:lvlText w:val="–"/>
      <w:lvlJc w:val="left"/>
      <w:pPr>
        <w:ind w:left="700" w:hanging="200"/>
      </w:pPr>
      <w:rPr>
        <w:rFonts w:ascii="Arial" w:cs="Arial" w:eastAsia="Arial" w:hAnsi="Arial"/>
        <w:color w:val="0A5D6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rFonts w:ascii="Arial" w:cs="Arial" w:eastAsia="Arial" w:hAnsi="Arial"/>
        <w:b/>
        <w:bCs/>
        <w:color w:val="DC3230"/>
      </w:rPr>
    </w:lvl>
    <w:lvl w:ilvl="1" w15:tentative="1">
      <w:start w:val="1"/>
      <w:numFmt w:val="lowerLetter"/>
      <w:lvlText w:val="%2."/>
      <w:lvlJc w:val="left"/>
      <w:pPr>
        <w:ind w:left="760" w:hanging="260"/>
      </w:pPr>
      <w:rPr>
        <w:rFonts w:ascii="Arial" w:cs="Arial" w:eastAsia="Arial" w:hAnsi="Arial"/>
        <w:b/>
        <w:bCs/>
        <w:color w:val="0A5D6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12121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A5D65"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212121"/>
      <w:sz w:val="23"/>
      <w:szCs w:val="23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5A5A5A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40" w:line="288"/>
    </w:pPr>
    <w:rPr>
      <w:rFonts w:ascii="Arial" w:cs="Arial" w:eastAsia="Arial" w:hAnsi="Arial"/>
      <w:color w:val="212121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0fc41f7af4182ec7938f768dc9bece76862e869.png"/><Relationship Id="rId12" Type="http://schemas.openxmlformats.org/officeDocument/2006/relationships/image" Target="media/a2f8ef2bc11a8854b6d5a67ca0be3f290148f9e8.png"/><Relationship Id="rId13" Type="http://schemas.openxmlformats.org/officeDocument/2006/relationships/image" Target="media/dd204670f10acdccba850f864aab76937555e85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0fc41f7af4182ec7938f768dc9bece76862e869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 — Sicurezza e conformità</dc:title>
  <dc:creator>Dompé farmaceutici S.p.A.</dc:creator>
  <dc:description>Modello di sicurezza, controlli implementati, deviazioni consapevoli e stato di conformità</dc:description>
  <cp:lastModifiedBy>Un-named</cp:lastModifiedBy>
  <cp:revision>1</cp:revision>
  <dcterms:created xsi:type="dcterms:W3CDTF">2026-10-01T15:00:09.023Z</dcterms:created>
  <dcterms:modified xsi:type="dcterms:W3CDTF">2026-10-01T15:00:09.024Z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