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WSmart+ Route — Speaker Script</w:t>
      </w:r>
    </w:p>
    <w:p>
      <w:r>
        <w:t xml:space="preserve">A Simulation Framework for the Multi-Period Vehicle Routing Problem with Profits in Smart Waste Collection</w:t>
      </w:r>
    </w:p>
    <w:p>
      <w:r>
        <w:t xml:space="preserve">Generated for: Afonso Cruz Fernandes¹</w:t>
      </w:r>
    </w:p>
    <w:p/>
    <w:p>
      <w:r>
        <w:t xml:space="preserve"/>
      </w:r>
    </w:p>
    <w:p>
      <w:pPr>
        <w:pStyle w:val="Heading2"/>
      </w:pPr>
      <w:r>
        <w:t xml:space="preserve">Slide 1 — A Simulation Framework for the Multi-Period Vehicle Routing Problem with Profits in Smart Waste Collection</w:t>
      </w:r>
    </w:p>
    <w:p>
      <w:r>
        <w:t xml:space="preserve">Presented by Afonso Cruz Fernandes¹. With Héctor Bonilla-Londoño², Diana Jorge², Manuel Lopes¹, Pedro A. Santos¹, Tânia Ramos².</w:t>
      </w:r>
    </w:p>
    <w:p/>
    <w:p>
      <w:r>
        <w:t xml:space="preserve"/>
      </w:r>
    </w:p>
    <w:p>
      <w:pPr>
        <w:pStyle w:val="Heading2"/>
      </w:pPr>
      <w:r>
        <w:t xml:space="preserve">Slide 2 — Agenda</w:t>
      </w:r>
    </w:p>
    <w:p>
      <w:r>
        <w:t xml:space="preserve">Today's agenda: Introduction: Problem and Objective; Simulator Overview; Mandatory Node Selection Strategies; Route Constructors; Route Improvers; Experimental Methodology; Experimental Results; Conclusions  Limitations.</w:t>
      </w:r>
    </w:p>
    <w:p/>
    <w:p>
      <w:r>
        <w:t xml:space="preserve"/>
      </w:r>
    </w:p>
    <w:p>
      <w:pPr>
        <w:pStyle w:val="Heading2"/>
      </w:pPr>
      <w:r>
        <w:t xml:space="preserve">Slide 3 — The Problem: Vehicle Routing Problem with Profits (VRPP)</w:t>
      </w:r>
    </w:p>
    <w:p>
      <w:r>
        <w:t xml:space="preserve">Bin fill w_i,d accumulates stochastically (rate δ) and resets on a visit. Daily profit P nets collected-waste revenue r_w against travel cost c_km along the chosen route A_d. The policy π must maximise the expected profit summed over the full D-day horizon.</w:t>
        <w:br/>
        <w:t xml:space="preserve"/>
        <w:br/>
        <w:t xml:space="preserve">Unlike the classical VRP, only a profitable subset of nodes is visited: profit p_i (waste kg) vs travel cost c·d_ij</w:t>
        <w:br/>
        <w:t xml:space="preserve"/>
        <w:br/>
        <w:t xml:space="preserve">In waste collection bins fill stochastically day by day — skipping a bin saves distance but risks overflow</w:t>
        <w:br/>
        <w:t xml:space="preserve"/>
        <w:br/>
        <w:t xml:space="preserve">Two conflicting KPIs: bin overflows (service quality, ↓) and KG / KM route efficiency (cost, ↑)</w:t>
        <w:br/>
        <w:t xml:space="preserve"/>
        <w:br/>
        <w:t xml:space="preserve">Multi-day sequential decision problem over scenarios: RM-100, RM-170, FFZ-350 × {Empirical, Gamma-3} × {30, 90} days</w:t>
      </w:r>
    </w:p>
    <w:p/>
    <w:p>
      <w:r>
        <w:t xml:space="preserve"/>
      </w:r>
    </w:p>
    <w:p>
      <w:pPr>
        <w:pStyle w:val="Heading2"/>
      </w:pPr>
      <w:r>
        <w:t xml:space="preserve">Slide 4 — Objective of this Work — Algorithm Glossary</w:t>
      </w:r>
    </w:p>
    <w:p>
      <w:r>
        <w:t xml:space="preserve">BPC: Branch-Price-and-Cut</w:t>
        <w:br/>
        <w:t xml:space="preserve"/>
        <w:br/>
        <w:t xml:space="preserve">SWC-TCF: Smart Waste Collection – Two-Commodity Flow</w:t>
        <w:br/>
        <w:t xml:space="preserve"/>
        <w:br/>
        <w:t xml:space="preserve">HGS: Hybrid Genetic Search</w:t>
        <w:br/>
        <w:t xml:space="preserve"/>
        <w:br/>
        <w:t xml:space="preserve">ALNS: Adaptive Large Neighborhood Search</w:t>
        <w:br/>
        <w:t xml:space="preserve"/>
        <w:br/>
        <w:t xml:space="preserve">SANS: Simulated Annealing Neighborhood Search</w:t>
        <w:br/>
        <w:t xml:space="preserve"/>
        <w:br/>
        <w:t xml:space="preserve">PG-CLNS: Policy-Gradient Cooperative Large Neighborhood Search</w:t>
        <w:br/>
        <w:t xml:space="preserve"/>
        <w:br/>
        <w:t xml:space="preserve">PSOMA: Particle Swarm Optimisation Memetic Algorithm</w:t>
        <w:br/>
        <w:t xml:space="preserve"/>
        <w:br/>
        <w:t xml:space="preserve">ACO-HH: Ant Colony Optimisation Hyper-Heuristic</w:t>
      </w:r>
    </w:p>
    <w:p/>
    <w:p>
      <w:r>
        <w:t xml:space="preserve"/>
      </w:r>
    </w:p>
    <w:p>
      <w:pPr>
        <w:pStyle w:val="Heading2"/>
      </w:pPr>
      <w:r>
        <w:t xml:space="preserve">Slide 5 — Routing Simulator Philosophy — Modular Policy Pipeline</w:t>
      </w:r>
    </w:p>
    <w:p>
      <w:r>
        <w:t xml:space="preserve">Every daily routing policy decomposes into a mandatory bin-selection strategy, a route constructor, an optional acceptance criterion and an optional route improver.</w:t>
        <w:br/>
        <w:t xml:space="preserve"/>
        <w:br/>
        <w:t xml:space="preserve">Every daily routing policy is a composition of interchangeable stages, benchmarked under identical conditions</w:t>
        <w:br/>
        <w:t xml:space="preserve"/>
        <w:br/>
        <w:t xml:space="preserve">The simulator replays multi-day scenarios (region × graph size × waste distribution), logging overflows, kg, km, KG / KM and profit for every policy combination</w:t>
      </w:r>
    </w:p>
    <w:p/>
    <w:p>
      <w:r>
        <w:t xml:space="preserve"/>
      </w:r>
    </w:p>
    <w:p>
      <w:pPr>
        <w:pStyle w:val="Heading2"/>
      </w:pPr>
      <w:r>
        <w:t xml:space="preserve">Slide 6 — Big Picture: Policy Configuration Space</w:t>
      </w:r>
    </w:p>
    <w:p>
      <w:r>
        <w:t xml:space="preserve">Every simulated policy is one path through the three columns: a mandatory selection strategy, a route constructor (exact / meta-heuristic / hyper-heuristic) and an optional route improver.</w:t>
        <w:br/>
        <w:t xml:space="preserve"/>
        <w:br/>
        <w:t xml:space="preserve">Mandatory selection × route constructor × route improver — every combination is run through the same multi-day simulator</w:t>
        <w:br/>
        <w:t xml:space="preserve"/>
        <w:br/>
        <w:t xml:space="preserve">Exact methods and meta-/hyper-heuristics are interchangeable route constructors under the identical selection and improvement stages</w:t>
      </w:r>
    </w:p>
    <w:p/>
    <w:p>
      <w:r>
        <w:t xml:space="preserve"/>
      </w:r>
    </w:p>
    <w:p>
      <w:pPr>
        <w:pStyle w:val="Heading2"/>
      </w:pPr>
      <w:r>
        <w:t xml:space="preserve">Slide 7 — Mandatory Node Selection Strategies</w:t>
      </w:r>
    </w:p>
    <w:p>
      <w:r>
        <w:t xml:space="preserve">Look-Ahead first flags bins that would overflow tomorrow, then simulates forward to also bundle in any bin that would overflow before that same group's next natural collection day — avoiding an extra near-term trip. Service-Level flags a bin once its n-day-ahead worst case (mean fill + z_α standard deviations) crosses capacity τ. Last-Minute simply reacts once the fill ratio f_i crosses a fixed critical threshold CF. Choosing which bins to collect today is itself a knapsack-style decision (right): pick the subset of items that best fits the day's capacity/urgency budget.</w:t>
        <w:br/>
        <w:t xml:space="preserve"/>
        <w:br/>
        <w:t xml:space="preserve">Look-Ahead (LA) anticipates predicted overflows by bundling nearby future collections; Last-Minute (LM) waits for a critical fill threshold; Service-Level (SL) bounds each bin's overflow probability via a confidence factor</w:t>
        <w:br/>
        <w:t xml:space="preserve"/>
        <w:br/>
        <w:t xml:space="preserve">Empirical trade-off: LM dominates efficiency (KG / KM), SL dominates overflow prevention, LA sits in between</w:t>
        <w:br/>
        <w:t xml:space="preserve"/>
        <w:br/>
        <w:t xml:space="preserve">The choice spans the service-quality vs cost spectrum — an operational decision, not an algorithmic one</w:t>
      </w:r>
    </w:p>
    <w:p/>
    <w:p>
      <w:r>
        <w:t xml:space="preserve"/>
      </w:r>
    </w:p>
    <w:p>
      <w:pPr>
        <w:pStyle w:val="Heading2"/>
      </w:pPr>
      <w:r>
        <w:t xml:space="preserve">Slide 8 — Exact Methods: BPC  SWC-TCF</w:t>
      </w:r>
    </w:p>
    <w:p>
      <w:r>
        <w:t xml:space="preserve">SWC-TCF's two-commodity flow (Ramos, Morais  Barbosa-Póvoa, 2018): g_i marks a visited bin and x_ij the routing arcs; the waste commodity f_ij and the empty-space commodity h_ij are coupled to the vehicle capacity Q along every used arc. BPC instead solves a column-generation master problem (Barnhart et al., 1998): pick a minimum-cost combination of priced routes r ∈ Ω (weight λ_r) covering every node i exactly once (a_ir = 1 iff route r visits i), pricing new columns and adding cuts at every Branch-and-Bound node.</w:t>
        <w:br/>
        <w:t xml:space="preserve"/>
        <w:br/>
        <w:t xml:space="preserve">Branch-Price-and-Cut (BPC): a Branch-and-Bound tree where, at every node, column generation prices new routes and valid cuts tighten the LP relaxation before branching on a fractional arc/route variable — proven optimality (BHV2000 lineage)</w:t>
        <w:br/>
        <w:t xml:space="preserve"/>
        <w:br/>
        <w:t xml:space="preserve">SWC-TCF: two-commodity network flow MILP (Ramos, Morais  Barbosa-Póvoa, 2018) — g_i marks a visited bin, x_ij the routing arcs, and two coupled flow commodities (f: waste, h: empty space) enforce capacity along each route</w:t>
        <w:br/>
        <w:t xml:space="preserve"/>
        <w:br/>
        <w:t xml:space="preserve">Both are exact: guaranteed-optimal for the daily subproblem, at the cost of exponential worst-case runtime — no results figures belong on this slide, only the methodology</w:t>
      </w:r>
    </w:p>
    <w:p/>
    <w:p>
      <w:r>
        <w:t xml:space="preserve"/>
      </w:r>
    </w:p>
    <w:p>
      <w:pPr>
        <w:pStyle w:val="Heading2"/>
      </w:pPr>
      <w:r>
        <w:t xml:space="preserve">Slide 9 — Meta-Heuristics  Hyper-Heuristics — Overarching Philosophy</w:t>
      </w:r>
    </w:p>
    <w:p>
      <w:r>
        <w:t xml:space="preserve">Meta-heuristics (HGS, PSOMA, SANS, PG-CLNS, ALNS) search the solution space directly; the hyper-heuristic (ACO-HH) instead searches the space of low-level heuristics. Within meta-heuristics, trajectory-based methods refine one incumbent solution while population-based methods evolve many candidates in parallel.</w:t>
        <w:br/>
        <w:t xml:space="preserve"/>
        <w:br/>
        <w:t xml:space="preserve">Heuristic search trades a small optimality gap for polynomial runtime — essential beyond the exact methods' size limits</w:t>
        <w:br/>
        <w:t xml:space="preserve"/>
        <w:br/>
        <w:t xml:space="preserve">Meta-heuristics (HGS, ALNS, SANS, PG-CLNS, PSOMA) balance exploration (diversify, escape local optima) and exploitation (intensify, polish good solutions)</w:t>
        <w:br/>
        <w:t xml:space="preserve"/>
        <w:br/>
        <w:t xml:space="preserve">The hyper-heuristic (ACO-HH) instead learns which low-level heuristic to apply next, via pheromones over the heuristics themselves rather than over the solution</w:t>
        <w:br/>
        <w:t xml:space="preserve"/>
        <w:br/>
        <w:t xml:space="preserve">Trajectory-based (SANS, PG-CLNS): iteratively perturb one incumbent solution</w:t>
        <w:br/>
        <w:t xml:space="preserve"/>
        <w:br/>
        <w:t xml:space="preserve">Population-based (HGS, PSOMA): evolve a whole population of candidate solutions in parallel each generation</w:t>
        <w:br/>
        <w:t xml:space="preserve"/>
        <w:br/>
        <w:t xml:space="preserve">All families plug into the pipeline as interchangeable route constructors</w:t>
      </w:r>
    </w:p>
    <w:p/>
    <w:p>
      <w:r>
        <w:t xml:space="preserve"/>
      </w:r>
    </w:p>
    <w:p>
      <w:pPr>
        <w:pStyle w:val="Heading2"/>
      </w:pPr>
      <w:r>
        <w:t xml:space="preserve">Slide 10 — Route Improvers: Classical Local Search vs Fast-TSP</w:t>
      </w:r>
    </w:p>
    <w:p>
      <w:r>
        <w:t xml:space="preserve">CLS explores several intra/inter-route neighbourhoods to a local optimum: 2-opt removes a crossing by reversing a segment, swap exchanges two nodes between routes, and relocate moves a single node to a better position. Fast-TSP applies the analogous exact/Stochastic-Local-Search reordering within each route.</w:t>
        <w:br/>
        <w:t xml:space="preserve"/>
        <w:br/>
        <w:t xml:space="preserve">Optional, constructor-agnostic post-optimisation of each constructed route</w:t>
        <w:br/>
        <w:t xml:space="preserve"/>
        <w:br/>
        <w:t xml:space="preserve">CLS: exhaustive intra/inter-route neighbourhoods (2-opt, or-opt, swap, relocate) to a local optimum — best KG / KM polish</w:t>
        <w:br/>
        <w:t xml:space="preserve"/>
        <w:br/>
        <w:t xml:space="preserve">Fast-TSP: reorders each route as a TSP — exact for small routes, Stochastic Local Search (SLS) under the hood for graphs with more than 20 nodes</w:t>
        <w:br/>
        <w:t xml:space="preserve"/>
        <w:br/>
        <w:t xml:space="preserve">Improver choice is a second-order effect: selection strategy and constructor dominate the KPI outcomes</w:t>
      </w:r>
    </w:p>
    <w:p/>
    <w:p>
      <w:r>
        <w:t xml:space="preserve"/>
      </w:r>
    </w:p>
    <w:p>
      <w:pPr>
        <w:pStyle w:val="Heading2"/>
      </w:pPr>
      <w:r>
        <w:t xml:space="preserve">Slide 11 — Design of Experiments</w:t>
      </w:r>
    </w:p>
    <w:p>
      <w:r>
        <w:t xml:space="preserve">Every scenario (region × graph size × waste distribution) is simulated for both the 30-day and the 90-day horizon; the 90-day runs are restricted to the 30-day Pareto-front policies.</w:t>
        <w:br/>
        <w:t xml:space="preserve"/>
        <w:br/>
        <w:t xml:space="preserve">Regions/graph sizes: RM-100, RM-170 (Rio Maior), FFZ-350 (Figueira da Foz) — two waste distributions each: Empirical and Gamma-3</w:t>
        <w:br/>
        <w:t xml:space="preserve"/>
        <w:br/>
        <w:t xml:space="preserve">5 mandatory selection variants × 8 route constructors × up to 2 improvers, replicated at 30 and 90 days</w:t>
      </w:r>
    </w:p>
    <w:p/>
    <w:p>
      <w:r>
        <w:t xml:space="preserve"/>
      </w:r>
    </w:p>
    <w:p>
      <w:pPr>
        <w:pStyle w:val="Heading2"/>
      </w:pPr>
      <w:r>
        <w:t xml:space="preserve">Slide 12 — Results — Pareto Front (Overflows vs KG / KM)</w:t>
      </w:r>
    </w:p>
    <w:p>
      <w:r>
        <w:t xml:space="preserve">Symlog X axis (overflows). Colour = selection variant, shape = scenario, dashed lines = Pareto fronts (one colour per scenario).</w:t>
      </w:r>
    </w:p>
    <w:p/>
    <w:p>
      <w:r>
        <w:t xml:space="preserve"/>
      </w:r>
    </w:p>
    <w:p>
      <w:pPr>
        <w:pStyle w:val="Heading2"/>
      </w:pPr>
      <w:r>
        <w:t xml:space="preserve">Slide 13 — Results — Summary KPI Analysis by Selection Strategy</w:t>
      </w:r>
    </w:p>
    <w:p>
      <w:r>
        <w:t xml:space="preserve">Mean ± min/max range across route constructors; colours discriminate the mandatory selection strategies.</w:t>
      </w:r>
    </w:p>
    <w:p/>
    <w:p>
      <w:r>
        <w:t xml:space="preserve"/>
      </w:r>
    </w:p>
    <w:p>
      <w:pPr>
        <w:pStyle w:val="Heading2"/>
      </w:pPr>
      <w:r>
        <w:t xml:space="preserve">Slide 14 — Results — Strategy Trade-off (Overflows vs KG / KM)</w:t>
      </w:r>
    </w:p>
    <w:p>
      <w:r>
        <w:t xml:space="preserve">Each bubble = (selection strategy, scenario) averaged over constructors and improvers — coloured by mandatory selection strategy (LA/LM/SL).</w:t>
      </w:r>
    </w:p>
    <w:p/>
    <w:p>
      <w:r>
        <w:t xml:space="preserve"/>
      </w:r>
    </w:p>
    <w:p>
      <w:pPr>
        <w:pStyle w:val="Heading2"/>
      </w:pPr>
      <w:r>
        <w:t xml:space="preserve">Slide 15 — Results — Per-Scenario Heatmaps (Constructors × Strategy·Improver)</w:t>
      </w:r>
    </w:p>
    <w:p>
      <w:r>
        <w:t xml:space="preserve">30-day runs. One panel per scenario; route constructors on the rows, selection × improver combinations on the columns.</w:t>
      </w:r>
    </w:p>
    <w:p/>
    <w:p>
      <w:r>
        <w:t xml:space="preserve"/>
      </w:r>
    </w:p>
    <w:p>
      <w:pPr>
        <w:pStyle w:val="Heading2"/>
      </w:pPr>
      <w:r>
        <w:t xml:space="preserve">Slide 16 — Results — Overflow  KG / KM Heatmaps, 90 Days (Policies × Scenarios)</w:t>
      </w:r>
    </w:p>
    <w:p>
      <w:r>
        <w:t xml:space="preserve">90-day runs (Pareto-front policies only — fewer rows, easier to read). Rows = policy configurations; columns = scenarios.</w:t>
      </w:r>
    </w:p>
    <w:p/>
    <w:p>
      <w:r>
        <w:t xml:space="preserve"/>
      </w:r>
    </w:p>
    <w:p>
      <w:pPr>
        <w:pStyle w:val="Heading2"/>
      </w:pPr>
      <w:r>
        <w:t xml:space="preserve">Slide 17 — Results — Route Improver Comparison</w:t>
      </w:r>
    </w:p>
    <w:p>
      <w:r>
        <w:t xml:space="preserve">Each bubble = (improver, scenario) averaged over strategies and constructors — FTSP vs CLS contrasted directly.</w:t>
      </w:r>
    </w:p>
    <w:p/>
    <w:p>
      <w:r>
        <w:t xml:space="preserve"/>
      </w:r>
    </w:p>
    <w:p>
      <w:pPr>
        <w:pStyle w:val="Heading2"/>
      </w:pPr>
      <w:r>
        <w:t xml:space="preserve">Slide 18 — Results — Full Table (30-Day Horizon)</w:t>
      </w:r>
    </w:p>
    <w:p>
      <w:r>
        <w:t xml:space="preserve">Full results table, columns grouped by partitioned by mandatory selection strategy (LA, LM, SL), one partial table per value; each partial table then grouped by route constructor × route improver.</w:t>
      </w:r>
    </w:p>
    <w:p/>
    <w:p>
      <w:r>
        <w:t xml:space="preserve"/>
      </w:r>
    </w:p>
    <w:p>
      <w:pPr>
        <w:pStyle w:val="Heading2"/>
      </w:pPr>
      <w:r>
        <w:t xml:space="preserve">Slide 19 — Conclusions, Limitations  Future Work</w:t>
      </w:r>
    </w:p>
    <w:p>
      <w:r>
        <w:t xml:space="preserve">Overlaid radar charts comparing route constructors across overflow, efficiency, distance and profit axes (outer = better) — a curated subset (left) and every constructor (right).</w:t>
        <w:br/>
        <w:t xml:space="preserve"/>
        <w:br/>
        <w:t xml:space="preserve">The selection strategy dominates the overflow/efficiency trade-off: SL prevents overflows (SL2 + ACO-HH reached 0 at FFZ-350), LM (CF90) maximises KG / KM (~12), LA balances</w:t>
        <w:br/>
        <w:t xml:space="preserve"/>
        <w:br/>
        <w:t xml:space="preserve">BPC and PG-CLNS are the most frequent Pareto-front constructors; ACO-HH is the most robust across scenarios and horizons</w:t>
        <w:br/>
        <w:t xml:space="preserve"/>
        <w:br/>
        <w:t xml:space="preserve">Patterns are stable from 30 to 90 days; overflow pressure grows with the horizon while KG / KM stays consistent</w:t>
        <w:br/>
        <w:t xml:space="preserve"/>
        <w:br/>
        <w:t xml:space="preserve">Limitations: single vehicle type/depot per region; waste models calibrated on limited data; 90-day runs only cover the 30-day Pareto-front policies</w:t>
        <w:br/>
        <w:t xml:space="preserve"/>
        <w:br/>
        <w:t xml:space="preserve">Future work: richer acceptance criteria, neural constructors (e.g. Attention Model) in the same pipeline, multi-vehicle fleets, intra-day re-routing, CO₂-aware objectives</w:t>
      </w:r>
    </w:p>
    <w:p/>
    <w:p>
      <w:r>
        <w:t xml:space="preserve"/>
      </w:r>
    </w:p>
    <w:p>
      <w:pPr>
        <w:pStyle w:val="Heading2"/>
      </w:pPr>
      <w:r>
        <w:t xml:space="preserve">Slide 20 — Thank You — Questions  Answers</w:t>
      </w:r>
    </w:p>
    <w:p>
      <w:r>
        <w:t xml:space="preserve">Thank you for your attention!</w:t>
        <w:br/>
        <w:t xml:space="preserve"/>
        <w:br/>
        <w:t xml:space="preserve">Time for questions</w:t>
      </w:r>
    </w:p>
    <w:p/>
    <w:p>
      <w:r>
        <w:t xml:space="preserv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