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WSmart+ Route — Speaker Script</w:t>
      </w:r>
    </w:p>
    <w:p>
      <w:r>
        <w:t xml:space="preserve">A Simulation Framework for the Multi-Period Vehicle Routing Problem with Profits in Smart Waste Collection</w:t>
      </w:r>
    </w:p>
    <w:p>
      <w:r>
        <w:t xml:space="preserve">Generated for: Afonso Cruz Fernandes¹</w:t>
      </w:r>
    </w:p>
    <w:p/>
    <w:p>
      <w:r>
        <w:t xml:space="preserve"/>
      </w:r>
    </w:p>
    <w:p>
      <w:pPr>
        <w:pStyle w:val="Heading2"/>
      </w:pPr>
      <w:r>
        <w:t xml:space="preserve">Slide 1 — A Simulation Framework for the Multi-Period Vehicle Routing Problem with Profits in Smart Waste Collection</w:t>
      </w:r>
    </w:p>
    <w:p>
      <w:r>
        <w:t xml:space="preserve">Presented by Afonso Cruz Fernandes¹. With Héctor Bonilla-Londoño², Diana Jorge², Manuel Lopes¹, Pedro A. Santos¹, Tânia Ramos².</w:t>
      </w:r>
    </w:p>
    <w:p/>
    <w:p>
      <w:r>
        <w:t xml:space="preserve"/>
      </w:r>
    </w:p>
    <w:p>
      <w:pPr>
        <w:pStyle w:val="Heading2"/>
      </w:pPr>
      <w:r>
        <w:t xml:space="preserve">Slide 2 — Agenda</w:t>
      </w:r>
    </w:p>
    <w:p>
      <w:r>
        <w:t xml:space="preserve">Today's agenda: Introduction — VRPP, Simulator Philosophy  Objective; Mandatory Node Selection Strategies; Route Constructors  Route Improvers; Results; Conclusions, Limitations  Future Work.</w:t>
      </w:r>
    </w:p>
    <w:p/>
    <w:p>
      <w:r>
        <w:t xml:space="preserve"/>
      </w:r>
    </w:p>
    <w:p>
      <w:pPr>
        <w:pStyle w:val="Heading2"/>
      </w:pPr>
      <w:r>
        <w:t xml:space="preserve">Slide 3 — The Problem: Vehicle Routing Problem with Profits (VRPP)</w:t>
      </w:r>
    </w:p>
    <w:p>
      <w:r>
        <w:t xml:space="preserve">Objective: maximise collected profit minus travel cost, choosing which nodes y to visit and how x routes them, subject to the vehicle capacity Q.</w:t>
        <w:br/>
        <w:t xml:space="preserve"/>
        <w:br/>
        <w:t xml:space="preserve">Unlike the classical VRP, only a profitable subset of nodes is visited: profit p_i (waste kg) vs travel cost c·d_ij</w:t>
        <w:br/>
        <w:t xml:space="preserve"/>
        <w:br/>
        <w:t xml:space="preserve">In waste collection bins fill stochastically day by day — skipping a bin saves distance but risks overflow</w:t>
        <w:br/>
        <w:t xml:space="preserve"/>
        <w:br/>
        <w:t xml:space="preserve">Two conflicting KPIs: bin overflows (service quality, ↓) and kg/km route efficiency (cost, ↑)</w:t>
        <w:br/>
        <w:t xml:space="preserve"/>
        <w:br/>
        <w:t xml:space="preserve">Multi-day sequential decision problem over scenarios: RM-100, RM-170, FFZ-350 × {Empirical, Gamma-3} × {30, 90} days</w:t>
      </w:r>
    </w:p>
    <w:p/>
    <w:p>
      <w:r>
        <w:t xml:space="preserve"/>
      </w:r>
    </w:p>
    <w:p>
      <w:pPr>
        <w:pStyle w:val="Heading2"/>
      </w:pPr>
      <w:r>
        <w:t xml:space="preserve">Slide 4 — Objective of this Work</w:t>
      </w:r>
    </w:p>
    <w:p>
      <w:r>
        <w:t xml:space="preserve">Benchmark, under one simulation framework, the full space of daily routing policies for the multi-period VRPP in smart waste collection</w:t>
        <w:br/>
        <w:t xml:space="preserve"/>
        <w:br/>
        <w:t xml:space="preserve">Exact methods: Branch-Price-and-Cut (BPC) and SWC-TCF — optimality reference points at the daily-subproblem scale</w:t>
        <w:br/>
        <w:t xml:space="preserve"/>
        <w:br/>
        <w:t xml:space="preserve">Meta-heuristics: Hybrid Genetic Search (HGS), Adaptive Large Neighborhood Search (ALNS), Simulated Annealing Neighborhood Search (SANS), Policy-Gradient CLNS (PG-CLNS)</w:t>
        <w:br/>
        <w:t xml:space="preserve"/>
        <w:br/>
        <w:t xml:space="preserve">Hyper-heuristics: Particle Swarm Optimisation Memetic Algorithm (PSOMA) and Ant Colony Optimisation Hyper-Heuristic (ACO-HH)</w:t>
        <w:br/>
        <w:t xml:space="preserve"/>
        <w:br/>
        <w:t xml:space="preserve">Question: which combination of mandatory selection strategy, route constructor and route improver dominates the overflow vs kg/km trade-off, and how stable is that answer across scenarios and horizons?</w:t>
      </w:r>
    </w:p>
    <w:p/>
    <w:p>
      <w:r>
        <w:t xml:space="preserve"/>
      </w:r>
    </w:p>
    <w:p>
      <w:pPr>
        <w:pStyle w:val="Heading2"/>
      </w:pPr>
      <w:r>
        <w:t xml:space="preserve">Slide 5 — Routing Simulator Philosophy — Modular Policy Pipeline</w:t>
      </w:r>
    </w:p>
    <w:p>
      <w:r>
        <w:t xml:space="preserve">Every daily routing policy decomposes into a mandatory bin-selection strategy, a route constructor, an optional acceptance criterion and an optional route improver.</w:t>
        <w:br/>
        <w:t xml:space="preserve"/>
        <w:br/>
        <w:t xml:space="preserve">Every daily routing policy is a composition of interchangeable stages, benchmarked under identical conditions</w:t>
        <w:br/>
        <w:t xml:space="preserve"/>
        <w:br/>
        <w:t xml:space="preserve">The simulator replays multi-day scenarios (region × graph size × waste distribution), logging overflows, kg, km, kg/km and profit for every policy combination</w:t>
      </w:r>
    </w:p>
    <w:p/>
    <w:p>
      <w:r>
        <w:t xml:space="preserve"/>
      </w:r>
    </w:p>
    <w:p>
      <w:pPr>
        <w:pStyle w:val="Heading2"/>
      </w:pPr>
      <w:r>
        <w:t xml:space="preserve">Slide 6 — Mandatory Node Selection Strategies</w:t>
      </w:r>
    </w:p>
    <w:p>
      <w:r>
        <w:t xml:space="preserve">The three mandatory selection rules — Look-Ahead (LA) forecasts fill level f_i at t+δ, Last-Minute (LM) reacts once f_i crosses a critical fill threshold CF, and Service-Level (SL) bounds each bin's overflow probability by a target confidence α.</w:t>
        <w:br/>
        <w:t xml:space="preserve"/>
        <w:br/>
        <w:t xml:space="preserve">Look-Ahead (LA) anticipates predicted overflows; Last-Minute (LM) waits for a critical fill threshold; Service-Level (SL) bounds each bin's overflow probability</w:t>
        <w:br/>
        <w:t xml:space="preserve"/>
        <w:br/>
        <w:t xml:space="preserve">Empirical trade-off: LM dominates efficiency (kg/km), SL dominates overflow prevention, LA sits in between</w:t>
        <w:br/>
        <w:t xml:space="preserve"/>
        <w:br/>
        <w:t xml:space="preserve">The choice spans the service-quality vs cost spectrum — an operational decision, not an algorithmic one</w:t>
      </w:r>
    </w:p>
    <w:p/>
    <w:p>
      <w:r>
        <w:t xml:space="preserve"/>
      </w:r>
    </w:p>
    <w:p>
      <w:pPr>
        <w:pStyle w:val="Heading2"/>
      </w:pPr>
      <w:r>
        <w:t xml:space="preserve">Slide 7 — Big Picture: Policy Configuration Space</w:t>
      </w:r>
    </w:p>
    <w:p>
      <w:r>
        <w:t xml:space="preserve">Every simulated policy is one path through the three columns: a mandatory selection strategy, a route constructor (exact / meta-heuristic / hyper-heuristic) and an optional route improver.</w:t>
        <w:br/>
        <w:t xml:space="preserve"/>
        <w:br/>
        <w:t xml:space="preserve">Mandatory selection × route constructor × route improver — every combination is run through the same multi-day simulator</w:t>
        <w:br/>
        <w:t xml:space="preserve"/>
        <w:br/>
        <w:t xml:space="preserve">Exact methods and meta-/hyper-heuristics are interchangeable route constructors under the identical selection and improvement stages</w:t>
      </w:r>
    </w:p>
    <w:p/>
    <w:p>
      <w:r>
        <w:t xml:space="preserve"/>
      </w:r>
    </w:p>
    <w:p>
      <w:pPr>
        <w:pStyle w:val="Heading2"/>
      </w:pPr>
      <w:r>
        <w:t xml:space="preserve">Slide 8 — Exact Methods: BPC  SWC-TCF</w:t>
      </w:r>
    </w:p>
    <w:p>
      <w:r>
        <w:t xml:space="preserve">Set-partitioning master problem: choose a minimum-cost combination of routes r ∈ Ω (weight λ_r) such that every node i is covered exactly once (a_ir = 1 iff route r visits i).</w:t>
        <w:br/>
        <w:t xml:space="preserve"/>
        <w:br/>
        <w:t xml:space="preserve">Branch-Price-and-Cut (BPC): column generation over the route set Ω with cutting planes — proven optimality (BHV2000 lineage)</w:t>
        <w:br/>
        <w:t xml:space="preserve"/>
        <w:br/>
        <w:t xml:space="preserve">Pricing subproblem: elementary shortest path with resource constraints, accelerated by ng-route relaxation and limited-memory cuts</w:t>
        <w:br/>
        <w:t xml:space="preserve"/>
        <w:br/>
        <w:t xml:space="preserve">SWC-TCF: exact set-partitioning over Clarke-Wright-style savings columns with traffic-congestion-adjusted costs</w:t>
        <w:br/>
        <w:t xml:space="preserve"/>
        <w:br/>
        <w:t xml:space="preserve">Both provide optimality reference points; exponential worst-case runtime limits them to the daily subproblem sizes</w:t>
      </w:r>
    </w:p>
    <w:p/>
    <w:p>
      <w:r>
        <w:t xml:space="preserve"/>
      </w:r>
    </w:p>
    <w:p>
      <w:pPr>
        <w:pStyle w:val="Heading2"/>
      </w:pPr>
      <w:r>
        <w:t xml:space="preserve">Slide 9 — Meta-Heuristics  Hyper-Heuristics — Overarching Philosophy</w:t>
      </w:r>
    </w:p>
    <w:p>
      <w:r>
        <w:t xml:space="preserve">A meta-heuristic maps the incumbent x_t to a new candidate via operator A parameterised by θ_t, updated from feedback; a hyper-heuristic instead searches over low-level heuristics h ∈ H, picking the one with highest estimated value Q_t(h) at each step.</w:t>
        <w:br/>
        <w:t xml:space="preserve"/>
        <w:br/>
        <w:t xml:space="preserve">Heuristic search trades a small optimality gap for polynomial runtime — essential beyond the exact methods' size limits</w:t>
        <w:br/>
        <w:t xml:space="preserve"/>
        <w:br/>
        <w:t xml:space="preserve">Evolutionary — HGS: population-based, ordered crossover + aggressive local search, biased fitness balances quality and diversity</w:t>
        <w:br/>
        <w:t xml:space="preserve"/>
        <w:br/>
        <w:t xml:space="preserve">Swarm intelligence — PSOMA: particle swarm + memetic refinement (best-overflow performer); ACO-HH: pheromones over low-level heuristics, most robust all-rounder</w:t>
        <w:br/>
        <w:t xml:space="preserve"/>
        <w:br/>
        <w:t xml:space="preserve">Trajectory-based — SANS: simulated annealing accepts worsening moves under a cooling schedule; PG-CLNS: destroy-and-repair LNS whose operator choice is learned via policy gradients</w:t>
        <w:br/>
        <w:t xml:space="preserve"/>
        <w:br/>
        <w:t xml:space="preserve">Three families, one shared interface: each plugs into the pipeline as an interchangeable route constructor</w:t>
      </w:r>
    </w:p>
    <w:p/>
    <w:p>
      <w:r>
        <w:t xml:space="preserve"/>
      </w:r>
    </w:p>
    <w:p>
      <w:pPr>
        <w:pStyle w:val="Heading2"/>
      </w:pPr>
      <w:r>
        <w:t xml:space="preserve">Slide 10 — Route Improvers: Classical Local Search vs Fast-TSP</w:t>
      </w:r>
    </w:p>
    <w:p>
      <w:r>
        <w:t xml:space="preserve">2-opt accepts an edge swap whenever the resulting distance change Δ is negative. Fast-TSP reorders each route's visiting sequence π to minimise total distance — solved exactly for small routes and via Stochastic Local Search (SLS) once N exceeds 20 stops.</w:t>
        <w:br/>
        <w:t xml:space="preserve"/>
        <w:br/>
        <w:t xml:space="preserve">Optional, constructor-agnostic post-optimisation of each constructed route</w:t>
        <w:br/>
        <w:t xml:space="preserve"/>
        <w:br/>
        <w:t xml:space="preserve">CLS: exhaustive intra/inter-route neighbourhoods (2-opt, or-opt, swap, relocate) to a local optimum — best kg/km polish</w:t>
        <w:br/>
        <w:t xml:space="preserve"/>
        <w:br/>
        <w:t xml:space="preserve">Fast-TSP: reorders each route as a TSP — exact for small routes, Stochastic Local Search (SLS) under the hood for graphs with more than 20 nodes</w:t>
        <w:br/>
        <w:t xml:space="preserve"/>
        <w:br/>
        <w:t xml:space="preserve">Improver choice is a second-order effect: selection strategy and constructor dominate the KPI outcomes</w:t>
      </w:r>
    </w:p>
    <w:p/>
    <w:p>
      <w:r>
        <w:t xml:space="preserve"/>
      </w:r>
    </w:p>
    <w:p>
      <w:pPr>
        <w:pStyle w:val="Heading2"/>
      </w:pPr>
      <w:r>
        <w:t xml:space="preserve">Slide 11 — Design of Experiments</w:t>
      </w:r>
    </w:p>
    <w:p>
      <w:r>
        <w:t xml:space="preserve">Every scenario (region × graph size × waste distribution) is simulated for both the 30-day and the 90-day horizon; the 90-day runs are restricted to the 30-day Pareto-front policies.</w:t>
        <w:br/>
        <w:t xml:space="preserve"/>
        <w:br/>
        <w:t xml:space="preserve">Regions/graph sizes: RM-100, RM-170 (Rio Maior), FFZ-350 (Figueira da Foz) — two waste distributions each: Empirical and Gamma-3</w:t>
        <w:br/>
        <w:t xml:space="preserve"/>
        <w:br/>
        <w:t xml:space="preserve">5 mandatory selection variants × 8 route constructors × up to 2 improvers, replicated at 30 and 90 days</w:t>
      </w:r>
    </w:p>
    <w:p/>
    <w:p>
      <w:r>
        <w:t xml:space="preserve"/>
      </w:r>
    </w:p>
    <w:p>
      <w:pPr>
        <w:pStyle w:val="Heading2"/>
      </w:pPr>
      <w:r>
        <w:t xml:space="preserve">Slide 12 — Results — Pareto Front (Overflows vs kg/km)</w:t>
      </w:r>
    </w:p>
    <w:p>
      <w:r>
        <w:t xml:space="preserve">Symlog X axis (overflows). Colour = selection variant, shape = scenario, dashed lines = Pareto fronts (one colour per scenario).</w:t>
      </w:r>
    </w:p>
    <w:p/>
    <w:p>
      <w:r>
        <w:t xml:space="preserve"/>
      </w:r>
    </w:p>
    <w:p>
      <w:pPr>
        <w:pStyle w:val="Heading2"/>
      </w:pPr>
      <w:r>
        <w:t xml:space="preserve">Slide 13 — Results — Summary KPI Analysis by Selection Strategy</w:t>
      </w:r>
    </w:p>
    <w:p>
      <w:r>
        <w:t xml:space="preserve">Mean ± min/max range across route constructors; colours discriminate the mandatory selection strategies.</w:t>
      </w:r>
    </w:p>
    <w:p/>
    <w:p>
      <w:r>
        <w:t xml:space="preserve"/>
      </w:r>
    </w:p>
    <w:p>
      <w:pPr>
        <w:pStyle w:val="Heading2"/>
      </w:pPr>
      <w:r>
        <w:t xml:space="preserve">Slide 14 — Results — Strategy Trade-off (Overflows vs kg/km)</w:t>
      </w:r>
    </w:p>
    <w:p>
      <w:r>
        <w:t xml:space="preserve">Each bubble = (selection strategy, scenario) averaged over constructors and improvers — coloured by mandatory selection strategy (LA/LM/SL).</w:t>
      </w:r>
    </w:p>
    <w:p/>
    <w:p>
      <w:r>
        <w:t xml:space="preserve"/>
      </w:r>
    </w:p>
    <w:p>
      <w:pPr>
        <w:pStyle w:val="Heading2"/>
      </w:pPr>
      <w:r>
        <w:t xml:space="preserve">Slide 15 — Results — Per-Scenario Heatmaps (Constructors × Strategy·Improver)</w:t>
      </w:r>
    </w:p>
    <w:p>
      <w:r>
        <w:t xml:space="preserve">30-day runs. One panel per scenario; route constructors on the rows, selection × improver combinations on the columns.</w:t>
      </w:r>
    </w:p>
    <w:p/>
    <w:p>
      <w:r>
        <w:t xml:space="preserve"/>
      </w:r>
    </w:p>
    <w:p>
      <w:pPr>
        <w:pStyle w:val="Heading2"/>
      </w:pPr>
      <w:r>
        <w:t xml:space="preserve">Slide 16 — Results — Overflow  kg/km Heatmaps, 90 Days (Policies × Scenarios)</w:t>
      </w:r>
    </w:p>
    <w:p>
      <w:r>
        <w:t xml:space="preserve">90-day runs (Pareto-front policies only — fewer rows, easier to read). Rows = policy configurations; columns = scenarios.</w:t>
      </w:r>
    </w:p>
    <w:p/>
    <w:p>
      <w:r>
        <w:t xml:space="preserve"/>
      </w:r>
    </w:p>
    <w:p>
      <w:pPr>
        <w:pStyle w:val="Heading2"/>
      </w:pPr>
      <w:r>
        <w:t xml:space="preserve">Slide 17 — Results — Route Improver Comparison</w:t>
      </w:r>
    </w:p>
    <w:p>
      <w:r>
        <w:t xml:space="preserve">Each bubble = (improver, scenario) averaged over strategies and constructors — FTSP vs CLS contrasted directly.</w:t>
      </w:r>
    </w:p>
    <w:p/>
    <w:p>
      <w:r>
        <w:t xml:space="preserve"/>
      </w:r>
    </w:p>
    <w:p>
      <w:pPr>
        <w:pStyle w:val="Heading2"/>
      </w:pPr>
      <w:r>
        <w:t xml:space="preserve">Slide 18 — Results — Full Table (30-Day Horizon)</w:t>
      </w:r>
    </w:p>
    <w:p>
      <w:r>
        <w:t xml:space="preserve">Full results table, columns grouped by partitioned by route improver (FTSP, CLS), one partial table per value; each partial table then grouped by mandatory selection strategy × route constructor.</w:t>
      </w:r>
    </w:p>
    <w:p/>
    <w:p>
      <w:r>
        <w:t xml:space="preserve"/>
      </w:r>
    </w:p>
    <w:p>
      <w:pPr>
        <w:pStyle w:val="Heading2"/>
      </w:pPr>
      <w:r>
        <w:t xml:space="preserve">Slide 19 — Conclusions, Limitations  Future Work</w:t>
      </w:r>
    </w:p>
    <w:p>
      <w:r>
        <w:t xml:space="preserve">Overlaid radar chart comparing key route constructors across overflow, efficiency, distance and profit axes — outer position indicates better performance on that axis.</w:t>
        <w:br/>
        <w:t xml:space="preserve"/>
        <w:br/>
        <w:t xml:space="preserve">The selection strategy dominates the overflow/efficiency trade-off: SL prevents overflows (SL2 + ACO_HH reached 0 at FFZ-350), LM (CF90) maximises kg/km (~12), LA balances</w:t>
        <w:br/>
        <w:t xml:space="preserve"/>
        <w:br/>
        <w:t xml:space="preserve">BPC and PG-CLNS are the most frequent Pareto-front constructors; ACO-HH is the most robust across scenarios and horizons</w:t>
        <w:br/>
        <w:t xml:space="preserve"/>
        <w:br/>
        <w:t xml:space="preserve">Patterns are stable from 30 to 90 days; overflow pressure grows with the horizon while kg/km stays consistent</w:t>
        <w:br/>
        <w:t xml:space="preserve"/>
        <w:br/>
        <w:t xml:space="preserve">Limitations: single vehicle type/depot per region; waste models calibrated on limited data; 90-day runs only cover the 30-day Pareto-front policies</w:t>
        <w:br/>
        <w:t xml:space="preserve"/>
        <w:br/>
        <w:t xml:space="preserve">Future work: richer acceptance criteria, neural constructors (e.g. Attention Model) in the same pipeline, multi-vehicle fleets, intra-day re-routing, CO₂-aware objectives</w:t>
      </w:r>
    </w:p>
    <w:p/>
    <w:p>
      <w:r>
        <w:t xml:space="preserve"/>
      </w:r>
    </w:p>
    <w:p>
      <w:pPr>
        <w:pStyle w:val="Heading2"/>
      </w:pPr>
      <w:r>
        <w:t xml:space="preserve">Slide 20 — Thank You — Questions  Answers</w:t>
      </w:r>
    </w:p>
    <w:p>
      <w:r>
        <w:t xml:space="preserve">Thank you for your attention!</w:t>
        <w:br/>
        <w:t xml:space="preserve"/>
        <w:br/>
        <w:t xml:space="preserve">Time for questions</w:t>
      </w:r>
    </w:p>
    <w:p/>
    <w:p>
      <w:r>
        <w:t xml:space="preserv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