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WSmart+ Route — Speaker Script</w:t>
      </w:r>
    </w:p>
    <w:p>
      <w:r>
        <w:t xml:space="preserve">WSmart+ Route — Adaptive Routing Policies for Smart Waste Collection</w:t>
      </w:r>
    </w:p>
    <w:p>
      <w:r>
        <w:t xml:space="preserve">Generated for: Afonso Fernandes</w:t>
      </w:r>
    </w:p>
    <w:p/>
    <w:p>
      <w:r>
        <w:t xml:space="preserve"/>
      </w:r>
    </w:p>
    <w:p>
      <w:pPr>
        <w:pStyle w:val="Heading2"/>
      </w:pPr>
      <w:r>
        <w:t xml:space="preserve">Slide 1 — WSmart+ Route — Adaptive Routing Policies for Smart Waste Collection</w:t>
      </w:r>
    </w:p>
    <w:p>
      <w:r>
        <w:t xml:space="preserve">Presented by Afonso Fernandes.</w:t>
      </w:r>
    </w:p>
    <w:p/>
    <w:p>
      <w:r>
        <w:t xml:space="preserve"/>
      </w:r>
    </w:p>
    <w:p>
      <w:pPr>
        <w:pStyle w:val="Heading2"/>
      </w:pPr>
      <w:r>
        <w:t xml:space="preserve">Slide 2 — Agenda</w:t>
      </w:r>
    </w:p>
    <w:p>
      <w:r>
        <w:t xml:space="preserve">Today's agenda: The Vehicle Routing Problem with Profits (VRPP); Routing Simulator Philosophy; Mandatory Node Selection Strategies; Exact Solvers: BPC  SWC-TCF; Meta-Heuristics  Hyper-Heuristics; Evolutionary Algorithms: HGS; Swarm Intelligence: PSOMA  ACO-HH; Neighborhood Search: SANS  PG-CLNS; Route Improvers: Classical Local Search vs Fast-TSP; Results — Pareto Front; Results — Summary KPI Analysis; Results — Per-Scenario Heatmaps; Results — Policy × Scenario Heatmaps (90 days); Results — Route Improver Comparison; Conclusions, Limitations  Future Work.</w:t>
      </w:r>
    </w:p>
    <w:p/>
    <w:p>
      <w:r>
        <w:t xml:space="preserve"/>
      </w:r>
    </w:p>
    <w:p>
      <w:pPr>
        <w:pStyle w:val="Heading2"/>
      </w:pPr>
      <w:r>
        <w:t xml:space="preserve">Slide 3 — The Problem: Vehicle Routing Problem with Profits (VRPP)</w:t>
      </w:r>
    </w:p>
    <w:p>
      <w:r>
        <w:t xml:space="preserve">Objective: maximise collected profit minus travel cost, choosing which nodes y to visit and how x routes them, subject to the vehicle capacity Q.</w:t>
        <w:br/>
        <w:t xml:space="preserve"/>
        <w:br/>
        <w:t xml:space="preserve">Unlike the classical VRP, only a profitable subset of nodes is visited: profit p_i (waste kg) vs travel cost c·d_ij</w:t>
        <w:br/>
        <w:t xml:space="preserve"/>
        <w:br/>
        <w:t xml:space="preserve">In waste collection bins fill stochastically day by day — skipping a bin saves distance but risks overflow</w:t>
        <w:br/>
        <w:t xml:space="preserve"/>
        <w:br/>
        <w:t xml:space="preserve">Two conflicting KPIs: bin overflows (service quality, ↓) and kg/km route efficiency (cost, ↑)</w:t>
        <w:br/>
        <w:t xml:space="preserve"/>
        <w:br/>
        <w:t xml:space="preserve">Multi-day sequential decision problem over scenarios: RM-100, RM-170, FFZ-350 × {Empirical, Gamma-3} × {30, 90} days</w:t>
      </w:r>
    </w:p>
    <w:p/>
    <w:p>
      <w:r>
        <w:t xml:space="preserve"/>
      </w:r>
    </w:p>
    <w:p>
      <w:pPr>
        <w:pStyle w:val="Heading2"/>
      </w:pPr>
      <w:r>
        <w:t xml:space="preserve">Slide 4 — Routing Simulator Philosophy — Modular Policy Pipeline</w:t>
      </w:r>
    </w:p>
    <w:p>
      <w:r>
        <w:t xml:space="preserve">Every daily routing policy decomposes into a mandatory bin-selection strategy, a route constructor, an optional acceptance criterion and an optional route improver.</w:t>
        <w:br/>
        <w:t xml:space="preserve"/>
        <w:br/>
        <w:t xml:space="preserve">Every daily routing policy is a composition of interchangeable stages, benchmarked under identical conditions</w:t>
        <w:br/>
        <w:t xml:space="preserve"/>
        <w:br/>
        <w:t xml:space="preserve">The simulator replays multi-day scenarios (region × graph size × waste distribution), logging overflows, kg, km, kg/km and profit for every policy combination</w:t>
      </w:r>
    </w:p>
    <w:p/>
    <w:p>
      <w:r>
        <w:t xml:space="preserve"/>
      </w:r>
    </w:p>
    <w:p>
      <w:pPr>
        <w:pStyle w:val="Heading2"/>
      </w:pPr>
      <w:r>
        <w:t xml:space="preserve">Slide 5 — Mandatory Node Selection Strategies</w:t>
      </w:r>
    </w:p>
    <w:p>
      <w:r>
        <w:t xml:space="preserve">The three mandatory selection rules — Look-Ahead (LA) forecasts fill level f_i at t+δ, Last-Minute (LM) reacts once f_i crosses a critical fill threshold CF, and Service-Level (SL) bounds each bin's overflow probability by a target confidence α.</w:t>
        <w:br/>
        <w:t xml:space="preserve"/>
        <w:br/>
        <w:t xml:space="preserve">Look-Ahead anticipates predicted overflows; Last-Minute waits for a critical fill threshold; Service-Level bounds each bin's overflow probability</w:t>
        <w:br/>
        <w:t xml:space="preserve"/>
        <w:br/>
        <w:t xml:space="preserve">Empirical trade-off: LM dominates efficiency (kg/km), SL dominates overflow prevention, LA sits in between</w:t>
        <w:br/>
        <w:t xml:space="preserve"/>
        <w:br/>
        <w:t xml:space="preserve">The choice spans the service-quality vs cost spectrum — an operational decision, not an algorithmic one</w:t>
      </w:r>
    </w:p>
    <w:p/>
    <w:p>
      <w:r>
        <w:t xml:space="preserve"/>
      </w:r>
    </w:p>
    <w:p>
      <w:pPr>
        <w:pStyle w:val="Heading2"/>
      </w:pPr>
      <w:r>
        <w:t xml:space="preserve">Slide 6 — Exact Solvers: BPC  SWC-TCF</w:t>
      </w:r>
    </w:p>
    <w:p>
      <w:r>
        <w:t xml:space="preserve">Set-partitioning master problem: choose a minimum-cost combination of routes r ∈ Ω (weight λ_r) such that every node i is covered exactly once (a_ir = 1 iff route r visits i).</w:t>
        <w:br/>
        <w:t xml:space="preserve"/>
        <w:br/>
        <w:t xml:space="preserve">Branch-Price-and-Cut (BPC): column generation over the route set Ω with cutting planes — proven optimality (BHV2000 lineage)</w:t>
        <w:br/>
        <w:t xml:space="preserve"/>
        <w:br/>
        <w:t xml:space="preserve">Pricing subproblem: elementary shortest path with resource constraints, accelerated by ng-route relaxation and limited-memory cuts</w:t>
        <w:br/>
        <w:t xml:space="preserve"/>
        <w:br/>
        <w:t xml:space="preserve">SWC-TCF: exact set-partitioning over Clarke-Wright-style savings columns with traffic-congestion-adjusted costs</w:t>
        <w:br/>
        <w:t xml:space="preserve"/>
        <w:br/>
        <w:t xml:space="preserve">Both provide optimality reference points; exponential worst-case runtime limits them to the daily subproblem sizes</w:t>
      </w:r>
    </w:p>
    <w:p/>
    <w:p>
      <w:r>
        <w:t xml:space="preserve"/>
      </w:r>
    </w:p>
    <w:p>
      <w:pPr>
        <w:pStyle w:val="Heading2"/>
      </w:pPr>
      <w:r>
        <w:t xml:space="preserve">Slide 7 — Meta-Heuristics  Hyper-Heuristics — Overarching Philosophy</w:t>
      </w:r>
    </w:p>
    <w:p>
      <w:r>
        <w:t xml:space="preserve">A meta-heuristic maps the incumbent x_t to a new candidate via operator A parameterised by θ_t, updated from feedback; a hyper-heuristic instead searches over low-level heuristics h ∈ H, picking the one with highest estimated value Q_t(h) at each step.</w:t>
        <w:br/>
        <w:t xml:space="preserve"/>
        <w:br/>
        <w:t xml:space="preserve">Heuristic search trades a small optimality gap for polynomial runtime — essential beyond the exact solvers' size limits</w:t>
        <w:br/>
        <w:t xml:space="preserve"/>
        <w:br/>
        <w:t xml:space="preserve">Meta-heuristics balance exploration (diversify, escape local optima) and exploitation (intensify, polish good solutions)</w:t>
        <w:br/>
        <w:t xml:space="preserve"/>
        <w:br/>
        <w:t xml:space="preserve">Hyper-heuristics search the space of heuristics itself, learning which low-level operator to apply next (e.g. ACO-HH)</w:t>
        <w:br/>
        <w:t xml:space="preserve"/>
        <w:br/>
        <w:t xml:space="preserve">Three families studied: evolutionary (HGS), swarm intelligence (PSOMA, ACO-HH), neighborhood search (SANS, PG-CLNS)</w:t>
      </w:r>
    </w:p>
    <w:p/>
    <w:p>
      <w:r>
        <w:t xml:space="preserve"/>
      </w:r>
    </w:p>
    <w:p>
      <w:pPr>
        <w:pStyle w:val="Heading2"/>
      </w:pPr>
      <w:r>
        <w:t xml:space="preserve">Slide 8 — Evolutionary Algorithms — HGS (Hybrid Genetic Search)</w:t>
      </w:r>
    </w:p>
    <w:p>
      <w:r>
        <w:t xml:space="preserve">Biased fitness function used to rank current solutions by both quality and diversity. n_pop is the current population size and n_elite the number of elite (best-cost) individuals; individuals outside the elite are increasingly rewarded for contributing diversity.</w:t>
        <w:br/>
        <w:t xml:space="preserve"/>
        <w:br/>
        <w:t xml:space="preserve">Population-based: parents recombine via ordered crossover; every offspring is 'educated' by aggressive local search</w:t>
        <w:br/>
        <w:t xml:space="preserve"/>
        <w:br/>
        <w:t xml:space="preserve">Biased fitness (above) blends solution quality with diversity contribution — prevents premature convergence</w:t>
        <w:br/>
        <w:t xml:space="preserve"/>
        <w:br/>
        <w:t xml:space="preserve">Infeasible individuals survive in a penalised sub-population, letting the search cross infeasible regions</w:t>
        <w:br/>
        <w:t xml:space="preserve"/>
        <w:br/>
        <w:t xml:space="preserve">State-of-the-art on classical CVRP; strong efficiency performer here when paired with the CLS improver</w:t>
      </w:r>
    </w:p>
    <w:p/>
    <w:p>
      <w:r>
        <w:t xml:space="preserve"/>
      </w:r>
    </w:p>
    <w:p>
      <w:pPr>
        <w:pStyle w:val="Heading2"/>
      </w:pPr>
      <w:r>
        <w:t xml:space="preserve">Slide 9 — Swarm Intelligence — PSOMA  ACO-HH</w:t>
      </w:r>
    </w:p>
    <w:p>
      <w:r>
        <w:t xml:space="preserve">PSO velocity update: particle i moves toward its personal best p_i and the global best g under inertia ω and acceleration coefficients c1, c2. ACO pheromone update: pheromone τ_h on heuristic h decays by evaporation rate ρ and is reinforced by the deposits Δτ_h of the k ants that used it.</w:t>
        <w:br/>
        <w:t xml:space="preserve"/>
        <w:br/>
        <w:t xml:space="preserve">Many simple agents share information; global order emerges from local interactions</w:t>
        <w:br/>
        <w:t xml:space="preserve"/>
        <w:br/>
        <w:t xml:space="preserve">PSOMA: particles attracted by personal/global bests + a memetic local-search refinement phase — consistent best-overflow performer in the empirical scenarios</w:t>
        <w:br/>
        <w:t xml:space="preserve"/>
        <w:br/>
        <w:t xml:space="preserve">ACO-HH: pheromones are laid over low-level heuristics (h) rather than arcs — the colony learns the best sequence of constructive operators</w:t>
        <w:br/>
        <w:t xml:space="preserve"/>
        <w:br/>
        <w:t xml:space="preserve">ACO-HH is the most robust all-rounder: Pareto-optimal in multiple scenarios (zero-overflow SL2 configs at FFZ-350)</w:t>
      </w:r>
    </w:p>
    <w:p/>
    <w:p>
      <w:r>
        <w:t xml:space="preserve"/>
      </w:r>
    </w:p>
    <w:p>
      <w:pPr>
        <w:pStyle w:val="Heading2"/>
      </w:pPr>
      <w:r>
        <w:t xml:space="preserve">Slide 10 — Neighborhood Search — SANS  PG-CLNS</w:t>
      </w:r>
    </w:p>
    <w:p>
      <w:r>
        <w:t xml:space="preserve">Simulated annealing accepts a worsening move with probability e^(−Δ/T_t), cooling temperature T by factor γ each iteration. PG-CLNS learns its destroy/repair operator choice o via the policy-gradient estimator ∇_θJ, using state s (fill levels, geography) and observed reward R.</w:t>
        <w:br/>
        <w:t xml:space="preserve"/>
        <w:br/>
        <w:t xml:space="preserve">Trajectory-based: iteratively perturb the incumbent through neighbourhood moves</w:t>
        <w:br/>
        <w:t xml:space="preserve"/>
        <w:br/>
        <w:t xml:space="preserve">SANS: simulated annealing accepts worsening moves with probability e^(−Δ/T); cooling shifts exploration → exploitation</w:t>
        <w:br/>
        <w:t xml:space="preserve"/>
        <w:br/>
        <w:t xml:space="preserve">PG-CLNS: destroy-and-repair large-neighborhood search whose operator selection is learned online via policy gradients, adapting to instance context (fill levels, geography)</w:t>
        <w:br/>
        <w:t xml:space="preserve"/>
        <w:br/>
        <w:t xml:space="preserve">PG-CLNS is a standout overflow performer: SL1 + PG-CLNS reaches the Pareto front with ~1 overflow / 30 days</w:t>
      </w:r>
    </w:p>
    <w:p/>
    <w:p>
      <w:r>
        <w:t xml:space="preserve"/>
      </w:r>
    </w:p>
    <w:p>
      <w:pPr>
        <w:pStyle w:val="Heading2"/>
      </w:pPr>
      <w:r>
        <w:t xml:space="preserve">Slide 11 — Route Improvers: Classical Local Search vs Fast-TSP</w:t>
      </w:r>
    </w:p>
    <w:p>
      <w:r>
        <w:t xml:space="preserve">2-opt accepts an edge swap whenever the resulting distance change Δ is negative. Fast-TSP reorders each route's visiting sequence π to minimise total distance — solved exactly for small routes and via Stochastic Local Search (SLS) once N exceeds 20 stops.</w:t>
        <w:br/>
        <w:t xml:space="preserve"/>
        <w:br/>
        <w:t xml:space="preserve">Optional, constructor-agnostic post-optimisation of each constructed route</w:t>
        <w:br/>
        <w:t xml:space="preserve"/>
        <w:br/>
        <w:t xml:space="preserve">CLS: exhaustive intra/inter-route neighbourhoods (2-opt, or-opt, swap, relocate) to a local optimum — best kg/km polish</w:t>
        <w:br/>
        <w:t xml:space="preserve"/>
        <w:br/>
        <w:t xml:space="preserve">Fast-TSP: reorders each route as a TSP — exact for small routes, Stochastic Local Search (SLS) under the hood for graphs with more than 20 nodes</w:t>
        <w:br/>
        <w:t xml:space="preserve"/>
        <w:br/>
        <w:t xml:space="preserve">Improver choice is a second-order effect: selection strategy and constructor dominate the KPI outcomes</w:t>
      </w:r>
    </w:p>
    <w:p/>
    <w:p>
      <w:r>
        <w:t xml:space="preserve"/>
      </w:r>
    </w:p>
    <w:p>
      <w:pPr>
        <w:pStyle w:val="Heading2"/>
      </w:pPr>
      <w:r>
        <w:t xml:space="preserve">Slide 12 — Results — Pareto Front (Overflows vs kg/km)</w:t>
      </w:r>
    </w:p>
    <w:p>
      <w:r>
        <w:t xml:space="preserve">Symlog X axis (overflows). Colour = selection variant, shape = scenario, dashed lines = Pareto fronts (one colour per scenario).</w:t>
      </w:r>
    </w:p>
    <w:p/>
    <w:p>
      <w:r>
        <w:t xml:space="preserve"/>
      </w:r>
    </w:p>
    <w:p>
      <w:pPr>
        <w:pStyle w:val="Heading2"/>
      </w:pPr>
      <w:r>
        <w:t xml:space="preserve">Slide 13 — Results — Summary KPI Analysis by Selection Strategy</w:t>
      </w:r>
    </w:p>
    <w:p>
      <w:r>
        <w:t xml:space="preserve">Mean ± min/max range across route constructors; colours discriminate the mandatory selection strategies.</w:t>
      </w:r>
    </w:p>
    <w:p/>
    <w:p>
      <w:r>
        <w:t xml:space="preserve"/>
      </w:r>
    </w:p>
    <w:p>
      <w:pPr>
        <w:pStyle w:val="Heading2"/>
      </w:pPr>
      <w:r>
        <w:t xml:space="preserve">Slide 14 — Results — Per-Scenario Heatmaps (Constructors × Strategy·Improver)</w:t>
      </w:r>
    </w:p>
    <w:p>
      <w:r>
        <w:t xml:space="preserve">30-day runs. One panel per scenario; route constructors on the rows, selection × improver combinations on the columns.</w:t>
      </w:r>
    </w:p>
    <w:p/>
    <w:p>
      <w:r>
        <w:t xml:space="preserve"/>
      </w:r>
    </w:p>
    <w:p>
      <w:pPr>
        <w:pStyle w:val="Heading2"/>
      </w:pPr>
      <w:r>
        <w:t xml:space="preserve">Slide 15 — Results — Overflow  kg/km Heatmaps, 90 Days (Policies × Scenarios)</w:t>
      </w:r>
    </w:p>
    <w:p>
      <w:r>
        <w:t xml:space="preserve">90-day runs (Pareto-front policies only — fewer rows, easier to read). Rows = policy configurations; columns = scenarios.</w:t>
      </w:r>
    </w:p>
    <w:p/>
    <w:p>
      <w:r>
        <w:t xml:space="preserve"/>
      </w:r>
    </w:p>
    <w:p>
      <w:pPr>
        <w:pStyle w:val="Heading2"/>
      </w:pPr>
      <w:r>
        <w:t xml:space="preserve">Slide 16 — Results — Route Improver Comparison</w:t>
      </w:r>
    </w:p>
    <w:p>
      <w:r>
        <w:t xml:space="preserve">Each bubble = (improver, scenario) averaged over strategies and constructors — FTSP vs CLS contrasted directly.</w:t>
      </w:r>
    </w:p>
    <w:p/>
    <w:p>
      <w:r>
        <w:t xml:space="preserve"/>
      </w:r>
    </w:p>
    <w:p>
      <w:pPr>
        <w:pStyle w:val="Heading2"/>
      </w:pPr>
      <w:r>
        <w:t xml:space="preserve">Slide 17 — Results — Full Table (30-Day Horizon)</w:t>
      </w:r>
    </w:p>
    <w:p>
      <w:r>
        <w:t xml:space="preserve">Full results table, columns grouped by partitioned by route improver (FTSP, CLS), one partial table per value; each partial table then grouped by mandatory selection strategy × route constructor.</w:t>
      </w:r>
    </w:p>
    <w:p/>
    <w:p>
      <w:r>
        <w:t xml:space="preserve"/>
      </w:r>
    </w:p>
    <w:p>
      <w:pPr>
        <w:pStyle w:val="Heading2"/>
      </w:pPr>
      <w:r>
        <w:t xml:space="preserve">Slide 18 — Conclusions, Limitations  Future Work</w:t>
      </w:r>
    </w:p>
    <w:p>
      <w:r>
        <w:t xml:space="preserve">Overlaid radar chart comparing key route constructors across overflow, efficiency, distance and profit axes — outer position indicates better performance on that axis.</w:t>
        <w:br/>
        <w:t xml:space="preserve"/>
        <w:br/>
        <w:t xml:space="preserve">The selection strategy dominates the overflow/efficiency trade-off: SL prevents overflows (SL2 + ACO_HH reached 0 at FFZ-350), LM (CF90) maximises kg/km (~12), LA balances</w:t>
        <w:br/>
        <w:t xml:space="preserve"/>
        <w:br/>
        <w:t xml:space="preserve">BPC and PG-CLNS are the most frequent Pareto-front constructors; ACO-HH is the most robust across scenarios and horizons</w:t>
        <w:br/>
        <w:t xml:space="preserve"/>
        <w:br/>
        <w:t xml:space="preserve">Patterns are stable from 30 to 90 days; overflow pressure grows with the horizon while kg/km stays consistent</w:t>
        <w:br/>
        <w:t xml:space="preserve"/>
        <w:br/>
        <w:t xml:space="preserve">Limitations: single vehicle type/depot per region; waste models calibrated on limited data; 90-day runs only cover the 30-day Pareto-front policies</w:t>
        <w:br/>
        <w:t xml:space="preserve"/>
        <w:br/>
        <w:t xml:space="preserve">Future work: richer acceptance criteria, neural constructors in the same pipeline, multi-vehicle fleets, intra-day re-routing, CO₂-aware objectives</w:t>
      </w:r>
    </w:p>
    <w:p/>
    <w:p>
      <w:r>
        <w:t xml:space="preserve"/>
      </w:r>
    </w:p>
    <w:p>
      <w:pPr>
        <w:pStyle w:val="Heading2"/>
      </w:pPr>
      <w:r>
        <w:t xml:space="preserve">Slide 19 — Thank You — Questions  Answers</w:t>
      </w:r>
    </w:p>
    <w:p>
      <w:r>
        <w:t xml:space="preserve">Thank you for your attention!</w:t>
        <w:br/>
        <w:t xml:space="preserve"/>
        <w:br/>
        <w:t xml:space="preserve">Time for questions</w:t>
      </w:r>
    </w:p>
    <w:p/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