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1301"/>
      </w:tblGrid>
      <w:tr w:rsidR="00AB4336" w:rsidRPr="00AB4336" w14:paraId="0AECDB98" w14:textId="77777777" w:rsidTr="00AB4336">
        <w:trPr>
          <w:tblCellSpacing w:w="15" w:type="dxa"/>
          <w:jc w:val="center"/>
        </w:trPr>
        <w:tc>
          <w:tcPr>
            <w:tcW w:w="0" w:type="auto"/>
            <w:vAlign w:val="center"/>
            <w:hideMark/>
          </w:tcPr>
          <w:p w14:paraId="2E443D35" w14:textId="77777777" w:rsidR="00AB4336" w:rsidRPr="00AB4336" w:rsidRDefault="00AB4336" w:rsidP="00AB4336">
            <w:pPr>
              <w:widowControl/>
              <w:jc w:val="center"/>
              <w:rPr>
                <w:rFonts w:ascii="Arial" w:eastAsia="宋体" w:hAnsi="Arial" w:cs="Arial"/>
                <w:kern w:val="0"/>
                <w:sz w:val="22"/>
              </w:rPr>
            </w:pPr>
            <w:r w:rsidRPr="00AB4336">
              <w:rPr>
                <w:rFonts w:ascii="Arial" w:eastAsia="宋体" w:hAnsi="Arial" w:cs="Arial"/>
                <w:kern w:val="0"/>
                <w:sz w:val="24"/>
                <w:szCs w:val="24"/>
              </w:rPr>
              <w:t>Review #1</w:t>
            </w:r>
          </w:p>
        </w:tc>
      </w:tr>
    </w:tbl>
    <w:p w14:paraId="3BB118AE" w14:textId="77777777" w:rsidR="00AB4336" w:rsidRPr="00AB4336" w:rsidRDefault="00AB4336" w:rsidP="00AB4336">
      <w:pPr>
        <w:widowControl/>
        <w:shd w:val="clear" w:color="auto" w:fill="FFFFFF"/>
        <w:spacing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What is this paper about and what contributions does it make?</w:t>
      </w:r>
    </w:p>
    <w:p w14:paraId="140CA979"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 xml:space="preserve">This paper describes a two-phase model for the task of rewriting to improve the context understanding of dialogue models. The main contribution of the paper is that the two-phase approach improves the current SOTA. Specifically, </w:t>
      </w:r>
      <w:proofErr w:type="gramStart"/>
      <w:r w:rsidRPr="00AB4336">
        <w:rPr>
          <w:rFonts w:ascii="Arial" w:eastAsia="宋体" w:hAnsi="Arial" w:cs="Arial"/>
          <w:color w:val="000000"/>
          <w:kern w:val="0"/>
          <w:sz w:val="22"/>
        </w:rPr>
        <w:t>The</w:t>
      </w:r>
      <w:proofErr w:type="gramEnd"/>
      <w:r w:rsidRPr="00AB4336">
        <w:rPr>
          <w:rFonts w:ascii="Arial" w:eastAsia="宋体" w:hAnsi="Arial" w:cs="Arial"/>
          <w:color w:val="000000"/>
          <w:kern w:val="0"/>
          <w:sz w:val="22"/>
        </w:rPr>
        <w:t xml:space="preserve"> approach consists of locating positions by unsupervised and supervised methods and filling blanks by LMs.</w:t>
      </w:r>
    </w:p>
    <w:p w14:paraId="44CE4DC4"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accept</w:t>
      </w:r>
    </w:p>
    <w:p w14:paraId="398A24A1"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The paper is well organized to identify the research problem and an effective approach to tackle the problem. The approach is well-described and experimented with multiple datasets to prove its validity. Results are shown to be the state of the art compared to the previous research.</w:t>
      </w:r>
    </w:p>
    <w:p w14:paraId="03AC18D2"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reject</w:t>
      </w:r>
    </w:p>
    <w:p w14:paraId="7C40EC14"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 xml:space="preserve">The two-phase approach is effective. However, as the author mentioned in the abstract, this task is a step towards the understanding of dialogues by LM models. </w:t>
      </w:r>
      <w:r w:rsidRPr="00AB4336">
        <w:rPr>
          <w:rFonts w:ascii="Arial" w:eastAsia="宋体" w:hAnsi="Arial" w:cs="Arial"/>
          <w:color w:val="000000"/>
          <w:kern w:val="0"/>
          <w:sz w:val="22"/>
          <w:highlight w:val="yellow"/>
        </w:rPr>
        <w:t>The rule-based method in the first phase takes risks of affecting the understanding task if there are mistakes or missing rules in the step as mentioned in the paper.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381"/>
      </w:tblGrid>
      <w:tr w:rsidR="00AB4336" w:rsidRPr="00AB4336" w14:paraId="4E0874CE" w14:textId="77777777" w:rsidTr="00AB4336">
        <w:trPr>
          <w:tblCellSpacing w:w="15" w:type="dxa"/>
        </w:trPr>
        <w:tc>
          <w:tcPr>
            <w:tcW w:w="0" w:type="auto"/>
            <w:vAlign w:val="center"/>
            <w:hideMark/>
          </w:tcPr>
          <w:p w14:paraId="61ADB985"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Soundness</w:t>
            </w:r>
            <w:r w:rsidRPr="00AB4336">
              <w:rPr>
                <w:rFonts w:ascii="Arial" w:eastAsia="宋体" w:hAnsi="Arial" w:cs="Arial"/>
                <w:kern w:val="0"/>
                <w:sz w:val="22"/>
              </w:rPr>
              <w:t>:</w:t>
            </w:r>
          </w:p>
        </w:tc>
        <w:tc>
          <w:tcPr>
            <w:tcW w:w="0" w:type="auto"/>
            <w:vAlign w:val="center"/>
            <w:hideMark/>
          </w:tcPr>
          <w:p w14:paraId="60B2FFB4"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w:t>
            </w:r>
          </w:p>
        </w:tc>
      </w:tr>
      <w:tr w:rsidR="00AB4336" w:rsidRPr="00AB4336" w14:paraId="70ACAEE6" w14:textId="77777777" w:rsidTr="00AB4336">
        <w:trPr>
          <w:tblCellSpacing w:w="15" w:type="dxa"/>
        </w:trPr>
        <w:tc>
          <w:tcPr>
            <w:tcW w:w="0" w:type="auto"/>
            <w:vAlign w:val="center"/>
            <w:hideMark/>
          </w:tcPr>
          <w:p w14:paraId="3575E990"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Excitement (Long paper)</w:t>
            </w:r>
            <w:r w:rsidRPr="00AB4336">
              <w:rPr>
                <w:rFonts w:ascii="Arial" w:eastAsia="宋体" w:hAnsi="Arial" w:cs="Arial"/>
                <w:kern w:val="0"/>
                <w:sz w:val="22"/>
              </w:rPr>
              <w:t>:</w:t>
            </w:r>
          </w:p>
        </w:tc>
        <w:tc>
          <w:tcPr>
            <w:tcW w:w="0" w:type="auto"/>
            <w:vAlign w:val="center"/>
            <w:hideMark/>
          </w:tcPr>
          <w:p w14:paraId="078E1447"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3.5</w:t>
            </w:r>
          </w:p>
        </w:tc>
      </w:tr>
      <w:tr w:rsidR="00AB4336" w:rsidRPr="00AB4336" w14:paraId="78D34112" w14:textId="77777777" w:rsidTr="00AB4336">
        <w:trPr>
          <w:tblCellSpacing w:w="15" w:type="dxa"/>
        </w:trPr>
        <w:tc>
          <w:tcPr>
            <w:tcW w:w="0" w:type="auto"/>
            <w:vAlign w:val="center"/>
            <w:hideMark/>
          </w:tcPr>
          <w:p w14:paraId="2BBE95DB"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Reviewer Confidence</w:t>
            </w:r>
            <w:r w:rsidRPr="00AB4336">
              <w:rPr>
                <w:rFonts w:ascii="Arial" w:eastAsia="宋体" w:hAnsi="Arial" w:cs="Arial"/>
                <w:kern w:val="0"/>
                <w:sz w:val="22"/>
              </w:rPr>
              <w:t>:</w:t>
            </w:r>
          </w:p>
        </w:tc>
        <w:tc>
          <w:tcPr>
            <w:tcW w:w="0" w:type="auto"/>
            <w:vAlign w:val="center"/>
            <w:hideMark/>
          </w:tcPr>
          <w:p w14:paraId="4987C667"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4</w:t>
            </w:r>
          </w:p>
        </w:tc>
      </w:tr>
      <w:tr w:rsidR="00AB4336" w:rsidRPr="00AB4336" w14:paraId="08EECA53" w14:textId="77777777" w:rsidTr="00AB4336">
        <w:trPr>
          <w:tblCellSpacing w:w="15" w:type="dxa"/>
        </w:trPr>
        <w:tc>
          <w:tcPr>
            <w:tcW w:w="0" w:type="auto"/>
            <w:vAlign w:val="center"/>
            <w:hideMark/>
          </w:tcPr>
          <w:p w14:paraId="5B743FB5"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Recommendation for Best Paper Award</w:t>
            </w:r>
            <w:r w:rsidRPr="00AB4336">
              <w:rPr>
                <w:rFonts w:ascii="Arial" w:eastAsia="宋体" w:hAnsi="Arial" w:cs="Arial"/>
                <w:kern w:val="0"/>
                <w:sz w:val="22"/>
              </w:rPr>
              <w:t>:</w:t>
            </w:r>
          </w:p>
        </w:tc>
        <w:tc>
          <w:tcPr>
            <w:tcW w:w="0" w:type="auto"/>
            <w:vAlign w:val="center"/>
            <w:hideMark/>
          </w:tcPr>
          <w:p w14:paraId="15BCD973"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r w:rsidR="00AB4336" w:rsidRPr="00AB4336" w14:paraId="64E2394B" w14:textId="77777777" w:rsidTr="00AB4336">
        <w:trPr>
          <w:tblCellSpacing w:w="15" w:type="dxa"/>
        </w:trPr>
        <w:tc>
          <w:tcPr>
            <w:tcW w:w="0" w:type="auto"/>
            <w:vAlign w:val="center"/>
            <w:hideMark/>
          </w:tcPr>
          <w:p w14:paraId="4BD498CF"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Reproducibility</w:t>
            </w:r>
            <w:r w:rsidRPr="00AB4336">
              <w:rPr>
                <w:rFonts w:ascii="Arial" w:eastAsia="宋体" w:hAnsi="Arial" w:cs="Arial"/>
                <w:kern w:val="0"/>
                <w:sz w:val="22"/>
              </w:rPr>
              <w:t>:</w:t>
            </w:r>
          </w:p>
        </w:tc>
        <w:tc>
          <w:tcPr>
            <w:tcW w:w="0" w:type="auto"/>
            <w:vAlign w:val="center"/>
            <w:hideMark/>
          </w:tcPr>
          <w:p w14:paraId="35F7220E"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5</w:t>
            </w:r>
          </w:p>
        </w:tc>
      </w:tr>
      <w:tr w:rsidR="00AB4336" w:rsidRPr="00AB4336" w14:paraId="3DEECF1B" w14:textId="77777777" w:rsidTr="00AB4336">
        <w:trPr>
          <w:tblCellSpacing w:w="15" w:type="dxa"/>
        </w:trPr>
        <w:tc>
          <w:tcPr>
            <w:tcW w:w="0" w:type="auto"/>
            <w:vAlign w:val="center"/>
            <w:hideMark/>
          </w:tcPr>
          <w:p w14:paraId="55BCD3A7"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Ethical Concerns</w:t>
            </w:r>
            <w:r w:rsidRPr="00AB4336">
              <w:rPr>
                <w:rFonts w:ascii="Arial" w:eastAsia="宋体" w:hAnsi="Arial" w:cs="Arial"/>
                <w:kern w:val="0"/>
                <w:sz w:val="22"/>
              </w:rPr>
              <w:t>:</w:t>
            </w:r>
          </w:p>
        </w:tc>
        <w:tc>
          <w:tcPr>
            <w:tcW w:w="0" w:type="auto"/>
            <w:vAlign w:val="center"/>
            <w:hideMark/>
          </w:tcPr>
          <w:p w14:paraId="48108C9A"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bl>
    <w:p w14:paraId="0D8C0C83" w14:textId="77777777" w:rsidR="00AB4336" w:rsidRPr="00AB4336" w:rsidRDefault="00AB4336" w:rsidP="00AB4336">
      <w:pPr>
        <w:widowControl/>
        <w:jc w:val="left"/>
        <w:rPr>
          <w:rFonts w:ascii="宋体" w:eastAsia="宋体" w:hAnsi="宋体" w:cs="宋体"/>
          <w:kern w:val="0"/>
          <w:sz w:val="24"/>
          <w:szCs w:val="24"/>
        </w:rPr>
      </w:pP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1301"/>
      </w:tblGrid>
      <w:tr w:rsidR="00AB4336" w:rsidRPr="00AB4336" w14:paraId="405172EC" w14:textId="77777777" w:rsidTr="00AB4336">
        <w:trPr>
          <w:tblCellSpacing w:w="15" w:type="dxa"/>
          <w:jc w:val="center"/>
        </w:trPr>
        <w:tc>
          <w:tcPr>
            <w:tcW w:w="0" w:type="auto"/>
            <w:vAlign w:val="center"/>
            <w:hideMark/>
          </w:tcPr>
          <w:p w14:paraId="50C8BEED" w14:textId="77777777" w:rsidR="00AB4336" w:rsidRPr="00AB4336" w:rsidRDefault="00AB4336" w:rsidP="00AB4336">
            <w:pPr>
              <w:widowControl/>
              <w:jc w:val="center"/>
              <w:rPr>
                <w:rFonts w:ascii="Arial" w:eastAsia="宋体" w:hAnsi="Arial" w:cs="Arial"/>
                <w:kern w:val="0"/>
                <w:sz w:val="22"/>
              </w:rPr>
            </w:pPr>
            <w:r w:rsidRPr="00AB4336">
              <w:rPr>
                <w:rFonts w:ascii="Arial" w:eastAsia="宋体" w:hAnsi="Arial" w:cs="Arial"/>
                <w:kern w:val="0"/>
                <w:sz w:val="24"/>
                <w:szCs w:val="24"/>
              </w:rPr>
              <w:t>Review #2</w:t>
            </w:r>
          </w:p>
        </w:tc>
      </w:tr>
    </w:tbl>
    <w:p w14:paraId="0FB2A5FF" w14:textId="77777777" w:rsidR="00AB4336" w:rsidRPr="00AB4336" w:rsidRDefault="00AB4336" w:rsidP="00AB4336">
      <w:pPr>
        <w:widowControl/>
        <w:shd w:val="clear" w:color="auto" w:fill="FFFFFF"/>
        <w:spacing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What is this paper about and what contributions does it make?</w:t>
      </w:r>
    </w:p>
    <w:p w14:paraId="5396EE71"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The authors argued that rewriting incomplete and ambiguous utterances can help the dialogue model generate better results. They proposed a two-phase rewriting framework to locate the empty slots and filled in those positions using T5 or BART. Their contributions include proposing a two-phase framework for rewriting incomplete utterances, aligning the two sentences before and after rewriting based on the longest common subsequences, and carrying out experiments on 5 datasets (</w:t>
      </w:r>
      <w:proofErr w:type="spellStart"/>
      <w:r w:rsidRPr="00AB4336">
        <w:rPr>
          <w:rFonts w:ascii="Arial" w:eastAsia="宋体" w:hAnsi="Arial" w:cs="Arial"/>
          <w:color w:val="000000"/>
          <w:kern w:val="0"/>
          <w:sz w:val="22"/>
        </w:rPr>
        <w:t>MuDoCo</w:t>
      </w:r>
      <w:proofErr w:type="spellEnd"/>
      <w:r w:rsidRPr="00AB4336">
        <w:rPr>
          <w:rFonts w:ascii="Arial" w:eastAsia="宋体" w:hAnsi="Arial" w:cs="Arial"/>
          <w:color w:val="000000"/>
          <w:kern w:val="0"/>
          <w:sz w:val="22"/>
        </w:rPr>
        <w:t>, CQR, REWRITE, RES, and CANARD).</w:t>
      </w:r>
    </w:p>
    <w:p w14:paraId="604657D7"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accept</w:t>
      </w:r>
    </w:p>
    <w:p w14:paraId="05A4B770"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lastRenderedPageBreak/>
        <w:t xml:space="preserve">Extensive experiments have been conducted on </w:t>
      </w:r>
      <w:proofErr w:type="spellStart"/>
      <w:r w:rsidRPr="00AB4336">
        <w:rPr>
          <w:rFonts w:ascii="Arial" w:eastAsia="宋体" w:hAnsi="Arial" w:cs="Arial"/>
          <w:color w:val="000000"/>
          <w:kern w:val="0"/>
          <w:sz w:val="22"/>
        </w:rPr>
        <w:t>MuDoCo</w:t>
      </w:r>
      <w:proofErr w:type="spellEnd"/>
      <w:r w:rsidRPr="00AB4336">
        <w:rPr>
          <w:rFonts w:ascii="Arial" w:eastAsia="宋体" w:hAnsi="Arial" w:cs="Arial"/>
          <w:color w:val="000000"/>
          <w:kern w:val="0"/>
          <w:sz w:val="22"/>
        </w:rPr>
        <w:t>, CQR, REWRITE, RES, and CANARD, though their evaluation methods are biased.</w:t>
      </w:r>
    </w:p>
    <w:p w14:paraId="1B1DFF7C"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reject</w:t>
      </w:r>
    </w:p>
    <w:p w14:paraId="68DEE993"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 xml:space="preserve">In the context of </w:t>
      </w:r>
      <w:proofErr w:type="spellStart"/>
      <w:r w:rsidRPr="00AB4336">
        <w:rPr>
          <w:rFonts w:ascii="Arial" w:eastAsia="宋体" w:hAnsi="Arial" w:cs="Arial"/>
          <w:color w:val="000000"/>
          <w:kern w:val="0"/>
          <w:sz w:val="22"/>
        </w:rPr>
        <w:t>ChatGPT</w:t>
      </w:r>
      <w:proofErr w:type="spellEnd"/>
      <w:r w:rsidRPr="00AB4336">
        <w:rPr>
          <w:rFonts w:ascii="Arial" w:eastAsia="宋体" w:hAnsi="Arial" w:cs="Arial"/>
          <w:color w:val="000000"/>
          <w:kern w:val="0"/>
          <w:sz w:val="22"/>
        </w:rPr>
        <w:t xml:space="preserve">, it is doubted that if the rewriting of incomplete utterances is a valid problem or not. </w:t>
      </w:r>
      <w:r w:rsidRPr="00AB4336">
        <w:rPr>
          <w:rFonts w:ascii="Arial" w:eastAsia="宋体" w:hAnsi="Arial" w:cs="Arial"/>
          <w:color w:val="000000"/>
          <w:kern w:val="0"/>
          <w:sz w:val="22"/>
          <w:highlight w:val="yellow"/>
        </w:rPr>
        <w:t>Rewriting those utterances using T5 or BART cannot guarantee not to distort the original utterance.</w:t>
      </w:r>
      <w:r w:rsidRPr="00AB4336">
        <w:rPr>
          <w:rFonts w:ascii="Arial" w:eastAsia="宋体" w:hAnsi="Arial" w:cs="Arial"/>
          <w:color w:val="000000"/>
          <w:kern w:val="0"/>
          <w:sz w:val="22"/>
        </w:rPr>
        <w:t xml:space="preserve"> First, it is not convincing if rewriting is a valid problem to solve. Second, they did not compare with </w:t>
      </w:r>
      <w:proofErr w:type="spellStart"/>
      <w:r w:rsidRPr="00AB4336">
        <w:rPr>
          <w:rFonts w:ascii="Arial" w:eastAsia="宋体" w:hAnsi="Arial" w:cs="Arial"/>
          <w:color w:val="000000"/>
          <w:kern w:val="0"/>
          <w:sz w:val="22"/>
          <w:highlight w:val="yellow"/>
        </w:rPr>
        <w:t>ChatGPT</w:t>
      </w:r>
      <w:proofErr w:type="spellEnd"/>
      <w:r w:rsidRPr="00AB4336">
        <w:rPr>
          <w:rFonts w:ascii="Arial" w:eastAsia="宋体" w:hAnsi="Arial" w:cs="Arial"/>
          <w:color w:val="000000"/>
          <w:kern w:val="0"/>
          <w:sz w:val="22"/>
          <w:highlight w:val="yellow"/>
        </w:rPr>
        <w:t xml:space="preserve"> or GPT-3</w:t>
      </w:r>
      <w:r w:rsidRPr="00AB4336">
        <w:rPr>
          <w:rFonts w:ascii="Arial" w:eastAsia="宋体" w:hAnsi="Arial" w:cs="Arial"/>
          <w:color w:val="000000"/>
          <w:kern w:val="0"/>
          <w:sz w:val="22"/>
        </w:rPr>
        <w:t xml:space="preserve"> in the experiments. Their automatic metrics and human evaluation cannot demonstrate that their approach can help the dialogue model generate better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381"/>
      </w:tblGrid>
      <w:tr w:rsidR="00AB4336" w:rsidRPr="00AB4336" w14:paraId="1C3A5FF3" w14:textId="77777777" w:rsidTr="00AB4336">
        <w:trPr>
          <w:tblCellSpacing w:w="15" w:type="dxa"/>
        </w:trPr>
        <w:tc>
          <w:tcPr>
            <w:tcW w:w="0" w:type="auto"/>
            <w:vAlign w:val="center"/>
            <w:hideMark/>
          </w:tcPr>
          <w:p w14:paraId="4AB388B7"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Soundness</w:t>
            </w:r>
            <w:r w:rsidRPr="00AB4336">
              <w:rPr>
                <w:rFonts w:ascii="Arial" w:eastAsia="宋体" w:hAnsi="Arial" w:cs="Arial"/>
                <w:kern w:val="0"/>
                <w:sz w:val="22"/>
              </w:rPr>
              <w:t>:</w:t>
            </w:r>
          </w:p>
        </w:tc>
        <w:tc>
          <w:tcPr>
            <w:tcW w:w="0" w:type="auto"/>
            <w:vAlign w:val="center"/>
            <w:hideMark/>
          </w:tcPr>
          <w:p w14:paraId="6490A5ED"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2</w:t>
            </w:r>
          </w:p>
        </w:tc>
      </w:tr>
      <w:tr w:rsidR="00AB4336" w:rsidRPr="00AB4336" w14:paraId="2D776451" w14:textId="77777777" w:rsidTr="00AB4336">
        <w:trPr>
          <w:tblCellSpacing w:w="15" w:type="dxa"/>
        </w:trPr>
        <w:tc>
          <w:tcPr>
            <w:tcW w:w="0" w:type="auto"/>
            <w:vAlign w:val="center"/>
            <w:hideMark/>
          </w:tcPr>
          <w:p w14:paraId="067FA182"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Excitement (Long paper)</w:t>
            </w:r>
            <w:r w:rsidRPr="00AB4336">
              <w:rPr>
                <w:rFonts w:ascii="Arial" w:eastAsia="宋体" w:hAnsi="Arial" w:cs="Arial"/>
                <w:kern w:val="0"/>
                <w:sz w:val="22"/>
              </w:rPr>
              <w:t>:</w:t>
            </w:r>
          </w:p>
        </w:tc>
        <w:tc>
          <w:tcPr>
            <w:tcW w:w="0" w:type="auto"/>
            <w:vAlign w:val="center"/>
            <w:hideMark/>
          </w:tcPr>
          <w:p w14:paraId="69639C7D"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1.5</w:t>
            </w:r>
          </w:p>
        </w:tc>
      </w:tr>
      <w:tr w:rsidR="00AB4336" w:rsidRPr="00AB4336" w14:paraId="33BE20BF" w14:textId="77777777" w:rsidTr="00AB4336">
        <w:trPr>
          <w:tblCellSpacing w:w="15" w:type="dxa"/>
        </w:trPr>
        <w:tc>
          <w:tcPr>
            <w:tcW w:w="0" w:type="auto"/>
            <w:vAlign w:val="center"/>
            <w:hideMark/>
          </w:tcPr>
          <w:p w14:paraId="58504965"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Reviewer Confidence</w:t>
            </w:r>
            <w:r w:rsidRPr="00AB4336">
              <w:rPr>
                <w:rFonts w:ascii="Arial" w:eastAsia="宋体" w:hAnsi="Arial" w:cs="Arial"/>
                <w:kern w:val="0"/>
                <w:sz w:val="22"/>
              </w:rPr>
              <w:t>:</w:t>
            </w:r>
          </w:p>
        </w:tc>
        <w:tc>
          <w:tcPr>
            <w:tcW w:w="0" w:type="auto"/>
            <w:vAlign w:val="center"/>
            <w:hideMark/>
          </w:tcPr>
          <w:p w14:paraId="1B1C9CF5"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4</w:t>
            </w:r>
          </w:p>
        </w:tc>
      </w:tr>
      <w:tr w:rsidR="00AB4336" w:rsidRPr="00AB4336" w14:paraId="69ABAFC7" w14:textId="77777777" w:rsidTr="00AB4336">
        <w:trPr>
          <w:tblCellSpacing w:w="15" w:type="dxa"/>
        </w:trPr>
        <w:tc>
          <w:tcPr>
            <w:tcW w:w="0" w:type="auto"/>
            <w:vAlign w:val="center"/>
            <w:hideMark/>
          </w:tcPr>
          <w:p w14:paraId="1FFB0CA4"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Recommendation for Best Paper Award</w:t>
            </w:r>
            <w:r w:rsidRPr="00AB4336">
              <w:rPr>
                <w:rFonts w:ascii="Arial" w:eastAsia="宋体" w:hAnsi="Arial" w:cs="Arial"/>
                <w:kern w:val="0"/>
                <w:sz w:val="22"/>
              </w:rPr>
              <w:t>:</w:t>
            </w:r>
          </w:p>
        </w:tc>
        <w:tc>
          <w:tcPr>
            <w:tcW w:w="0" w:type="auto"/>
            <w:vAlign w:val="center"/>
            <w:hideMark/>
          </w:tcPr>
          <w:p w14:paraId="7D20AD77"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r w:rsidR="00AB4336" w:rsidRPr="00AB4336" w14:paraId="29EF694F" w14:textId="77777777" w:rsidTr="00AB4336">
        <w:trPr>
          <w:tblCellSpacing w:w="15" w:type="dxa"/>
        </w:trPr>
        <w:tc>
          <w:tcPr>
            <w:tcW w:w="0" w:type="auto"/>
            <w:vAlign w:val="center"/>
            <w:hideMark/>
          </w:tcPr>
          <w:p w14:paraId="7A8367BD"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Reproducibility</w:t>
            </w:r>
            <w:r w:rsidRPr="00AB4336">
              <w:rPr>
                <w:rFonts w:ascii="Arial" w:eastAsia="宋体" w:hAnsi="Arial" w:cs="Arial"/>
                <w:kern w:val="0"/>
                <w:sz w:val="22"/>
              </w:rPr>
              <w:t>:</w:t>
            </w:r>
          </w:p>
        </w:tc>
        <w:tc>
          <w:tcPr>
            <w:tcW w:w="0" w:type="auto"/>
            <w:vAlign w:val="center"/>
            <w:hideMark/>
          </w:tcPr>
          <w:p w14:paraId="1E2FC6EE"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w:t>
            </w:r>
          </w:p>
        </w:tc>
      </w:tr>
      <w:tr w:rsidR="00AB4336" w:rsidRPr="00AB4336" w14:paraId="7ED806C5" w14:textId="77777777" w:rsidTr="00AB4336">
        <w:trPr>
          <w:tblCellSpacing w:w="15" w:type="dxa"/>
        </w:trPr>
        <w:tc>
          <w:tcPr>
            <w:tcW w:w="0" w:type="auto"/>
            <w:vAlign w:val="center"/>
            <w:hideMark/>
          </w:tcPr>
          <w:p w14:paraId="60A7D529"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Ethical Concerns</w:t>
            </w:r>
            <w:r w:rsidRPr="00AB4336">
              <w:rPr>
                <w:rFonts w:ascii="Arial" w:eastAsia="宋体" w:hAnsi="Arial" w:cs="Arial"/>
                <w:kern w:val="0"/>
                <w:sz w:val="22"/>
              </w:rPr>
              <w:t>:</w:t>
            </w:r>
          </w:p>
        </w:tc>
        <w:tc>
          <w:tcPr>
            <w:tcW w:w="0" w:type="auto"/>
            <w:vAlign w:val="center"/>
            <w:hideMark/>
          </w:tcPr>
          <w:p w14:paraId="21A98174"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bl>
    <w:p w14:paraId="4088A648" w14:textId="77777777" w:rsidR="00AB4336" w:rsidRPr="00AB4336" w:rsidRDefault="00AB4336" w:rsidP="00AB4336">
      <w:pPr>
        <w:widowControl/>
        <w:jc w:val="left"/>
        <w:rPr>
          <w:rFonts w:ascii="宋体" w:eastAsia="宋体" w:hAnsi="宋体" w:cs="宋体"/>
          <w:kern w:val="0"/>
          <w:sz w:val="24"/>
          <w:szCs w:val="24"/>
        </w:rPr>
      </w:pP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1301"/>
      </w:tblGrid>
      <w:tr w:rsidR="00AB4336" w:rsidRPr="00AB4336" w14:paraId="5D5D8F19" w14:textId="77777777" w:rsidTr="00AB4336">
        <w:trPr>
          <w:tblCellSpacing w:w="15" w:type="dxa"/>
          <w:jc w:val="center"/>
        </w:trPr>
        <w:tc>
          <w:tcPr>
            <w:tcW w:w="0" w:type="auto"/>
            <w:vAlign w:val="center"/>
            <w:hideMark/>
          </w:tcPr>
          <w:p w14:paraId="555FF597" w14:textId="77777777" w:rsidR="00AB4336" w:rsidRPr="00AB4336" w:rsidRDefault="00AB4336" w:rsidP="00AB4336">
            <w:pPr>
              <w:widowControl/>
              <w:jc w:val="center"/>
              <w:rPr>
                <w:rFonts w:ascii="Arial" w:eastAsia="宋体" w:hAnsi="Arial" w:cs="Arial"/>
                <w:kern w:val="0"/>
                <w:sz w:val="22"/>
              </w:rPr>
            </w:pPr>
            <w:r w:rsidRPr="00AB4336">
              <w:rPr>
                <w:rFonts w:ascii="Arial" w:eastAsia="宋体" w:hAnsi="Arial" w:cs="Arial"/>
                <w:kern w:val="0"/>
                <w:sz w:val="24"/>
                <w:szCs w:val="24"/>
              </w:rPr>
              <w:t>Review #3</w:t>
            </w:r>
          </w:p>
        </w:tc>
      </w:tr>
    </w:tbl>
    <w:p w14:paraId="6947ABD7" w14:textId="77777777" w:rsidR="00AB4336" w:rsidRPr="00AB4336" w:rsidRDefault="00AB4336" w:rsidP="00AB4336">
      <w:pPr>
        <w:widowControl/>
        <w:shd w:val="clear" w:color="auto" w:fill="FFFFFF"/>
        <w:spacing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What is this paper about and what contributions does it make?</w:t>
      </w:r>
    </w:p>
    <w:p w14:paraId="7D98374F"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This work proposes a two-stage method for incomplete utterance rewriting: the first stage points out which tokens need to be replaced, and the second stage just aims to replace those tokens with the corresponding tokens in the context for resolving co-references and ellipses.</w:t>
      </w:r>
    </w:p>
    <w:p w14:paraId="538EDA98"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accept</w:t>
      </w:r>
    </w:p>
    <w:p w14:paraId="2A64CDAA" w14:textId="77777777" w:rsidR="00AB4336" w:rsidRPr="00AB4336" w:rsidRDefault="00AB4336" w:rsidP="00AB4336">
      <w:pPr>
        <w:widowControl/>
        <w:numPr>
          <w:ilvl w:val="0"/>
          <w:numId w:val="1"/>
        </w:numPr>
        <w:shd w:val="clear" w:color="auto" w:fill="FFFFFF"/>
        <w:spacing w:beforeAutospacing="1" w:afterAutospacing="1"/>
        <w:ind w:left="2160"/>
        <w:jc w:val="left"/>
        <w:rPr>
          <w:rFonts w:ascii="Arial" w:eastAsia="宋体" w:hAnsi="Arial" w:cs="Arial"/>
          <w:color w:val="000000"/>
          <w:kern w:val="0"/>
          <w:sz w:val="22"/>
        </w:rPr>
      </w:pPr>
      <w:r w:rsidRPr="00AB4336">
        <w:rPr>
          <w:rFonts w:ascii="Arial" w:eastAsia="宋体" w:hAnsi="Arial" w:cs="Arial"/>
          <w:color w:val="000000"/>
          <w:kern w:val="0"/>
          <w:sz w:val="22"/>
        </w:rPr>
        <w:t>The results are quite comprehensive, which has used 5 datasets in two languages for benchmark. And the baselines have included the latest SOTA models. Meanwhile, the improvements also look significant.</w:t>
      </w:r>
    </w:p>
    <w:p w14:paraId="7832C16E"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Reasons to reject</w:t>
      </w:r>
    </w:p>
    <w:p w14:paraId="4E338E86" w14:textId="77777777" w:rsidR="00AB4336" w:rsidRPr="00AB4336" w:rsidRDefault="00AB4336" w:rsidP="00AB4336">
      <w:pPr>
        <w:widowControl/>
        <w:numPr>
          <w:ilvl w:val="0"/>
          <w:numId w:val="2"/>
        </w:numPr>
        <w:shd w:val="clear" w:color="auto" w:fill="FFFFFF"/>
        <w:spacing w:beforeAutospacing="1" w:afterAutospacing="1"/>
        <w:ind w:left="2160"/>
        <w:jc w:val="left"/>
        <w:rPr>
          <w:rFonts w:ascii="Arial" w:eastAsia="宋体" w:hAnsi="Arial" w:cs="Arial"/>
          <w:color w:val="000000"/>
          <w:kern w:val="0"/>
          <w:sz w:val="22"/>
        </w:rPr>
      </w:pPr>
      <w:r w:rsidRPr="00AB4336">
        <w:rPr>
          <w:rFonts w:ascii="Arial" w:eastAsia="宋体" w:hAnsi="Arial" w:cs="Arial"/>
          <w:color w:val="000000"/>
          <w:kern w:val="0"/>
          <w:sz w:val="22"/>
          <w:highlight w:val="yellow"/>
        </w:rPr>
        <w:t>The method is limited in novelty.</w:t>
      </w:r>
      <w:r w:rsidRPr="00AB4336">
        <w:rPr>
          <w:rFonts w:ascii="Arial" w:eastAsia="宋体" w:hAnsi="Arial" w:cs="Arial"/>
          <w:color w:val="000000"/>
          <w:kern w:val="0"/>
          <w:sz w:val="22"/>
        </w:rPr>
        <w:t xml:space="preserve"> The two-stage framework for utterance rewriting has been proposed by many previous works several years ago. And the first stage is almost the same as previous methods: first using LCR to get those co-reference and ellipses out and then fine-tuned a NER model on it. And the second stage has something new: it uses a pre-trained seq-2-seq </w:t>
      </w:r>
      <w:proofErr w:type="spellStart"/>
      <w:r w:rsidRPr="00AB4336">
        <w:rPr>
          <w:rFonts w:ascii="Arial" w:eastAsia="宋体" w:hAnsi="Arial" w:cs="Arial"/>
          <w:color w:val="000000"/>
          <w:kern w:val="0"/>
          <w:sz w:val="22"/>
        </w:rPr>
        <w:t>mdoel</w:t>
      </w:r>
      <w:proofErr w:type="spellEnd"/>
      <w:r w:rsidRPr="00AB4336">
        <w:rPr>
          <w:rFonts w:ascii="Arial" w:eastAsia="宋体" w:hAnsi="Arial" w:cs="Arial"/>
          <w:color w:val="000000"/>
          <w:kern w:val="0"/>
          <w:sz w:val="22"/>
        </w:rPr>
        <w:t xml:space="preserve"> while previous methods mainly used </w:t>
      </w:r>
      <w:r w:rsidRPr="00AB4336">
        <w:rPr>
          <w:rFonts w:ascii="Arial" w:eastAsia="宋体" w:hAnsi="Arial" w:cs="Arial"/>
          <w:color w:val="000000"/>
          <w:kern w:val="0"/>
          <w:sz w:val="22"/>
        </w:rPr>
        <w:lastRenderedPageBreak/>
        <w:t>LSTM or pointer network. And instead of using the T5 model directly, it also proposes to divide the sentence with multiple replacements into multiple segments. So only this part is novel.</w:t>
      </w:r>
    </w:p>
    <w:p w14:paraId="2AEF845F"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Questions for the Author(s)</w:t>
      </w:r>
    </w:p>
    <w:p w14:paraId="41B5F43F" w14:textId="77777777" w:rsidR="00AB4336" w:rsidRPr="00AB4336" w:rsidRDefault="00AB4336" w:rsidP="00AB4336">
      <w:pPr>
        <w:widowControl/>
        <w:shd w:val="clear" w:color="auto" w:fill="FFFFFF"/>
        <w:jc w:val="left"/>
        <w:rPr>
          <w:rFonts w:ascii="Arial" w:eastAsia="宋体" w:hAnsi="Arial" w:cs="Arial"/>
          <w:color w:val="000000"/>
          <w:kern w:val="0"/>
          <w:sz w:val="22"/>
        </w:rPr>
      </w:pPr>
      <w:r w:rsidRPr="00AB4336">
        <w:rPr>
          <w:rFonts w:ascii="Arial" w:eastAsia="宋体" w:hAnsi="Arial" w:cs="Arial"/>
          <w:color w:val="000000"/>
          <w:kern w:val="0"/>
          <w:sz w:val="22"/>
        </w:rPr>
        <w:t>Question A: In line 295, I think you used T5-small and BART-Base.</w:t>
      </w:r>
    </w:p>
    <w:p w14:paraId="7C67F684" w14:textId="77777777" w:rsidR="00AB4336" w:rsidRPr="00AB4336" w:rsidRDefault="00AB4336" w:rsidP="00AB4336">
      <w:pPr>
        <w:widowControl/>
        <w:shd w:val="clear" w:color="auto" w:fill="FFFFFF"/>
        <w:spacing w:before="100" w:beforeAutospacing="1" w:after="100" w:afterAutospacing="1"/>
        <w:jc w:val="left"/>
        <w:rPr>
          <w:rFonts w:ascii="Arial" w:eastAsia="宋体" w:hAnsi="Arial" w:cs="Arial"/>
          <w:color w:val="000000"/>
          <w:kern w:val="0"/>
          <w:sz w:val="22"/>
        </w:rPr>
      </w:pPr>
      <w:r w:rsidRPr="00AB4336">
        <w:rPr>
          <w:rFonts w:ascii="Arial" w:eastAsia="宋体" w:hAnsi="Arial" w:cs="Arial"/>
          <w:color w:val="000000"/>
          <w:kern w:val="0"/>
          <w:sz w:val="22"/>
        </w:rPr>
        <w:t>Question B:</w:t>
      </w:r>
    </w:p>
    <w:p w14:paraId="3B6919CB" w14:textId="77777777" w:rsidR="00AB4336" w:rsidRPr="00AB4336" w:rsidRDefault="00AB4336" w:rsidP="00AB4336">
      <w:pPr>
        <w:widowControl/>
        <w:shd w:val="clear" w:color="auto" w:fill="FFFFFF"/>
        <w:spacing w:before="100" w:beforeAutospacing="1" w:afterAutospacing="1"/>
        <w:jc w:val="left"/>
        <w:rPr>
          <w:rFonts w:ascii="Arial" w:eastAsia="宋体" w:hAnsi="Arial" w:cs="Arial"/>
          <w:color w:val="000000"/>
          <w:kern w:val="0"/>
          <w:sz w:val="22"/>
        </w:rPr>
      </w:pPr>
      <w:r w:rsidRPr="00AB4336">
        <w:rPr>
          <w:rFonts w:ascii="Arial" w:eastAsia="宋体" w:hAnsi="Arial" w:cs="Arial"/>
          <w:color w:val="000000"/>
          <w:kern w:val="0"/>
          <w:sz w:val="22"/>
        </w:rPr>
        <w:t>Question C:</w:t>
      </w:r>
    </w:p>
    <w:p w14:paraId="4A0F53B1" w14:textId="77777777" w:rsidR="00AB4336" w:rsidRPr="00AB4336" w:rsidRDefault="00AB4336" w:rsidP="00AB4336">
      <w:pPr>
        <w:widowControl/>
        <w:shd w:val="clear" w:color="auto" w:fill="FFFFFF"/>
        <w:spacing w:before="100" w:beforeAutospacing="1" w:after="100" w:afterAutospacing="1"/>
        <w:jc w:val="left"/>
        <w:outlineLvl w:val="3"/>
        <w:rPr>
          <w:rFonts w:ascii="Arial" w:eastAsia="宋体" w:hAnsi="Arial" w:cs="Arial"/>
          <w:b/>
          <w:bCs/>
          <w:color w:val="000000"/>
          <w:kern w:val="0"/>
          <w:sz w:val="22"/>
        </w:rPr>
      </w:pPr>
      <w:r w:rsidRPr="00AB4336">
        <w:rPr>
          <w:rFonts w:ascii="Arial" w:eastAsia="宋体" w:hAnsi="Arial" w:cs="Arial"/>
          <w:b/>
          <w:bCs/>
          <w:color w:val="000000"/>
          <w:kern w:val="0"/>
          <w:sz w:val="22"/>
        </w:rPr>
        <w:t>Missing References</w:t>
      </w:r>
    </w:p>
    <w:p w14:paraId="490A8A10" w14:textId="77777777" w:rsidR="00AB4336" w:rsidRPr="00AB4336" w:rsidRDefault="00AB4336" w:rsidP="00AB4336">
      <w:pPr>
        <w:widowControl/>
        <w:numPr>
          <w:ilvl w:val="0"/>
          <w:numId w:val="3"/>
        </w:numPr>
        <w:shd w:val="clear" w:color="auto" w:fill="FFFFFF"/>
        <w:spacing w:beforeAutospacing="1" w:afterAutospacing="1"/>
        <w:ind w:left="2160"/>
        <w:jc w:val="left"/>
        <w:rPr>
          <w:rFonts w:ascii="Arial" w:eastAsia="宋体" w:hAnsi="Arial" w:cs="Arial"/>
          <w:color w:val="000000"/>
          <w:kern w:val="0"/>
          <w:sz w:val="22"/>
        </w:rPr>
      </w:pPr>
      <w:r w:rsidRPr="00AB4336">
        <w:rPr>
          <w:rFonts w:ascii="Arial" w:eastAsia="宋体" w:hAnsi="Arial" w:cs="Arial"/>
          <w:color w:val="000000"/>
          <w:kern w:val="0"/>
          <w:sz w:val="22"/>
        </w:rPr>
        <w:t xml:space="preserve">Di </w:t>
      </w:r>
      <w:proofErr w:type="spellStart"/>
      <w:r w:rsidRPr="00AB4336">
        <w:rPr>
          <w:rFonts w:ascii="Arial" w:eastAsia="宋体" w:hAnsi="Arial" w:cs="Arial"/>
          <w:color w:val="000000"/>
          <w:kern w:val="0"/>
          <w:sz w:val="22"/>
        </w:rPr>
        <w:t>Jin</w:t>
      </w:r>
      <w:proofErr w:type="spellEnd"/>
      <w:r w:rsidRPr="00AB4336">
        <w:rPr>
          <w:rFonts w:ascii="Arial" w:eastAsia="宋体" w:hAnsi="Arial" w:cs="Arial"/>
          <w:color w:val="000000"/>
          <w:kern w:val="0"/>
          <w:sz w:val="22"/>
        </w:rPr>
        <w:t xml:space="preserve">, </w:t>
      </w:r>
      <w:proofErr w:type="spellStart"/>
      <w:r w:rsidRPr="00AB4336">
        <w:rPr>
          <w:rFonts w:ascii="Arial" w:eastAsia="宋体" w:hAnsi="Arial" w:cs="Arial"/>
          <w:color w:val="000000"/>
          <w:kern w:val="0"/>
          <w:sz w:val="22"/>
        </w:rPr>
        <w:t>Sijia</w:t>
      </w:r>
      <w:proofErr w:type="spellEnd"/>
      <w:r w:rsidRPr="00AB4336">
        <w:rPr>
          <w:rFonts w:ascii="Arial" w:eastAsia="宋体" w:hAnsi="Arial" w:cs="Arial"/>
          <w:color w:val="000000"/>
          <w:kern w:val="0"/>
          <w:sz w:val="22"/>
        </w:rPr>
        <w:t xml:space="preserve"> Liu, Yang Liu, and Dilek </w:t>
      </w:r>
      <w:proofErr w:type="spellStart"/>
      <w:r w:rsidRPr="00AB4336">
        <w:rPr>
          <w:rFonts w:ascii="Arial" w:eastAsia="宋体" w:hAnsi="Arial" w:cs="Arial"/>
          <w:color w:val="000000"/>
          <w:kern w:val="0"/>
          <w:sz w:val="22"/>
        </w:rPr>
        <w:t>Hakkani</w:t>
      </w:r>
      <w:proofErr w:type="spellEnd"/>
      <w:r w:rsidRPr="00AB4336">
        <w:rPr>
          <w:rFonts w:ascii="Arial" w:eastAsia="宋体" w:hAnsi="Arial" w:cs="Arial"/>
          <w:color w:val="000000"/>
          <w:kern w:val="0"/>
          <w:sz w:val="22"/>
        </w:rPr>
        <w:t>-Tur. 2022. Improving Bot Response Contradiction Detection via Utterance Rewriting. In Proceedings of the 23rd Annual Meeting of the Special Interest Group on Discourse and Dialogue, pages 605–614, Edinburgh, UK. Association for Computational Linguistics.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381"/>
      </w:tblGrid>
      <w:tr w:rsidR="00AB4336" w:rsidRPr="00AB4336" w14:paraId="10423737" w14:textId="77777777" w:rsidTr="00AB4336">
        <w:trPr>
          <w:tblCellSpacing w:w="15" w:type="dxa"/>
        </w:trPr>
        <w:tc>
          <w:tcPr>
            <w:tcW w:w="0" w:type="auto"/>
            <w:vAlign w:val="center"/>
            <w:hideMark/>
          </w:tcPr>
          <w:p w14:paraId="345F5CB5"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Soundness</w:t>
            </w:r>
            <w:r w:rsidRPr="00AB4336">
              <w:rPr>
                <w:rFonts w:ascii="Arial" w:eastAsia="宋体" w:hAnsi="Arial" w:cs="Arial"/>
                <w:kern w:val="0"/>
                <w:sz w:val="22"/>
              </w:rPr>
              <w:t>:</w:t>
            </w:r>
          </w:p>
        </w:tc>
        <w:tc>
          <w:tcPr>
            <w:tcW w:w="0" w:type="auto"/>
            <w:vAlign w:val="center"/>
            <w:hideMark/>
          </w:tcPr>
          <w:p w14:paraId="49745DE0"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w:t>
            </w:r>
          </w:p>
        </w:tc>
      </w:tr>
      <w:tr w:rsidR="00AB4336" w:rsidRPr="00AB4336" w14:paraId="0184C0CA" w14:textId="77777777" w:rsidTr="00AB4336">
        <w:trPr>
          <w:tblCellSpacing w:w="15" w:type="dxa"/>
        </w:trPr>
        <w:tc>
          <w:tcPr>
            <w:tcW w:w="0" w:type="auto"/>
            <w:vAlign w:val="center"/>
            <w:hideMark/>
          </w:tcPr>
          <w:p w14:paraId="574CEE7A"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Excitement (Long paper)</w:t>
            </w:r>
            <w:r w:rsidRPr="00AB4336">
              <w:rPr>
                <w:rFonts w:ascii="Arial" w:eastAsia="宋体" w:hAnsi="Arial" w:cs="Arial"/>
                <w:kern w:val="0"/>
                <w:sz w:val="22"/>
              </w:rPr>
              <w:t>:</w:t>
            </w:r>
          </w:p>
        </w:tc>
        <w:tc>
          <w:tcPr>
            <w:tcW w:w="0" w:type="auto"/>
            <w:vAlign w:val="center"/>
            <w:hideMark/>
          </w:tcPr>
          <w:p w14:paraId="3D65B2AF"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3.5</w:t>
            </w:r>
          </w:p>
        </w:tc>
      </w:tr>
      <w:tr w:rsidR="00AB4336" w:rsidRPr="00AB4336" w14:paraId="3C87E342" w14:textId="77777777" w:rsidTr="00AB4336">
        <w:trPr>
          <w:tblCellSpacing w:w="15" w:type="dxa"/>
        </w:trPr>
        <w:tc>
          <w:tcPr>
            <w:tcW w:w="0" w:type="auto"/>
            <w:vAlign w:val="center"/>
            <w:hideMark/>
          </w:tcPr>
          <w:p w14:paraId="5CE4B75C"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Reviewer Confidence</w:t>
            </w:r>
            <w:r w:rsidRPr="00AB4336">
              <w:rPr>
                <w:rFonts w:ascii="Arial" w:eastAsia="宋体" w:hAnsi="Arial" w:cs="Arial"/>
                <w:kern w:val="0"/>
                <w:sz w:val="22"/>
              </w:rPr>
              <w:t>:</w:t>
            </w:r>
          </w:p>
        </w:tc>
        <w:tc>
          <w:tcPr>
            <w:tcW w:w="0" w:type="auto"/>
            <w:vAlign w:val="center"/>
            <w:hideMark/>
          </w:tcPr>
          <w:p w14:paraId="4D5B242E"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4</w:t>
            </w:r>
          </w:p>
        </w:tc>
      </w:tr>
      <w:tr w:rsidR="00AB4336" w:rsidRPr="00AB4336" w14:paraId="27035D93" w14:textId="77777777" w:rsidTr="00AB4336">
        <w:trPr>
          <w:tblCellSpacing w:w="15" w:type="dxa"/>
        </w:trPr>
        <w:tc>
          <w:tcPr>
            <w:tcW w:w="0" w:type="auto"/>
            <w:vAlign w:val="center"/>
            <w:hideMark/>
          </w:tcPr>
          <w:p w14:paraId="4426400E"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Recommendation for Best Paper Award</w:t>
            </w:r>
            <w:r w:rsidRPr="00AB4336">
              <w:rPr>
                <w:rFonts w:ascii="Arial" w:eastAsia="宋体" w:hAnsi="Arial" w:cs="Arial"/>
                <w:kern w:val="0"/>
                <w:sz w:val="22"/>
              </w:rPr>
              <w:t>:</w:t>
            </w:r>
          </w:p>
        </w:tc>
        <w:tc>
          <w:tcPr>
            <w:tcW w:w="0" w:type="auto"/>
            <w:vAlign w:val="center"/>
            <w:hideMark/>
          </w:tcPr>
          <w:p w14:paraId="0A743434"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r w:rsidR="00AB4336" w:rsidRPr="00AB4336" w14:paraId="667D8A75" w14:textId="77777777" w:rsidTr="00AB4336">
        <w:trPr>
          <w:tblCellSpacing w:w="15" w:type="dxa"/>
        </w:trPr>
        <w:tc>
          <w:tcPr>
            <w:tcW w:w="0" w:type="auto"/>
            <w:vAlign w:val="center"/>
            <w:hideMark/>
          </w:tcPr>
          <w:p w14:paraId="47298A19"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Reproducibility</w:t>
            </w:r>
            <w:r w:rsidRPr="00AB4336">
              <w:rPr>
                <w:rFonts w:ascii="Arial" w:eastAsia="宋体" w:hAnsi="Arial" w:cs="Arial"/>
                <w:kern w:val="0"/>
                <w:sz w:val="22"/>
              </w:rPr>
              <w:t>:</w:t>
            </w:r>
          </w:p>
        </w:tc>
        <w:tc>
          <w:tcPr>
            <w:tcW w:w="0" w:type="auto"/>
            <w:vAlign w:val="center"/>
            <w:hideMark/>
          </w:tcPr>
          <w:p w14:paraId="1FA3B5AE"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3</w:t>
            </w:r>
          </w:p>
        </w:tc>
      </w:tr>
      <w:tr w:rsidR="00AB4336" w:rsidRPr="00AB4336" w14:paraId="78B9F9B0" w14:textId="77777777" w:rsidTr="00AB4336">
        <w:trPr>
          <w:tblCellSpacing w:w="15" w:type="dxa"/>
        </w:trPr>
        <w:tc>
          <w:tcPr>
            <w:tcW w:w="0" w:type="auto"/>
            <w:vAlign w:val="center"/>
            <w:hideMark/>
          </w:tcPr>
          <w:p w14:paraId="793597D2" w14:textId="77777777" w:rsidR="00AB4336" w:rsidRPr="00AB4336" w:rsidRDefault="00AB4336" w:rsidP="00AB4336">
            <w:pPr>
              <w:widowControl/>
              <w:jc w:val="right"/>
              <w:rPr>
                <w:rFonts w:ascii="Arial" w:eastAsia="宋体" w:hAnsi="Arial" w:cs="Arial"/>
                <w:kern w:val="0"/>
                <w:sz w:val="22"/>
              </w:rPr>
            </w:pPr>
            <w:r w:rsidRPr="00AB4336">
              <w:rPr>
                <w:rFonts w:ascii="Arial" w:eastAsia="宋体" w:hAnsi="Arial" w:cs="Arial"/>
                <w:b/>
                <w:bCs/>
                <w:kern w:val="0"/>
                <w:sz w:val="22"/>
              </w:rPr>
              <w:t>Ethical Concerns</w:t>
            </w:r>
            <w:r w:rsidRPr="00AB4336">
              <w:rPr>
                <w:rFonts w:ascii="Arial" w:eastAsia="宋体" w:hAnsi="Arial" w:cs="Arial"/>
                <w:kern w:val="0"/>
                <w:sz w:val="22"/>
              </w:rPr>
              <w:t>:</w:t>
            </w:r>
          </w:p>
        </w:tc>
        <w:tc>
          <w:tcPr>
            <w:tcW w:w="0" w:type="auto"/>
            <w:vAlign w:val="center"/>
            <w:hideMark/>
          </w:tcPr>
          <w:p w14:paraId="180E5405" w14:textId="77777777" w:rsidR="00AB4336" w:rsidRPr="00AB4336" w:rsidRDefault="00AB4336" w:rsidP="00AB4336">
            <w:pPr>
              <w:widowControl/>
              <w:jc w:val="left"/>
              <w:rPr>
                <w:rFonts w:ascii="Arial" w:eastAsia="宋体" w:hAnsi="Arial" w:cs="Arial"/>
                <w:kern w:val="0"/>
                <w:sz w:val="22"/>
              </w:rPr>
            </w:pPr>
            <w:r w:rsidRPr="00AB4336">
              <w:rPr>
                <w:rFonts w:ascii="Arial" w:eastAsia="宋体" w:hAnsi="Arial" w:cs="Arial"/>
                <w:kern w:val="0"/>
                <w:sz w:val="22"/>
              </w:rPr>
              <w:t>No</w:t>
            </w:r>
          </w:p>
        </w:tc>
      </w:tr>
    </w:tbl>
    <w:p w14:paraId="4E19C766" w14:textId="77777777" w:rsidR="001D0343" w:rsidRDefault="001D0343"/>
    <w:sectPr w:rsidR="001D0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E97"/>
    <w:multiLevelType w:val="multilevel"/>
    <w:tmpl w:val="8A6A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64E26"/>
    <w:multiLevelType w:val="multilevel"/>
    <w:tmpl w:val="B8E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85972"/>
    <w:multiLevelType w:val="multilevel"/>
    <w:tmpl w:val="570E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96171">
    <w:abstractNumId w:val="2"/>
  </w:num>
  <w:num w:numId="2" w16cid:durableId="996231725">
    <w:abstractNumId w:val="0"/>
  </w:num>
  <w:num w:numId="3" w16cid:durableId="171935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24"/>
    <w:rsid w:val="00027724"/>
    <w:rsid w:val="000B7D84"/>
    <w:rsid w:val="001D0343"/>
    <w:rsid w:val="00AB4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6588B-98ED-43CE-8924-D780DB27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B433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B4336"/>
    <w:rPr>
      <w:rFonts w:ascii="宋体" w:eastAsia="宋体" w:hAnsi="宋体" w:cs="宋体"/>
      <w:b/>
      <w:bCs/>
      <w:kern w:val="0"/>
      <w:sz w:val="24"/>
      <w:szCs w:val="24"/>
    </w:rPr>
  </w:style>
  <w:style w:type="paragraph" w:styleId="a3">
    <w:name w:val="Normal (Web)"/>
    <w:basedOn w:val="a"/>
    <w:uiPriority w:val="99"/>
    <w:semiHidden/>
    <w:unhideWhenUsed/>
    <w:rsid w:val="00AB43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7018">
      <w:bodyDiv w:val="1"/>
      <w:marLeft w:val="0"/>
      <w:marRight w:val="0"/>
      <w:marTop w:val="0"/>
      <w:marBottom w:val="0"/>
      <w:divBdr>
        <w:top w:val="none" w:sz="0" w:space="0" w:color="auto"/>
        <w:left w:val="none" w:sz="0" w:space="0" w:color="auto"/>
        <w:bottom w:val="none" w:sz="0" w:space="0" w:color="auto"/>
        <w:right w:val="none" w:sz="0" w:space="0" w:color="auto"/>
      </w:divBdr>
      <w:divsChild>
        <w:div w:id="1999532880">
          <w:marLeft w:val="0"/>
          <w:marRight w:val="0"/>
          <w:marTop w:val="0"/>
          <w:marBottom w:val="0"/>
          <w:divBdr>
            <w:top w:val="single" w:sz="12" w:space="8" w:color="0077B3"/>
            <w:left w:val="single" w:sz="12" w:space="8" w:color="0077B3"/>
            <w:bottom w:val="single" w:sz="12" w:space="8" w:color="0077B3"/>
            <w:right w:val="single" w:sz="12" w:space="8" w:color="0077B3"/>
          </w:divBdr>
          <w:divsChild>
            <w:div w:id="454300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77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0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63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53082">
                  <w:marLeft w:val="0"/>
                  <w:marRight w:val="0"/>
                  <w:marTop w:val="0"/>
                  <w:marBottom w:val="0"/>
                  <w:divBdr>
                    <w:top w:val="single" w:sz="6" w:space="0" w:color="000000"/>
                    <w:left w:val="single" w:sz="6" w:space="8" w:color="000000"/>
                    <w:bottom w:val="single" w:sz="6" w:space="0" w:color="000000"/>
                    <w:right w:val="single" w:sz="6" w:space="0" w:color="000000"/>
                  </w:divBdr>
                </w:div>
              </w:divsChild>
            </w:div>
          </w:divsChild>
        </w:div>
        <w:div w:id="1092317063">
          <w:marLeft w:val="0"/>
          <w:marRight w:val="0"/>
          <w:marTop w:val="0"/>
          <w:marBottom w:val="0"/>
          <w:divBdr>
            <w:top w:val="single" w:sz="12" w:space="8" w:color="0077B3"/>
            <w:left w:val="single" w:sz="12" w:space="8" w:color="0077B3"/>
            <w:bottom w:val="single" w:sz="12" w:space="8" w:color="0077B3"/>
            <w:right w:val="single" w:sz="12" w:space="8" w:color="0077B3"/>
          </w:divBdr>
          <w:divsChild>
            <w:div w:id="14103512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5833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653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0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0722">
                  <w:marLeft w:val="0"/>
                  <w:marRight w:val="0"/>
                  <w:marTop w:val="0"/>
                  <w:marBottom w:val="0"/>
                  <w:divBdr>
                    <w:top w:val="single" w:sz="6" w:space="0" w:color="000000"/>
                    <w:left w:val="single" w:sz="6" w:space="8" w:color="000000"/>
                    <w:bottom w:val="single" w:sz="6" w:space="0" w:color="000000"/>
                    <w:right w:val="single" w:sz="6" w:space="0" w:color="000000"/>
                  </w:divBdr>
                </w:div>
              </w:divsChild>
            </w:div>
          </w:divsChild>
        </w:div>
        <w:div w:id="1339698243">
          <w:marLeft w:val="0"/>
          <w:marRight w:val="0"/>
          <w:marTop w:val="0"/>
          <w:marBottom w:val="0"/>
          <w:divBdr>
            <w:top w:val="single" w:sz="12" w:space="8" w:color="0077B3"/>
            <w:left w:val="single" w:sz="12" w:space="8" w:color="0077B3"/>
            <w:bottom w:val="single" w:sz="12" w:space="8" w:color="0077B3"/>
            <w:right w:val="single" w:sz="12" w:space="8" w:color="0077B3"/>
          </w:divBdr>
          <w:divsChild>
            <w:div w:id="1099524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467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6522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0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1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10683">
                  <w:marLeft w:val="0"/>
                  <w:marRight w:val="0"/>
                  <w:marTop w:val="0"/>
                  <w:marBottom w:val="0"/>
                  <w:divBdr>
                    <w:top w:val="single" w:sz="6" w:space="0" w:color="000000"/>
                    <w:left w:val="single" w:sz="6" w:space="8" w:color="000000"/>
                    <w:bottom w:val="single" w:sz="6" w:space="0" w:color="000000"/>
                    <w:right w:val="single" w:sz="6" w:space="0"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Zitong</dc:creator>
  <cp:keywords/>
  <dc:description/>
  <cp:lastModifiedBy>Li Zitong</cp:lastModifiedBy>
  <cp:revision>3</cp:revision>
  <dcterms:created xsi:type="dcterms:W3CDTF">2023-03-18T02:19:00Z</dcterms:created>
  <dcterms:modified xsi:type="dcterms:W3CDTF">2023-03-18T04:05:00Z</dcterms:modified>
</cp:coreProperties>
</file>