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9531650543213" w:lineRule="auto"/>
        <w:ind w:left="0" w:right="39.921875" w:firstLine="0"/>
        <w:jc w:val="center"/>
        <w:rPr>
          <w:rFonts w:ascii="Arial" w:cs="Arial" w:eastAsia="Arial" w:hAnsi="Arial"/>
          <w:b w:val="1"/>
          <w:i w:val="0"/>
          <w:smallCaps w:val="0"/>
          <w:strike w:val="0"/>
          <w:color w:val="446fc4"/>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11020" cy="54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1020" cy="5429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49325" cy="8972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49325" cy="897255"/>
                    </a:xfrm>
                    <a:prstGeom prst="rect"/>
                    <a:ln/>
                  </pic:spPr>
                </pic:pic>
              </a:graphicData>
            </a:graphic>
          </wp:inline>
        </w:drawing>
      </w:r>
      <w:r w:rsidDel="00000000" w:rsidR="00000000" w:rsidRPr="00000000">
        <w:rPr>
          <w:rFonts w:ascii="Arial" w:cs="Arial" w:eastAsia="Arial" w:hAnsi="Arial"/>
          <w:b w:val="1"/>
          <w:i w:val="0"/>
          <w:smallCaps w:val="0"/>
          <w:strike w:val="0"/>
          <w:color w:val="446fc4"/>
          <w:sz w:val="22"/>
          <w:szCs w:val="22"/>
          <w:u w:val="none"/>
          <w:shd w:fill="auto" w:val="clear"/>
          <w:vertAlign w:val="baseline"/>
          <w:rtl w:val="0"/>
        </w:rPr>
        <w:t xml:space="preserve">Event Planning SOP</w:t>
      </w:r>
    </w:p>
    <w:tbl>
      <w:tblPr>
        <w:tblStyle w:val="Table1"/>
        <w:tblW w:w="8785.999450683594" w:type="dxa"/>
        <w:jc w:val="left"/>
        <w:tblInd w:w="21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5.9999084472656"/>
        <w:gridCol w:w="2831.999969482422"/>
        <w:gridCol w:w="5377.999572753906"/>
        <w:tblGridChange w:id="0">
          <w:tblGrid>
            <w:gridCol w:w="575.9999084472656"/>
            <w:gridCol w:w="2831.999969482422"/>
            <w:gridCol w:w="5377.999572753906"/>
          </w:tblGrid>
        </w:tblGridChange>
      </w:tblGrid>
      <w:tr>
        <w:trPr>
          <w:cantSplit w:val="0"/>
          <w:trHeight w:val="336.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9.759826660156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EVENT PROPOSAL</w:t>
            </w:r>
          </w:p>
        </w:tc>
      </w:tr>
      <w:tr>
        <w:trPr>
          <w:cantSplit w:val="0"/>
          <w:trHeight w:val="5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999206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6015014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396739959717" w:lineRule="auto"/>
              <w:ind w:left="36.02020263671875" w:right="444.12109375" w:firstLine="1.53991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DSA-complete road-map for internships and  placements.</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59967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6015014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200805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07-09-2021</w:t>
            </w:r>
          </w:p>
        </w:tc>
      </w:tr>
      <w:tr>
        <w:trPr>
          <w:cantSplit w:val="0"/>
          <w:trHeight w:val="3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1990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6015014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001342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DAY</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6002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0256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11am to 12pm</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6015014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Meeting/Online</w:t>
            </w:r>
          </w:p>
        </w:tc>
      </w:tr>
      <w:tr>
        <w:trPr>
          <w:cantSplit w:val="0"/>
          <w:trHeight w:val="18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9987182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6015014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15336608887" w:lineRule="auto"/>
              <w:ind w:left="25.24017333984375" w:right="197.5" w:hanging="9.680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event “DSA-complete road map for internships and placements” is to  make students aware of the importance of  data structures and algorithms in placements  and how to grab hold of good internship. This  webinar also aims at giving the attendees a  brief outlook on the pattern of placements</w:t>
            </w:r>
          </w:p>
        </w:tc>
      </w:tr>
      <w:tr>
        <w:trPr>
          <w:cantSplit w:val="0"/>
          <w:trHeight w:val="3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399475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6002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Audience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0256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- 4th Year Students</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6015014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250-300</w:t>
            </w:r>
          </w:p>
        </w:tc>
      </w:tr>
      <w:tr>
        <w:trPr>
          <w:cantSplit w:val="0"/>
          <w:trHeight w:val="28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59954833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6015014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15336608887" w:lineRule="auto"/>
              <w:ind w:left="32.09991455078125" w:right="882.5592041015625" w:hanging="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event “DSA-complete road-map for  internships and placements” is being  conducted in collaboration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Coding  Ninjas.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webinar, experts 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2.63418197631836" w:lineRule="auto"/>
              <w:ind w:left="31.8798828125" w:right="250.4803466796875" w:hanging="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technological domain address the participants on various aspects for placements and  internship. This event enlightens the  attendees about the role of data structures  and algorithms in the day-to-day life of a  software engineer.</w:t>
            </w:r>
          </w:p>
        </w:tc>
      </w:tr>
      <w:tr>
        <w:trPr>
          <w:cantSplit w:val="0"/>
          <w:trHeight w:val="5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6015014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Budget/Resources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200805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ID and password.</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4652.7801513671875" w:top="1194.013671875" w:left="1440" w:right="1564.07836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