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95B22" w14:textId="77777777" w:rsidR="00C12C0F" w:rsidRDefault="00395FC0">
      <w:pPr>
        <w:spacing w:before="1800"/>
        <w:jc w:val="center"/>
        <w:rPr>
          <w:rFonts w:hint="eastAsia"/>
        </w:rPr>
      </w:pPr>
      <w:r>
        <w:rPr>
          <w:rFonts w:ascii="Aptos Display" w:hAnsi="Aptos Display"/>
          <w:b/>
          <w:color w:val="183B56"/>
          <w:sz w:val="60"/>
        </w:rPr>
        <w:t>FEDERATED BIOMEDICAL</w:t>
      </w:r>
      <w:r>
        <w:rPr>
          <w:rFonts w:ascii="Aptos Display" w:hAnsi="Aptos Display"/>
          <w:b/>
          <w:color w:val="183B56"/>
          <w:sz w:val="60"/>
        </w:rPr>
        <w:br/>
        <w:t>COMPUTATION</w:t>
      </w:r>
      <w:r>
        <w:rPr>
          <w:rFonts w:ascii="Aptos Display" w:hAnsi="Aptos Display"/>
          <w:b/>
          <w:color w:val="2F6B9A"/>
          <w:sz w:val="38"/>
        </w:rPr>
        <w:br/>
        <w:t>REFERENCE ARCHITECTURE</w:t>
      </w:r>
    </w:p>
    <w:p w14:paraId="2B1F4F53" w14:textId="77777777" w:rsidR="00C12C0F" w:rsidRDefault="00395FC0">
      <w:pPr>
        <w:spacing w:before="360"/>
        <w:jc w:val="center"/>
        <w:rPr>
          <w:rFonts w:hint="eastAsia"/>
        </w:rPr>
      </w:pPr>
      <w:r>
        <w:rPr>
          <w:color w:val="66788A"/>
          <w:sz w:val="28"/>
        </w:rPr>
        <w:t>A contract-driven, implementation-neutral architecture for distributed biomedical data discovery and local computation</w:t>
      </w:r>
    </w:p>
    <w:tbl>
      <w:tblPr>
        <w:tblW w:w="0" w:type="auto"/>
        <w:jc w:val="center"/>
        <w:tblLook w:val="04A0" w:firstRow="1" w:lastRow="0" w:firstColumn="1" w:lastColumn="0" w:noHBand="0" w:noVBand="1"/>
      </w:tblPr>
      <w:tblGrid>
        <w:gridCol w:w="10080"/>
      </w:tblGrid>
      <w:tr w:rsidR="00C12C0F" w14:paraId="267988FD" w14:textId="77777777">
        <w:trPr>
          <w:jc w:val="center"/>
        </w:trPr>
        <w:tc>
          <w:tcPr>
            <w:tcW w:w="10080" w:type="dxa"/>
            <w:shd w:val="clear" w:color="auto" w:fill="EAF3F8"/>
            <w:tcMar>
              <w:top w:w="160" w:type="dxa"/>
              <w:left w:w="180" w:type="dxa"/>
              <w:bottom w:w="160" w:type="dxa"/>
              <w:right w:w="180" w:type="dxa"/>
            </w:tcMar>
          </w:tcPr>
          <w:p w14:paraId="04771D90" w14:textId="75542E5A" w:rsidR="00C12C0F" w:rsidRDefault="00395FC0">
            <w:pPr>
              <w:rPr>
                <w:rFonts w:hint="eastAsia"/>
              </w:rPr>
            </w:pPr>
            <w:r>
              <w:rPr>
                <w:b/>
                <w:color w:val="183B56"/>
                <w:sz w:val="21"/>
              </w:rPr>
              <w:t>Architecture intent</w:t>
            </w:r>
            <w:r>
              <w:rPr>
                <w:b/>
                <w:color w:val="183B56"/>
                <w:sz w:val="21"/>
              </w:rPr>
              <w:br/>
            </w:r>
            <w:r>
              <w:rPr>
                <w:color w:val="283C4B"/>
                <w:sz w:val="19"/>
              </w:rPr>
              <w:t>Enable organizations to reuse open-source building blocks, replace individual implementations, or implement the architecture independently while preserving interoperability through shared contracts.</w:t>
            </w:r>
          </w:p>
        </w:tc>
      </w:tr>
    </w:tbl>
    <w:p w14:paraId="672A6659" w14:textId="77777777" w:rsidR="00C12C0F" w:rsidRDefault="00C12C0F">
      <w:pPr>
        <w:spacing w:after="20"/>
        <w:rPr>
          <w:rFonts w:hint="eastAsia"/>
        </w:rPr>
      </w:pPr>
    </w:p>
    <w:p w14:paraId="58B6A2BB" w14:textId="4420C554" w:rsidR="00C12C0F" w:rsidRDefault="00395FC0">
      <w:pPr>
        <w:spacing w:before="2000"/>
        <w:jc w:val="center"/>
        <w:rPr>
          <w:rFonts w:hint="eastAsia"/>
        </w:rPr>
      </w:pPr>
      <w:r>
        <w:rPr>
          <w:color w:val="66788A"/>
        </w:rPr>
        <w:t xml:space="preserve">Version </w:t>
      </w:r>
      <w:proofErr w:type="gramStart"/>
      <w:r>
        <w:rPr>
          <w:color w:val="66788A"/>
        </w:rPr>
        <w:t>1.0  |</w:t>
      </w:r>
      <w:proofErr w:type="gramEnd"/>
      <w:r>
        <w:rPr>
          <w:color w:val="66788A"/>
        </w:rPr>
        <w:t xml:space="preserve">  </w:t>
      </w:r>
      <w:r w:rsidR="002E4E97">
        <w:rPr>
          <w:color w:val="66788A"/>
        </w:rPr>
        <w:t>August</w:t>
      </w:r>
      <w:r>
        <w:rPr>
          <w:color w:val="66788A"/>
        </w:rPr>
        <w:t xml:space="preserve"> 2026</w:t>
      </w:r>
    </w:p>
    <w:p w14:paraId="0A37501D" w14:textId="77777777" w:rsidR="00C12C0F" w:rsidRDefault="00395FC0">
      <w:pPr>
        <w:rPr>
          <w:rFonts w:hint="eastAsia"/>
        </w:rPr>
      </w:pPr>
      <w:r>
        <w:br w:type="page"/>
      </w:r>
    </w:p>
    <w:p w14:paraId="206C43ED" w14:textId="77777777" w:rsidR="00C12C0F" w:rsidRDefault="00395FC0">
      <w:pPr>
        <w:pStyle w:val="Heading1"/>
      </w:pPr>
      <w:r>
        <w:lastRenderedPageBreak/>
        <w:t>Document Control</w:t>
      </w:r>
    </w:p>
    <w:tbl>
      <w:tblPr>
        <w:tblStyle w:val="TableGrid"/>
        <w:tblW w:w="0" w:type="auto"/>
        <w:jc w:val="center"/>
        <w:tblLook w:val="04A0" w:firstRow="1" w:lastRow="0" w:firstColumn="1" w:lastColumn="0" w:noHBand="0" w:noVBand="1"/>
      </w:tblPr>
      <w:tblGrid>
        <w:gridCol w:w="2880"/>
        <w:gridCol w:w="6912"/>
      </w:tblGrid>
      <w:tr w:rsidR="00C12C0F" w14:paraId="3010B87D" w14:textId="77777777">
        <w:trPr>
          <w:tblHeader/>
          <w:jc w:val="center"/>
        </w:trPr>
        <w:tc>
          <w:tcPr>
            <w:tcW w:w="2880" w:type="dxa"/>
            <w:shd w:val="clear" w:color="auto" w:fill="183B56"/>
            <w:tcMar>
              <w:top w:w="100" w:type="dxa"/>
              <w:left w:w="120" w:type="dxa"/>
              <w:bottom w:w="100" w:type="dxa"/>
              <w:right w:w="120" w:type="dxa"/>
            </w:tcMar>
            <w:vAlign w:val="center"/>
          </w:tcPr>
          <w:p w14:paraId="4DE3DC5E" w14:textId="77777777" w:rsidR="00C12C0F" w:rsidRDefault="00395FC0">
            <w:pPr>
              <w:rPr>
                <w:rFonts w:hint="eastAsia"/>
              </w:rPr>
            </w:pPr>
            <w:r>
              <w:rPr>
                <w:b/>
                <w:color w:val="FFFFFF"/>
                <w:sz w:val="18"/>
              </w:rPr>
              <w:t>Field</w:t>
            </w:r>
          </w:p>
        </w:tc>
        <w:tc>
          <w:tcPr>
            <w:tcW w:w="6912" w:type="dxa"/>
            <w:shd w:val="clear" w:color="auto" w:fill="183B56"/>
            <w:tcMar>
              <w:top w:w="100" w:type="dxa"/>
              <w:left w:w="120" w:type="dxa"/>
              <w:bottom w:w="100" w:type="dxa"/>
              <w:right w:w="120" w:type="dxa"/>
            </w:tcMar>
            <w:vAlign w:val="center"/>
          </w:tcPr>
          <w:p w14:paraId="6D3D45CB" w14:textId="77777777" w:rsidR="00C12C0F" w:rsidRDefault="00395FC0">
            <w:pPr>
              <w:rPr>
                <w:rFonts w:hint="eastAsia"/>
              </w:rPr>
            </w:pPr>
            <w:r>
              <w:rPr>
                <w:b/>
                <w:color w:val="FFFFFF"/>
                <w:sz w:val="18"/>
              </w:rPr>
              <w:t>Value</w:t>
            </w:r>
          </w:p>
        </w:tc>
      </w:tr>
      <w:tr w:rsidR="00C12C0F" w14:paraId="675E17AC" w14:textId="77777777">
        <w:trPr>
          <w:jc w:val="center"/>
        </w:trPr>
        <w:tc>
          <w:tcPr>
            <w:tcW w:w="2880" w:type="dxa"/>
            <w:tcMar>
              <w:top w:w="100" w:type="dxa"/>
              <w:left w:w="120" w:type="dxa"/>
              <w:bottom w:w="100" w:type="dxa"/>
              <w:right w:w="120" w:type="dxa"/>
            </w:tcMar>
            <w:vAlign w:val="center"/>
          </w:tcPr>
          <w:p w14:paraId="7AF3C9F3" w14:textId="77777777" w:rsidR="00C12C0F" w:rsidRDefault="00395FC0">
            <w:pPr>
              <w:spacing w:after="0"/>
              <w:rPr>
                <w:rFonts w:hint="eastAsia"/>
              </w:rPr>
            </w:pPr>
            <w:r>
              <w:rPr>
                <w:color w:val="1E3242"/>
                <w:sz w:val="17"/>
              </w:rPr>
              <w:t>Document title</w:t>
            </w:r>
          </w:p>
        </w:tc>
        <w:tc>
          <w:tcPr>
            <w:tcW w:w="6912" w:type="dxa"/>
            <w:tcMar>
              <w:top w:w="100" w:type="dxa"/>
              <w:left w:w="120" w:type="dxa"/>
              <w:bottom w:w="100" w:type="dxa"/>
              <w:right w:w="120" w:type="dxa"/>
            </w:tcMar>
            <w:vAlign w:val="center"/>
          </w:tcPr>
          <w:p w14:paraId="436832C0" w14:textId="77777777" w:rsidR="00C12C0F" w:rsidRDefault="00395FC0">
            <w:pPr>
              <w:spacing w:after="0"/>
              <w:rPr>
                <w:rFonts w:hint="eastAsia"/>
              </w:rPr>
            </w:pPr>
            <w:r>
              <w:rPr>
                <w:color w:val="1E3242"/>
                <w:sz w:val="17"/>
              </w:rPr>
              <w:t>Federated Biomedical Computation Reference Architecture</w:t>
            </w:r>
          </w:p>
        </w:tc>
      </w:tr>
      <w:tr w:rsidR="00C12C0F" w14:paraId="7806E7AF" w14:textId="77777777">
        <w:trPr>
          <w:jc w:val="center"/>
        </w:trPr>
        <w:tc>
          <w:tcPr>
            <w:tcW w:w="2880" w:type="dxa"/>
            <w:shd w:val="clear" w:color="auto" w:fill="F3F6F8"/>
            <w:tcMar>
              <w:top w:w="100" w:type="dxa"/>
              <w:left w:w="120" w:type="dxa"/>
              <w:bottom w:w="100" w:type="dxa"/>
              <w:right w:w="120" w:type="dxa"/>
            </w:tcMar>
            <w:vAlign w:val="center"/>
          </w:tcPr>
          <w:p w14:paraId="6B814A1E" w14:textId="77777777" w:rsidR="00C12C0F" w:rsidRDefault="00395FC0">
            <w:pPr>
              <w:spacing w:after="0"/>
              <w:rPr>
                <w:rFonts w:hint="eastAsia"/>
              </w:rPr>
            </w:pPr>
            <w:r>
              <w:rPr>
                <w:color w:val="1E3242"/>
                <w:sz w:val="17"/>
              </w:rPr>
              <w:t>Version</w:t>
            </w:r>
          </w:p>
        </w:tc>
        <w:tc>
          <w:tcPr>
            <w:tcW w:w="6912" w:type="dxa"/>
            <w:shd w:val="clear" w:color="auto" w:fill="F3F6F8"/>
            <w:tcMar>
              <w:top w:w="100" w:type="dxa"/>
              <w:left w:w="120" w:type="dxa"/>
              <w:bottom w:w="100" w:type="dxa"/>
              <w:right w:w="120" w:type="dxa"/>
            </w:tcMar>
            <w:vAlign w:val="center"/>
          </w:tcPr>
          <w:p w14:paraId="4B3AA50C" w14:textId="77777777" w:rsidR="00C12C0F" w:rsidRDefault="00395FC0">
            <w:pPr>
              <w:spacing w:after="0"/>
              <w:rPr>
                <w:rFonts w:hint="eastAsia"/>
              </w:rPr>
            </w:pPr>
            <w:r>
              <w:rPr>
                <w:color w:val="1E3242"/>
                <w:sz w:val="17"/>
              </w:rPr>
              <w:t>1.0</w:t>
            </w:r>
          </w:p>
        </w:tc>
      </w:tr>
      <w:tr w:rsidR="00C12C0F" w14:paraId="2399F15D" w14:textId="77777777">
        <w:trPr>
          <w:jc w:val="center"/>
        </w:trPr>
        <w:tc>
          <w:tcPr>
            <w:tcW w:w="2880" w:type="dxa"/>
            <w:tcMar>
              <w:top w:w="100" w:type="dxa"/>
              <w:left w:w="120" w:type="dxa"/>
              <w:bottom w:w="100" w:type="dxa"/>
              <w:right w:w="120" w:type="dxa"/>
            </w:tcMar>
            <w:vAlign w:val="center"/>
          </w:tcPr>
          <w:p w14:paraId="1B9FBFDD" w14:textId="77777777" w:rsidR="00C12C0F" w:rsidRDefault="00395FC0">
            <w:pPr>
              <w:spacing w:after="0"/>
              <w:rPr>
                <w:rFonts w:hint="eastAsia"/>
              </w:rPr>
            </w:pPr>
            <w:r>
              <w:rPr>
                <w:color w:val="1E3242"/>
                <w:sz w:val="17"/>
              </w:rPr>
              <w:t>Status</w:t>
            </w:r>
          </w:p>
        </w:tc>
        <w:tc>
          <w:tcPr>
            <w:tcW w:w="6912" w:type="dxa"/>
            <w:tcMar>
              <w:top w:w="100" w:type="dxa"/>
              <w:left w:w="120" w:type="dxa"/>
              <w:bottom w:w="100" w:type="dxa"/>
              <w:right w:w="120" w:type="dxa"/>
            </w:tcMar>
            <w:vAlign w:val="center"/>
          </w:tcPr>
          <w:p w14:paraId="63D91756" w14:textId="0252513B" w:rsidR="00C12C0F" w:rsidRDefault="00793040" w:rsidP="0057306A">
            <w:pPr>
              <w:spacing w:after="0"/>
              <w:rPr>
                <w:rFonts w:hint="eastAsia"/>
              </w:rPr>
            </w:pPr>
            <w:r w:rsidRPr="0057306A">
              <w:rPr>
                <w:color w:val="1E3242"/>
                <w:sz w:val="17"/>
                <w:szCs w:val="17"/>
              </w:rPr>
              <w:t>Reference architecture</w:t>
            </w:r>
            <w:r w:rsidR="0057306A">
              <w:rPr>
                <w:color w:val="1E3242"/>
                <w:sz w:val="17"/>
                <w:szCs w:val="17"/>
              </w:rPr>
              <w:t xml:space="preserve"> and open-source asset catalog</w:t>
            </w:r>
          </w:p>
        </w:tc>
      </w:tr>
      <w:tr w:rsidR="00C12C0F" w14:paraId="7A7FCA2B" w14:textId="77777777">
        <w:trPr>
          <w:jc w:val="center"/>
        </w:trPr>
        <w:tc>
          <w:tcPr>
            <w:tcW w:w="2880" w:type="dxa"/>
            <w:shd w:val="clear" w:color="auto" w:fill="F3F6F8"/>
            <w:tcMar>
              <w:top w:w="100" w:type="dxa"/>
              <w:left w:w="120" w:type="dxa"/>
              <w:bottom w:w="100" w:type="dxa"/>
              <w:right w:w="120" w:type="dxa"/>
            </w:tcMar>
            <w:vAlign w:val="center"/>
          </w:tcPr>
          <w:p w14:paraId="1B0A7499" w14:textId="77777777" w:rsidR="00C12C0F" w:rsidRDefault="00395FC0">
            <w:pPr>
              <w:spacing w:after="0"/>
              <w:rPr>
                <w:rFonts w:hint="eastAsia"/>
              </w:rPr>
            </w:pPr>
            <w:r>
              <w:rPr>
                <w:color w:val="1E3242"/>
                <w:sz w:val="17"/>
              </w:rPr>
              <w:t>Audience</w:t>
            </w:r>
          </w:p>
        </w:tc>
        <w:tc>
          <w:tcPr>
            <w:tcW w:w="6912" w:type="dxa"/>
            <w:shd w:val="clear" w:color="auto" w:fill="F3F6F8"/>
            <w:tcMar>
              <w:top w:w="100" w:type="dxa"/>
              <w:left w:w="120" w:type="dxa"/>
              <w:bottom w:w="100" w:type="dxa"/>
              <w:right w:w="120" w:type="dxa"/>
            </w:tcMar>
            <w:vAlign w:val="center"/>
          </w:tcPr>
          <w:p w14:paraId="50338F21" w14:textId="77777777" w:rsidR="00C12C0F" w:rsidRDefault="00395FC0">
            <w:pPr>
              <w:spacing w:after="0"/>
              <w:rPr>
                <w:rFonts w:hint="eastAsia"/>
              </w:rPr>
            </w:pPr>
            <w:r>
              <w:rPr>
                <w:color w:val="1E3242"/>
                <w:sz w:val="17"/>
              </w:rPr>
              <w:t>Enterprise architects, platform engineers, data stewards, security teams, and biomedical informatics leaders</w:t>
            </w:r>
          </w:p>
        </w:tc>
      </w:tr>
      <w:tr w:rsidR="00C12C0F" w14:paraId="0E56E94A" w14:textId="77777777">
        <w:trPr>
          <w:jc w:val="center"/>
        </w:trPr>
        <w:tc>
          <w:tcPr>
            <w:tcW w:w="2880" w:type="dxa"/>
            <w:tcMar>
              <w:top w:w="100" w:type="dxa"/>
              <w:left w:w="120" w:type="dxa"/>
              <w:bottom w:w="100" w:type="dxa"/>
              <w:right w:w="120" w:type="dxa"/>
            </w:tcMar>
            <w:vAlign w:val="center"/>
          </w:tcPr>
          <w:p w14:paraId="56DABE0D" w14:textId="77777777" w:rsidR="00C12C0F" w:rsidRDefault="00395FC0">
            <w:pPr>
              <w:spacing w:after="0"/>
              <w:rPr>
                <w:rFonts w:hint="eastAsia"/>
              </w:rPr>
            </w:pPr>
            <w:r>
              <w:rPr>
                <w:color w:val="1E3242"/>
                <w:sz w:val="17"/>
              </w:rPr>
              <w:t>Scope</w:t>
            </w:r>
          </w:p>
        </w:tc>
        <w:tc>
          <w:tcPr>
            <w:tcW w:w="6912" w:type="dxa"/>
            <w:tcMar>
              <w:top w:w="100" w:type="dxa"/>
              <w:left w:w="120" w:type="dxa"/>
              <w:bottom w:w="100" w:type="dxa"/>
              <w:right w:w="120" w:type="dxa"/>
            </w:tcMar>
            <w:vAlign w:val="center"/>
          </w:tcPr>
          <w:p w14:paraId="5E4E7B8F" w14:textId="1E3DF230" w:rsidR="00C12C0F" w:rsidRDefault="00793040" w:rsidP="002B6F04">
            <w:pPr>
              <w:spacing w:after="0"/>
              <w:rPr>
                <w:rFonts w:hint="eastAsia"/>
              </w:rPr>
            </w:pPr>
            <w:r w:rsidRPr="002B6F04">
              <w:rPr>
                <w:color w:val="1E3242"/>
                <w:sz w:val="17"/>
                <w:szCs w:val="17"/>
              </w:rPr>
              <w:t>Federated metadata discovery, job orchestration, local execution, status monitoring, result return</w:t>
            </w:r>
            <w:r w:rsidR="002B6F04">
              <w:rPr>
                <w:color w:val="1E3242"/>
                <w:sz w:val="17"/>
                <w:szCs w:val="17"/>
              </w:rPr>
              <w:t>, and the open-source reference assets that support implementation</w:t>
            </w:r>
          </w:p>
        </w:tc>
      </w:tr>
      <w:tr w:rsidR="00C12C0F" w14:paraId="7EBDBAE3" w14:textId="77777777">
        <w:trPr>
          <w:jc w:val="center"/>
        </w:trPr>
        <w:tc>
          <w:tcPr>
            <w:tcW w:w="2880" w:type="dxa"/>
            <w:shd w:val="clear" w:color="auto" w:fill="F3F6F8"/>
            <w:tcMar>
              <w:top w:w="100" w:type="dxa"/>
              <w:left w:w="120" w:type="dxa"/>
              <w:bottom w:w="100" w:type="dxa"/>
              <w:right w:w="120" w:type="dxa"/>
            </w:tcMar>
            <w:vAlign w:val="center"/>
          </w:tcPr>
          <w:p w14:paraId="2AE0525F" w14:textId="77777777" w:rsidR="00C12C0F" w:rsidRDefault="00395FC0">
            <w:pPr>
              <w:spacing w:after="0"/>
              <w:rPr>
                <w:rFonts w:hint="eastAsia"/>
              </w:rPr>
            </w:pPr>
            <w:r>
              <w:rPr>
                <w:color w:val="1E3242"/>
                <w:sz w:val="17"/>
              </w:rPr>
              <w:t>Example implementations</w:t>
            </w:r>
          </w:p>
        </w:tc>
        <w:tc>
          <w:tcPr>
            <w:tcW w:w="6912" w:type="dxa"/>
            <w:shd w:val="clear" w:color="auto" w:fill="F3F6F8"/>
            <w:tcMar>
              <w:top w:w="100" w:type="dxa"/>
              <w:left w:w="120" w:type="dxa"/>
              <w:bottom w:w="100" w:type="dxa"/>
              <w:right w:w="120" w:type="dxa"/>
            </w:tcMar>
            <w:vAlign w:val="center"/>
          </w:tcPr>
          <w:p w14:paraId="60A4BC8A" w14:textId="2193489E" w:rsidR="00C12C0F" w:rsidRDefault="005F6992">
            <w:pPr>
              <w:spacing w:after="0"/>
              <w:rPr>
                <w:rFonts w:hint="eastAsia"/>
              </w:rPr>
            </w:pPr>
            <w:r>
              <w:rPr>
                <w:color w:val="1E3242"/>
                <w:sz w:val="17"/>
              </w:rPr>
              <w:t>E</w:t>
            </w:r>
            <w:r w:rsidR="006463FE">
              <w:rPr>
                <w:color w:val="1E3242"/>
                <w:sz w:val="17"/>
              </w:rPr>
              <w:t>xisting operational platforms (</w:t>
            </w:r>
            <w:r w:rsidR="00395FC0">
              <w:rPr>
                <w:color w:val="1E3242"/>
                <w:sz w:val="17"/>
              </w:rPr>
              <w:t>ACR Connect, AI-LAB, and DART</w:t>
            </w:r>
            <w:r w:rsidR="006463FE">
              <w:rPr>
                <w:color w:val="1E3242"/>
                <w:sz w:val="17"/>
              </w:rPr>
              <w:t>)</w:t>
            </w:r>
            <w:r w:rsidR="00395FC0">
              <w:rPr>
                <w:color w:val="1E3242"/>
                <w:sz w:val="17"/>
              </w:rPr>
              <w:t xml:space="preserve"> </w:t>
            </w:r>
            <w:r w:rsidR="006463FE">
              <w:rPr>
                <w:color w:val="1E3242"/>
                <w:sz w:val="17"/>
              </w:rPr>
              <w:t xml:space="preserve">along with </w:t>
            </w:r>
            <w:r w:rsidR="007A2C9A">
              <w:rPr>
                <w:color w:val="1E3242"/>
                <w:sz w:val="17"/>
              </w:rPr>
              <w:t>new</w:t>
            </w:r>
            <w:r w:rsidR="006463FE">
              <w:rPr>
                <w:color w:val="1E3242"/>
                <w:sz w:val="17"/>
              </w:rPr>
              <w:t xml:space="preserve"> open</w:t>
            </w:r>
            <w:r w:rsidR="008506F5">
              <w:rPr>
                <w:color w:val="1E3242"/>
                <w:sz w:val="17"/>
              </w:rPr>
              <w:t>-</w:t>
            </w:r>
            <w:r w:rsidR="006463FE">
              <w:rPr>
                <w:color w:val="1E3242"/>
                <w:sz w:val="17"/>
              </w:rPr>
              <w:t>source components</w:t>
            </w:r>
            <w:r>
              <w:rPr>
                <w:color w:val="1E3242"/>
                <w:sz w:val="17"/>
              </w:rPr>
              <w:t xml:space="preserve"> are used</w:t>
            </w:r>
            <w:r w:rsidR="006463FE">
              <w:rPr>
                <w:color w:val="1E3242"/>
                <w:sz w:val="17"/>
              </w:rPr>
              <w:t xml:space="preserve"> to </w:t>
            </w:r>
            <w:r w:rsidR="00A93DDB">
              <w:rPr>
                <w:color w:val="1E3242"/>
                <w:sz w:val="17"/>
              </w:rPr>
              <w:t>illustrate</w:t>
            </w:r>
            <w:r w:rsidR="00F61F04">
              <w:rPr>
                <w:color w:val="1E3242"/>
                <w:sz w:val="17"/>
              </w:rPr>
              <w:t xml:space="preserve"> the end-to-end </w:t>
            </w:r>
            <w:r>
              <w:rPr>
                <w:color w:val="1E3242"/>
                <w:sz w:val="17"/>
              </w:rPr>
              <w:t>workflow</w:t>
            </w:r>
            <w:r w:rsidR="006463FE">
              <w:rPr>
                <w:color w:val="1E3242"/>
                <w:sz w:val="17"/>
              </w:rPr>
              <w:t>.  Neither the proprietary platforms nor the open</w:t>
            </w:r>
            <w:r w:rsidR="00A93DDB">
              <w:rPr>
                <w:color w:val="1E3242"/>
                <w:sz w:val="17"/>
              </w:rPr>
              <w:t>-</w:t>
            </w:r>
            <w:r w:rsidR="006463FE">
              <w:rPr>
                <w:color w:val="1E3242"/>
                <w:sz w:val="17"/>
              </w:rPr>
              <w:t>source components</w:t>
            </w:r>
            <w:r w:rsidR="00395FC0">
              <w:rPr>
                <w:color w:val="1E3242"/>
                <w:sz w:val="17"/>
              </w:rPr>
              <w:t xml:space="preserve"> are required </w:t>
            </w:r>
            <w:r w:rsidR="00A93DDB">
              <w:rPr>
                <w:color w:val="1E3242"/>
                <w:sz w:val="17"/>
              </w:rPr>
              <w:t>to implement</w:t>
            </w:r>
            <w:r w:rsidR="00395FC0">
              <w:rPr>
                <w:color w:val="1E3242"/>
                <w:sz w:val="17"/>
              </w:rPr>
              <w:t xml:space="preserve"> the architecture</w:t>
            </w:r>
          </w:p>
        </w:tc>
      </w:tr>
    </w:tbl>
    <w:p w14:paraId="5DAB6C7B" w14:textId="77777777" w:rsidR="00C12C0F" w:rsidRDefault="00C12C0F">
      <w:pPr>
        <w:spacing w:after="20"/>
        <w:rPr>
          <w:rFonts w:hint="eastAsia"/>
        </w:rPr>
      </w:pPr>
    </w:p>
    <w:p w14:paraId="2664F4B3" w14:textId="77777777" w:rsidR="00C12C0F" w:rsidRDefault="00395FC0">
      <w:pPr>
        <w:pStyle w:val="Heading1"/>
      </w:pPr>
      <w:r>
        <w:t>Executive Summary</w:t>
      </w:r>
    </w:p>
    <w:p w14:paraId="3E1FD5F0" w14:textId="3C1246B2" w:rsidR="00793040" w:rsidRDefault="00793040">
      <w:pPr>
        <w:rPr>
          <w:rFonts w:hint="eastAsia"/>
        </w:rPr>
      </w:pPr>
      <w:r>
        <w:t xml:space="preserve">This document </w:t>
      </w:r>
      <w:r w:rsidR="00DE06F5">
        <w:t xml:space="preserve">serves two complementary purposes: it </w:t>
      </w:r>
      <w:r>
        <w:t>defines a modular reference architecture for coordinating computational workflows across distributed biomedical data environments</w:t>
      </w:r>
      <w:r w:rsidR="00DE06F5">
        <w:t>, and it catalogs the open-source reference assets available to implement or extend that architecture.</w:t>
      </w:r>
      <w:r>
        <w:t xml:space="preserve"> The architecture keeps operational responsibility for source data and local execution within participating organizations while enabling a central service to define federated jobs, track execution, and receive contract-defined outputs.</w:t>
      </w:r>
    </w:p>
    <w:p w14:paraId="6F6EAA4B" w14:textId="2A350805" w:rsidR="00793040" w:rsidRDefault="005655B2">
      <w:pPr>
        <w:rPr>
          <w:rFonts w:hint="eastAsia"/>
        </w:rPr>
      </w:pPr>
      <w:r>
        <w:t xml:space="preserve">The document is </w:t>
      </w:r>
      <w:proofErr w:type="gramStart"/>
      <w:r>
        <w:t>intentionally product</w:t>
      </w:r>
      <w:proofErr w:type="gramEnd"/>
      <w:r>
        <w:t xml:space="preserve"> neutral while also providing a practical implementation resource. Section 5 identifies the published open-source components, metadata index, examples, and supporting utilities, with links to the public sources in Appendix B. ACR Connect, AI-LAB, and DART illustrate how these assets and contracts can be assembled with existing enterprise software into an end-to-end workflow. Conformant alternatives may replace any illustrative platform or </w:t>
      </w:r>
      <w:r w:rsidR="002A073A">
        <w:t>open-source</w:t>
      </w:r>
      <w:r>
        <w:t xml:space="preserve"> component.</w:t>
      </w:r>
    </w:p>
    <w:tbl>
      <w:tblPr>
        <w:tblW w:w="0" w:type="auto"/>
        <w:jc w:val="center"/>
        <w:tblLook w:val="04A0" w:firstRow="1" w:lastRow="0" w:firstColumn="1" w:lastColumn="0" w:noHBand="0" w:noVBand="1"/>
      </w:tblPr>
      <w:tblGrid>
        <w:gridCol w:w="10080"/>
      </w:tblGrid>
      <w:tr w:rsidR="00C12C0F" w14:paraId="0562EE18" w14:textId="77777777">
        <w:trPr>
          <w:jc w:val="center"/>
        </w:trPr>
        <w:tc>
          <w:tcPr>
            <w:tcW w:w="10080" w:type="dxa"/>
            <w:shd w:val="clear" w:color="auto" w:fill="EAF3F8"/>
            <w:tcMar>
              <w:top w:w="160" w:type="dxa"/>
              <w:left w:w="180" w:type="dxa"/>
              <w:bottom w:w="160" w:type="dxa"/>
              <w:right w:w="180" w:type="dxa"/>
            </w:tcMar>
          </w:tcPr>
          <w:p w14:paraId="1B814B0B" w14:textId="77777777" w:rsidR="00C12C0F" w:rsidRDefault="00395FC0">
            <w:pPr>
              <w:rPr>
                <w:rFonts w:hint="eastAsia"/>
              </w:rPr>
            </w:pPr>
            <w:r>
              <w:rPr>
                <w:b/>
                <w:color w:val="183B56"/>
                <w:sz w:val="21"/>
              </w:rPr>
              <w:t>Core architectural proposition</w:t>
            </w:r>
            <w:r>
              <w:rPr>
                <w:b/>
                <w:color w:val="183B56"/>
                <w:sz w:val="21"/>
              </w:rPr>
              <w:br/>
            </w:r>
            <w:r>
              <w:rPr>
                <w:color w:val="283C4B"/>
                <w:sz w:val="19"/>
              </w:rPr>
              <w:t>Contracts define interoperability. Components implement capabilities. Products assemble those capabilities into operational platforms. New implementations should be able to participate without adopting the complete ACR product stack.</w:t>
            </w:r>
          </w:p>
        </w:tc>
      </w:tr>
    </w:tbl>
    <w:p w14:paraId="02EB378F" w14:textId="77777777" w:rsidR="00C12C0F" w:rsidRDefault="00C12C0F">
      <w:pPr>
        <w:spacing w:after="20"/>
        <w:rPr>
          <w:rFonts w:hint="eastAsia"/>
        </w:rPr>
      </w:pPr>
    </w:p>
    <w:p w14:paraId="67DC5D1C" w14:textId="77777777" w:rsidR="00C12C0F" w:rsidRDefault="00395FC0">
      <w:pPr>
        <w:pStyle w:val="Heading1"/>
      </w:pPr>
      <w:r>
        <w:t>1. Purpose and Scope</w:t>
      </w:r>
    </w:p>
    <w:p w14:paraId="7D1F2F1F" w14:textId="77777777" w:rsidR="00C12C0F" w:rsidRDefault="00395FC0">
      <w:pPr>
        <w:rPr>
          <w:rFonts w:hint="eastAsia"/>
        </w:rPr>
      </w:pPr>
      <w:r>
        <w:t>The purpose of this reference architecture is to provide a common vocabulary, logical model, integration pattern, and set of contract boundaries for federated biomedical computation. It is designed to support data discovery and algorithm execution across multiple participating sites without making a particular central platform, local platform, repository, runtime, or transport mechanism mandatory.</w:t>
      </w:r>
    </w:p>
    <w:p w14:paraId="3FFC862D" w14:textId="77777777" w:rsidR="00C12C0F" w:rsidRDefault="00395FC0">
      <w:pPr>
        <w:pStyle w:val="Heading2"/>
      </w:pPr>
      <w:r>
        <w:t>1.1 In scope</w:t>
      </w:r>
    </w:p>
    <w:p w14:paraId="7088CCF7" w14:textId="77777777" w:rsidR="00C12C0F" w:rsidRDefault="00395FC0">
      <w:pPr>
        <w:pStyle w:val="ListBullet"/>
        <w:rPr>
          <w:rFonts w:hint="eastAsia"/>
        </w:rPr>
      </w:pPr>
      <w:r>
        <w:t>Creation and ingestion of conformant biomedical metadata indexes.</w:t>
      </w:r>
    </w:p>
    <w:p w14:paraId="15FAC669" w14:textId="77777777" w:rsidR="00C12C0F" w:rsidRDefault="00395FC0">
      <w:pPr>
        <w:pStyle w:val="ListBullet"/>
        <w:rPr>
          <w:rFonts w:hint="eastAsia"/>
        </w:rPr>
      </w:pPr>
      <w:r>
        <w:t>Central definition and decomposition of multi-site federated jobs.</w:t>
      </w:r>
    </w:p>
    <w:p w14:paraId="4DEAEB54" w14:textId="77777777" w:rsidR="00C12C0F" w:rsidRDefault="00395FC0">
      <w:pPr>
        <w:pStyle w:val="ListBullet"/>
        <w:rPr>
          <w:rFonts w:hint="eastAsia"/>
        </w:rPr>
      </w:pPr>
      <w:r>
        <w:t>Retrieval of site-specific jobs by trusted local agents.</w:t>
      </w:r>
    </w:p>
    <w:p w14:paraId="55E9EA77" w14:textId="77777777" w:rsidR="00C12C0F" w:rsidRDefault="00395FC0">
      <w:pPr>
        <w:pStyle w:val="ListBullet"/>
        <w:rPr>
          <w:rFonts w:hint="eastAsia"/>
        </w:rPr>
      </w:pPr>
      <w:r>
        <w:t>Local policy enforcement and execution of approved workloads.</w:t>
      </w:r>
    </w:p>
    <w:p w14:paraId="141C0475" w14:textId="77777777" w:rsidR="00C12C0F" w:rsidRDefault="00395FC0">
      <w:pPr>
        <w:pStyle w:val="ListBullet"/>
        <w:rPr>
          <w:rFonts w:hint="eastAsia"/>
        </w:rPr>
      </w:pPr>
      <w:r>
        <w:lastRenderedPageBreak/>
        <w:t>Continuous status reporting and contract-defined result return.</w:t>
      </w:r>
    </w:p>
    <w:p w14:paraId="3F7573BE" w14:textId="77777777" w:rsidR="00C12C0F" w:rsidRDefault="00395FC0">
      <w:pPr>
        <w:pStyle w:val="ListBullet"/>
        <w:rPr>
          <w:rFonts w:hint="eastAsia"/>
        </w:rPr>
      </w:pPr>
      <w:r>
        <w:t>Replaceability of implementations through shared metadata, job, status, result, error, and algorithm-package contracts.</w:t>
      </w:r>
    </w:p>
    <w:p w14:paraId="4433952A" w14:textId="77777777" w:rsidR="00C12C0F" w:rsidRDefault="00395FC0">
      <w:pPr>
        <w:pStyle w:val="ListBullet"/>
        <w:rPr>
          <w:rFonts w:hint="eastAsia"/>
        </w:rPr>
      </w:pPr>
      <w:r>
        <w:t>Cross-cutting security, privacy, provenance, governance, audit, and operational controls.</w:t>
      </w:r>
    </w:p>
    <w:p w14:paraId="63A2F47A" w14:textId="77777777" w:rsidR="00C12C0F" w:rsidRDefault="00395FC0">
      <w:pPr>
        <w:pStyle w:val="Heading2"/>
      </w:pPr>
      <w:r>
        <w:t>1.2 Out of scope</w:t>
      </w:r>
    </w:p>
    <w:p w14:paraId="3CDD1C31" w14:textId="77777777" w:rsidR="00C12C0F" w:rsidRDefault="00395FC0">
      <w:pPr>
        <w:pStyle w:val="ListBullet"/>
        <w:rPr>
          <w:rFonts w:hint="eastAsia"/>
        </w:rPr>
      </w:pPr>
      <w:r>
        <w:t>A requirement to deploy ACR Connect, AI-LAB, or DART.</w:t>
      </w:r>
    </w:p>
    <w:p w14:paraId="6F84F969" w14:textId="77777777" w:rsidR="00C12C0F" w:rsidRDefault="00395FC0">
      <w:pPr>
        <w:pStyle w:val="ListBullet"/>
        <w:rPr>
          <w:rFonts w:hint="eastAsia"/>
        </w:rPr>
      </w:pPr>
      <w:r>
        <w:t>A complete production security design or authorization policy for every deployment.</w:t>
      </w:r>
    </w:p>
    <w:p w14:paraId="7EA586DE" w14:textId="77777777" w:rsidR="00C12C0F" w:rsidRDefault="00395FC0">
      <w:pPr>
        <w:pStyle w:val="ListBullet"/>
        <w:rPr>
          <w:rFonts w:hint="eastAsia"/>
        </w:rPr>
      </w:pPr>
      <w:r>
        <w:t>A universal biomedical data model beyond the referenced ARPA-H-BDF metadata specification.</w:t>
      </w:r>
    </w:p>
    <w:p w14:paraId="174CFEFF" w14:textId="77777777" w:rsidR="00C12C0F" w:rsidRDefault="00395FC0">
      <w:pPr>
        <w:pStyle w:val="ListBullet"/>
        <w:rPr>
          <w:rFonts w:hint="eastAsia"/>
        </w:rPr>
      </w:pPr>
      <w:r>
        <w:t>A single mandated transport protocol, message broker, repository, cloud provider, or execution runtime.</w:t>
      </w:r>
    </w:p>
    <w:p w14:paraId="23447F97" w14:textId="77777777" w:rsidR="00C12C0F" w:rsidRDefault="00395FC0">
      <w:pPr>
        <w:pStyle w:val="ListBullet"/>
        <w:rPr>
          <w:rFonts w:hint="eastAsia"/>
        </w:rPr>
      </w:pPr>
      <w:r>
        <w:t>Transfer of source clinical data to a central environment unless separately authorized and designed.</w:t>
      </w:r>
    </w:p>
    <w:p w14:paraId="06BBA035" w14:textId="5534D201" w:rsidR="428A0D97" w:rsidRDefault="428A0D97" w:rsidP="417E1CBF">
      <w:pPr>
        <w:pStyle w:val="Heading2"/>
      </w:pPr>
      <w:r>
        <w:t>1.3 Definitions</w:t>
      </w:r>
    </w:p>
    <w:p w14:paraId="0A2FA296" w14:textId="61C895A9" w:rsidR="428A0D97" w:rsidRDefault="428A0D97" w:rsidP="417E1CBF">
      <w:pPr>
        <w:pStyle w:val="ListBullet"/>
        <w:rPr>
          <w:rFonts w:hint="eastAsia"/>
        </w:rPr>
      </w:pPr>
      <w:r w:rsidRPr="18CB0EDE">
        <w:t xml:space="preserve">DART </w:t>
      </w:r>
      <w:r w:rsidRPr="417E1CBF">
        <w:t xml:space="preserve">(Data Archive and Research Toolkit) - is a resource managed by the ACR to conduct research.   DART hosts a variety of open source and commercial tools for multi-modal research. In the context of creating federated jobs, DART is used as the </w:t>
      </w:r>
      <w:r w:rsidRPr="6101CDD3">
        <w:t xml:space="preserve">Central </w:t>
      </w:r>
      <w:r w:rsidRPr="4F91B92B">
        <w:t>Orchestrator</w:t>
      </w:r>
      <w:r w:rsidRPr="154D6D6F">
        <w:t>.</w:t>
      </w:r>
    </w:p>
    <w:p w14:paraId="1CAC532F" w14:textId="04013FE8" w:rsidR="18CB0EDE" w:rsidRDefault="428A0D97" w:rsidP="18CB0EDE">
      <w:pPr>
        <w:pStyle w:val="ListBullet"/>
        <w:rPr>
          <w:rFonts w:hint="eastAsia"/>
        </w:rPr>
      </w:pPr>
      <w:r w:rsidRPr="0D763107">
        <w:t>ACR CONNECT</w:t>
      </w:r>
      <w:r w:rsidRPr="5BC67C6C">
        <w:t xml:space="preserve"> – is an infrastructure managed by the ACR that includes a variety of cloud and local components designed to facilitate bi-directional communication including local data ingestion, data processing, data upload, etc. In the context of federated learning, ACR Connect serves as an interface to local systems and a “host” for the relevant workflow applications (e.g. AI-Lab, Federated Learning).</w:t>
      </w:r>
    </w:p>
    <w:p w14:paraId="121EC2D3" w14:textId="711BF246" w:rsidR="572B6A28" w:rsidRDefault="1D11DA5E" w:rsidP="572B6A28">
      <w:pPr>
        <w:pStyle w:val="ListBullet"/>
        <w:rPr>
          <w:rFonts w:hint="eastAsia"/>
        </w:rPr>
      </w:pPr>
      <w:r w:rsidRPr="6B4E1C91">
        <w:t xml:space="preserve">AI-LAB – </w:t>
      </w:r>
      <w:r w:rsidRPr="10577996">
        <w:t xml:space="preserve">is an </w:t>
      </w:r>
      <w:r w:rsidRPr="6B4E1C91">
        <w:t>application hosted on ACR</w:t>
      </w:r>
      <w:r w:rsidRPr="10577996">
        <w:t xml:space="preserve"> </w:t>
      </w:r>
      <w:r w:rsidRPr="6B4E1C91">
        <w:t xml:space="preserve">Connect in the context of Federated Learning.  It serves as the local performer that receives and </w:t>
      </w:r>
      <w:r w:rsidRPr="22BC086D">
        <w:t>executes</w:t>
      </w:r>
      <w:r w:rsidRPr="6B4E1C91">
        <w:t xml:space="preserve"> federated jobs on behalf of a </w:t>
      </w:r>
      <w:r w:rsidRPr="22BC086D">
        <w:t>Central</w:t>
      </w:r>
      <w:r w:rsidRPr="6B4E1C91">
        <w:t xml:space="preserve"> </w:t>
      </w:r>
      <w:r w:rsidRPr="733C4B4C">
        <w:t>Orchestrator</w:t>
      </w:r>
      <w:r w:rsidRPr="6B4E1C91">
        <w:t>.</w:t>
      </w:r>
    </w:p>
    <w:p w14:paraId="07999E67" w14:textId="3E353509" w:rsidR="733C4B4C" w:rsidRDefault="77B74EFF" w:rsidP="733C4B4C">
      <w:pPr>
        <w:pStyle w:val="ListBullet"/>
        <w:rPr>
          <w:rFonts w:hint="eastAsia"/>
        </w:rPr>
      </w:pPr>
      <w:r w:rsidRPr="435AB84F">
        <w:t xml:space="preserve">Federated Network – </w:t>
      </w:r>
      <w:r w:rsidR="6C95029F" w:rsidRPr="7A5AA641">
        <w:t xml:space="preserve">is </w:t>
      </w:r>
      <w:r w:rsidRPr="435AB84F">
        <w:t>an application designed to index and manage local data repositories for use in federated workflow.</w:t>
      </w:r>
      <w:r w:rsidR="5FF69468" w:rsidRPr="7176EF31">
        <w:t xml:space="preserve">  </w:t>
      </w:r>
      <w:r w:rsidR="7A1C0EA3" w:rsidRPr="28B7C134">
        <w:t xml:space="preserve">The Federated Network application </w:t>
      </w:r>
      <w:r w:rsidR="5FF69468" w:rsidRPr="28B7C134">
        <w:t>servers</w:t>
      </w:r>
      <w:r w:rsidR="5FF69468" w:rsidRPr="6FD4E44C">
        <w:t xml:space="preserve"> the roles of index creation and </w:t>
      </w:r>
      <w:r w:rsidR="5FF69468" w:rsidRPr="31E5188E">
        <w:t xml:space="preserve">metadata </w:t>
      </w:r>
      <w:r w:rsidR="5FF69468" w:rsidRPr="211AC7DE">
        <w:t>ingestion.</w:t>
      </w:r>
    </w:p>
    <w:p w14:paraId="66D9FBCE" w14:textId="130E9649" w:rsidR="4A744926" w:rsidRDefault="4A744926" w:rsidP="3A487682">
      <w:pPr>
        <w:pStyle w:val="ListBullet"/>
        <w:numPr>
          <w:ilvl w:val="0"/>
          <w:numId w:val="0"/>
        </w:numPr>
        <w:ind w:left="720"/>
        <w:rPr>
          <w:rFonts w:hint="eastAsia"/>
        </w:rPr>
      </w:pPr>
    </w:p>
    <w:p w14:paraId="14EA779C" w14:textId="3A0032DC" w:rsidR="0DADEDC5" w:rsidRDefault="46A60831" w:rsidP="0DADEDC5">
      <w:pPr>
        <w:pStyle w:val="ListBullet"/>
        <w:numPr>
          <w:ilvl w:val="0"/>
          <w:numId w:val="0"/>
        </w:numPr>
        <w:rPr>
          <w:rFonts w:hint="eastAsia"/>
        </w:rPr>
      </w:pPr>
      <w:r w:rsidRPr="4A744926">
        <w:t>For additional terminology, see Appendix A.</w:t>
      </w:r>
    </w:p>
    <w:p w14:paraId="30D9BB81" w14:textId="3A5B01CF" w:rsidR="417E1CBF" w:rsidRDefault="417E1CBF" w:rsidP="417E1CBF">
      <w:pPr>
        <w:pStyle w:val="ListBullet"/>
        <w:numPr>
          <w:ilvl w:val="0"/>
          <w:numId w:val="0"/>
        </w:numPr>
        <w:rPr>
          <w:rFonts w:hint="eastAsia"/>
        </w:rPr>
      </w:pPr>
    </w:p>
    <w:p w14:paraId="6A05A809" w14:textId="77777777" w:rsidR="00C12C0F" w:rsidRDefault="00395FC0">
      <w:pPr>
        <w:rPr>
          <w:rFonts w:hint="eastAsia"/>
        </w:rPr>
      </w:pPr>
      <w:r>
        <w:br w:type="page"/>
      </w:r>
    </w:p>
    <w:p w14:paraId="4F1AB1F6" w14:textId="77777777" w:rsidR="00C12C0F" w:rsidRDefault="00395FC0">
      <w:pPr>
        <w:pStyle w:val="Heading1"/>
      </w:pPr>
      <w:r>
        <w:lastRenderedPageBreak/>
        <w:t>2. Reference Architecture Overview</w:t>
      </w:r>
    </w:p>
    <w:p w14:paraId="6B537319" w14:textId="03C36A0F" w:rsidR="00E32BB0" w:rsidRPr="00E32BB0" w:rsidRDefault="00E32BB0" w:rsidP="00E32BB0">
      <w:pPr>
        <w:jc w:val="center"/>
        <w:rPr>
          <w:rFonts w:hint="eastAsia"/>
        </w:rPr>
      </w:pPr>
      <w:r w:rsidRPr="00E32BB0">
        <w:rPr>
          <w:noProof/>
        </w:rPr>
        <w:drawing>
          <wp:inline distT="0" distB="0" distL="0" distR="0" wp14:anchorId="63EF3865" wp14:editId="04351716">
            <wp:extent cx="6400800" cy="4267200"/>
            <wp:effectExtent l="0" t="0" r="0" b="0"/>
            <wp:docPr id="10177352" name="Picture 5">
              <a:extLst xmlns:a="http://schemas.openxmlformats.org/drawingml/2006/main">
                <a:ext uri="{FF2B5EF4-FFF2-40B4-BE49-F238E27FC236}">
                  <a16:creationId xmlns:a16="http://schemas.microsoft.com/office/drawing/2014/main" id="{29E21F8E-5655-4500-9147-452994AD89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267200"/>
                    </a:xfrm>
                    <a:prstGeom prst="rect">
                      <a:avLst/>
                    </a:prstGeom>
                    <a:noFill/>
                    <a:ln>
                      <a:noFill/>
                    </a:ln>
                  </pic:spPr>
                </pic:pic>
              </a:graphicData>
            </a:graphic>
          </wp:inline>
        </w:drawing>
      </w:r>
    </w:p>
    <w:p w14:paraId="5A39BBE3" w14:textId="5927C07C" w:rsidR="00C12C0F" w:rsidRDefault="00C12C0F" w:rsidP="0028345F">
      <w:pPr>
        <w:jc w:val="center"/>
        <w:rPr>
          <w:rFonts w:hint="eastAsia"/>
        </w:rPr>
      </w:pPr>
    </w:p>
    <w:p w14:paraId="795EF16C" w14:textId="77777777" w:rsidR="00C12C0F" w:rsidRDefault="00395FC0">
      <w:pPr>
        <w:pStyle w:val="Caption"/>
        <w:jc w:val="center"/>
        <w:rPr>
          <w:rFonts w:hint="eastAsia"/>
        </w:rPr>
      </w:pPr>
      <w:r>
        <w:t>Figure 1. Logical reference architecture. Product names are shown only as example implementations.</w:t>
      </w:r>
    </w:p>
    <w:p w14:paraId="20AF40FA" w14:textId="77777777" w:rsidR="00C12C0F" w:rsidRDefault="00395FC0">
      <w:pPr>
        <w:rPr>
          <w:rFonts w:hint="eastAsia"/>
        </w:rPr>
      </w:pPr>
      <w:r>
        <w:t>The logical architecture separates central coordination from site-level data access and execution. The contract layer defines the information exchanged between independently governed implementations. The security and governance plane applies across all components and interfaces.</w:t>
      </w:r>
    </w:p>
    <w:p w14:paraId="2516CBC9" w14:textId="77777777" w:rsidR="00C12C0F" w:rsidRDefault="00395FC0">
      <w:pPr>
        <w:pStyle w:val="Heading1"/>
      </w:pPr>
      <w:r>
        <w:t>3. Architectural Principles</w:t>
      </w:r>
    </w:p>
    <w:tbl>
      <w:tblPr>
        <w:tblStyle w:val="TableGrid"/>
        <w:tblW w:w="0" w:type="auto"/>
        <w:jc w:val="center"/>
        <w:tblLook w:val="04A0" w:firstRow="1" w:lastRow="0" w:firstColumn="1" w:lastColumn="0" w:noHBand="0" w:noVBand="1"/>
      </w:tblPr>
      <w:tblGrid>
        <w:gridCol w:w="2520"/>
        <w:gridCol w:w="7272"/>
      </w:tblGrid>
      <w:tr w:rsidR="00C12C0F" w14:paraId="3FEB6B40" w14:textId="77777777">
        <w:trPr>
          <w:tblHeader/>
          <w:jc w:val="center"/>
        </w:trPr>
        <w:tc>
          <w:tcPr>
            <w:tcW w:w="2520" w:type="dxa"/>
            <w:shd w:val="clear" w:color="auto" w:fill="183B56"/>
            <w:tcMar>
              <w:top w:w="100" w:type="dxa"/>
              <w:left w:w="120" w:type="dxa"/>
              <w:bottom w:w="100" w:type="dxa"/>
              <w:right w:w="120" w:type="dxa"/>
            </w:tcMar>
            <w:vAlign w:val="center"/>
          </w:tcPr>
          <w:p w14:paraId="0BD5E4FE" w14:textId="77777777" w:rsidR="00C12C0F" w:rsidRDefault="00395FC0">
            <w:pPr>
              <w:rPr>
                <w:rFonts w:hint="eastAsia"/>
              </w:rPr>
            </w:pPr>
            <w:r>
              <w:rPr>
                <w:b/>
                <w:color w:val="FFFFFF"/>
                <w:sz w:val="18"/>
              </w:rPr>
              <w:t>Principle</w:t>
            </w:r>
          </w:p>
        </w:tc>
        <w:tc>
          <w:tcPr>
            <w:tcW w:w="7272" w:type="dxa"/>
            <w:shd w:val="clear" w:color="auto" w:fill="183B56"/>
            <w:tcMar>
              <w:top w:w="100" w:type="dxa"/>
              <w:left w:w="120" w:type="dxa"/>
              <w:bottom w:w="100" w:type="dxa"/>
              <w:right w:w="120" w:type="dxa"/>
            </w:tcMar>
            <w:vAlign w:val="center"/>
          </w:tcPr>
          <w:p w14:paraId="7E42AD59" w14:textId="77777777" w:rsidR="00C12C0F" w:rsidRDefault="00395FC0">
            <w:pPr>
              <w:rPr>
                <w:rFonts w:hint="eastAsia"/>
              </w:rPr>
            </w:pPr>
            <w:r>
              <w:rPr>
                <w:b/>
                <w:color w:val="FFFFFF"/>
                <w:sz w:val="18"/>
              </w:rPr>
              <w:t>Implication</w:t>
            </w:r>
          </w:p>
        </w:tc>
      </w:tr>
      <w:tr w:rsidR="00C12C0F" w14:paraId="08638B24" w14:textId="77777777">
        <w:trPr>
          <w:jc w:val="center"/>
        </w:trPr>
        <w:tc>
          <w:tcPr>
            <w:tcW w:w="2520" w:type="dxa"/>
            <w:tcMar>
              <w:top w:w="100" w:type="dxa"/>
              <w:left w:w="120" w:type="dxa"/>
              <w:bottom w:w="100" w:type="dxa"/>
              <w:right w:w="120" w:type="dxa"/>
            </w:tcMar>
            <w:vAlign w:val="center"/>
          </w:tcPr>
          <w:p w14:paraId="5102E7DE" w14:textId="77777777" w:rsidR="00C12C0F" w:rsidRDefault="00395FC0">
            <w:pPr>
              <w:spacing w:after="0"/>
              <w:rPr>
                <w:rFonts w:hint="eastAsia"/>
              </w:rPr>
            </w:pPr>
            <w:r>
              <w:rPr>
                <w:color w:val="1E3242"/>
                <w:sz w:val="17"/>
              </w:rPr>
              <w:t>Contract-first interoperability</w:t>
            </w:r>
          </w:p>
        </w:tc>
        <w:tc>
          <w:tcPr>
            <w:tcW w:w="7272" w:type="dxa"/>
            <w:tcMar>
              <w:top w:w="100" w:type="dxa"/>
              <w:left w:w="120" w:type="dxa"/>
              <w:bottom w:w="100" w:type="dxa"/>
              <w:right w:w="120" w:type="dxa"/>
            </w:tcMar>
            <w:vAlign w:val="center"/>
          </w:tcPr>
          <w:p w14:paraId="60750B7B" w14:textId="77777777" w:rsidR="00C12C0F" w:rsidRDefault="00395FC0">
            <w:pPr>
              <w:spacing w:after="0"/>
              <w:rPr>
                <w:rFonts w:hint="eastAsia"/>
              </w:rPr>
            </w:pPr>
            <w:r>
              <w:rPr>
                <w:color w:val="1E3242"/>
                <w:sz w:val="17"/>
              </w:rPr>
              <w:t>Shared schemas and behavior are governed independently from individual implementations.</w:t>
            </w:r>
          </w:p>
        </w:tc>
      </w:tr>
      <w:tr w:rsidR="00C12C0F" w14:paraId="7DE019FC" w14:textId="77777777">
        <w:trPr>
          <w:jc w:val="center"/>
        </w:trPr>
        <w:tc>
          <w:tcPr>
            <w:tcW w:w="2520" w:type="dxa"/>
            <w:shd w:val="clear" w:color="auto" w:fill="F3F6F8"/>
            <w:tcMar>
              <w:top w:w="100" w:type="dxa"/>
              <w:left w:w="120" w:type="dxa"/>
              <w:bottom w:w="100" w:type="dxa"/>
              <w:right w:w="120" w:type="dxa"/>
            </w:tcMar>
            <w:vAlign w:val="center"/>
          </w:tcPr>
          <w:p w14:paraId="61D148AF" w14:textId="77777777" w:rsidR="00C12C0F" w:rsidRDefault="00395FC0">
            <w:pPr>
              <w:spacing w:after="0"/>
              <w:rPr>
                <w:rFonts w:hint="eastAsia"/>
              </w:rPr>
            </w:pPr>
            <w:r>
              <w:rPr>
                <w:color w:val="1E3242"/>
                <w:sz w:val="17"/>
              </w:rPr>
              <w:t>Implementation neutrality</w:t>
            </w:r>
          </w:p>
        </w:tc>
        <w:tc>
          <w:tcPr>
            <w:tcW w:w="7272" w:type="dxa"/>
            <w:shd w:val="clear" w:color="auto" w:fill="F3F6F8"/>
            <w:tcMar>
              <w:top w:w="100" w:type="dxa"/>
              <w:left w:w="120" w:type="dxa"/>
              <w:bottom w:w="100" w:type="dxa"/>
              <w:right w:w="120" w:type="dxa"/>
            </w:tcMar>
            <w:vAlign w:val="center"/>
          </w:tcPr>
          <w:p w14:paraId="2CD04384" w14:textId="77777777" w:rsidR="00C12C0F" w:rsidRDefault="00395FC0">
            <w:pPr>
              <w:spacing w:after="0"/>
              <w:rPr>
                <w:rFonts w:hint="eastAsia"/>
              </w:rPr>
            </w:pPr>
            <w:r>
              <w:rPr>
                <w:color w:val="1E3242"/>
                <w:sz w:val="17"/>
              </w:rPr>
              <w:t>Central platforms, local agents, repositories, and runtimes are replaceable when they conform to the applicable contracts.</w:t>
            </w:r>
          </w:p>
        </w:tc>
      </w:tr>
      <w:tr w:rsidR="00C12C0F" w14:paraId="57EF35CB" w14:textId="77777777">
        <w:trPr>
          <w:jc w:val="center"/>
        </w:trPr>
        <w:tc>
          <w:tcPr>
            <w:tcW w:w="2520" w:type="dxa"/>
            <w:tcMar>
              <w:top w:w="100" w:type="dxa"/>
              <w:left w:w="120" w:type="dxa"/>
              <w:bottom w:w="100" w:type="dxa"/>
              <w:right w:w="120" w:type="dxa"/>
            </w:tcMar>
            <w:vAlign w:val="center"/>
          </w:tcPr>
          <w:p w14:paraId="63118305" w14:textId="77777777" w:rsidR="00C12C0F" w:rsidRDefault="00395FC0">
            <w:pPr>
              <w:spacing w:after="0"/>
              <w:rPr>
                <w:rFonts w:hint="eastAsia"/>
              </w:rPr>
            </w:pPr>
            <w:r>
              <w:rPr>
                <w:color w:val="1E3242"/>
                <w:sz w:val="17"/>
              </w:rPr>
              <w:t>Locality of governed data</w:t>
            </w:r>
          </w:p>
        </w:tc>
        <w:tc>
          <w:tcPr>
            <w:tcW w:w="7272" w:type="dxa"/>
            <w:tcMar>
              <w:top w:w="100" w:type="dxa"/>
              <w:left w:w="120" w:type="dxa"/>
              <w:bottom w:w="100" w:type="dxa"/>
              <w:right w:w="120" w:type="dxa"/>
            </w:tcMar>
            <w:vAlign w:val="center"/>
          </w:tcPr>
          <w:p w14:paraId="697BE56E" w14:textId="77777777" w:rsidR="00C12C0F" w:rsidRDefault="00395FC0">
            <w:pPr>
              <w:spacing w:after="0"/>
              <w:rPr>
                <w:rFonts w:hint="eastAsia"/>
              </w:rPr>
            </w:pPr>
            <w:r>
              <w:rPr>
                <w:color w:val="1E3242"/>
                <w:sz w:val="17"/>
              </w:rPr>
              <w:t>Source imaging and clinical data are processed within the participating environment unless an approved design explicitly permits movement.</w:t>
            </w:r>
          </w:p>
        </w:tc>
      </w:tr>
      <w:tr w:rsidR="00C12C0F" w14:paraId="242FBF6E" w14:textId="77777777">
        <w:trPr>
          <w:jc w:val="center"/>
        </w:trPr>
        <w:tc>
          <w:tcPr>
            <w:tcW w:w="2520" w:type="dxa"/>
            <w:shd w:val="clear" w:color="auto" w:fill="F3F6F8"/>
            <w:tcMar>
              <w:top w:w="100" w:type="dxa"/>
              <w:left w:w="120" w:type="dxa"/>
              <w:bottom w:w="100" w:type="dxa"/>
              <w:right w:w="120" w:type="dxa"/>
            </w:tcMar>
            <w:vAlign w:val="center"/>
          </w:tcPr>
          <w:p w14:paraId="5D3EBDB0" w14:textId="77777777" w:rsidR="00C12C0F" w:rsidRDefault="00395FC0">
            <w:pPr>
              <w:spacing w:after="0"/>
              <w:rPr>
                <w:rFonts w:hint="eastAsia"/>
              </w:rPr>
            </w:pPr>
            <w:r>
              <w:rPr>
                <w:color w:val="1E3242"/>
                <w:sz w:val="17"/>
              </w:rPr>
              <w:t>Separation of planes</w:t>
            </w:r>
          </w:p>
        </w:tc>
        <w:tc>
          <w:tcPr>
            <w:tcW w:w="7272" w:type="dxa"/>
            <w:shd w:val="clear" w:color="auto" w:fill="F3F6F8"/>
            <w:tcMar>
              <w:top w:w="100" w:type="dxa"/>
              <w:left w:w="120" w:type="dxa"/>
              <w:bottom w:w="100" w:type="dxa"/>
              <w:right w:w="120" w:type="dxa"/>
            </w:tcMar>
            <w:vAlign w:val="center"/>
          </w:tcPr>
          <w:p w14:paraId="4B2224BF" w14:textId="77777777" w:rsidR="00C12C0F" w:rsidRDefault="00395FC0">
            <w:pPr>
              <w:spacing w:after="0"/>
              <w:rPr>
                <w:rFonts w:hint="eastAsia"/>
              </w:rPr>
            </w:pPr>
            <w:r>
              <w:rPr>
                <w:color w:val="1E3242"/>
                <w:sz w:val="17"/>
              </w:rPr>
              <w:t>Metadata handling, orchestration, execution, and governance responsibilities remain distinguishable even when implemented in one product.</w:t>
            </w:r>
          </w:p>
        </w:tc>
      </w:tr>
      <w:tr w:rsidR="00C12C0F" w14:paraId="521FD29B" w14:textId="77777777">
        <w:trPr>
          <w:jc w:val="center"/>
        </w:trPr>
        <w:tc>
          <w:tcPr>
            <w:tcW w:w="2520" w:type="dxa"/>
            <w:tcMar>
              <w:top w:w="100" w:type="dxa"/>
              <w:left w:w="120" w:type="dxa"/>
              <w:bottom w:w="100" w:type="dxa"/>
              <w:right w:w="120" w:type="dxa"/>
            </w:tcMar>
            <w:vAlign w:val="center"/>
          </w:tcPr>
          <w:p w14:paraId="331A0897" w14:textId="77777777" w:rsidR="00C12C0F" w:rsidRDefault="00395FC0">
            <w:pPr>
              <w:spacing w:after="0"/>
              <w:rPr>
                <w:rFonts w:hint="eastAsia"/>
              </w:rPr>
            </w:pPr>
            <w:r>
              <w:rPr>
                <w:color w:val="1E3242"/>
                <w:sz w:val="17"/>
              </w:rPr>
              <w:t>Least necessary exchange</w:t>
            </w:r>
          </w:p>
        </w:tc>
        <w:tc>
          <w:tcPr>
            <w:tcW w:w="7272" w:type="dxa"/>
            <w:tcMar>
              <w:top w:w="100" w:type="dxa"/>
              <w:left w:w="120" w:type="dxa"/>
              <w:bottom w:w="100" w:type="dxa"/>
              <w:right w:w="120" w:type="dxa"/>
            </w:tcMar>
            <w:vAlign w:val="center"/>
          </w:tcPr>
          <w:p w14:paraId="5034C855" w14:textId="77777777" w:rsidR="00C12C0F" w:rsidRDefault="00395FC0">
            <w:pPr>
              <w:spacing w:after="0"/>
              <w:rPr>
                <w:rFonts w:hint="eastAsia"/>
              </w:rPr>
            </w:pPr>
            <w:r>
              <w:rPr>
                <w:color w:val="1E3242"/>
                <w:sz w:val="17"/>
              </w:rPr>
              <w:t>Interfaces expose only the job instructions, status, errors, provenance, and results required for the authorized workflow.</w:t>
            </w:r>
          </w:p>
        </w:tc>
      </w:tr>
      <w:tr w:rsidR="00C12C0F" w14:paraId="38BFE037" w14:textId="77777777">
        <w:trPr>
          <w:jc w:val="center"/>
        </w:trPr>
        <w:tc>
          <w:tcPr>
            <w:tcW w:w="2520" w:type="dxa"/>
            <w:shd w:val="clear" w:color="auto" w:fill="F3F6F8"/>
            <w:tcMar>
              <w:top w:w="100" w:type="dxa"/>
              <w:left w:w="120" w:type="dxa"/>
              <w:bottom w:w="100" w:type="dxa"/>
              <w:right w:w="120" w:type="dxa"/>
            </w:tcMar>
            <w:vAlign w:val="center"/>
          </w:tcPr>
          <w:p w14:paraId="33267DA2" w14:textId="77777777" w:rsidR="00C12C0F" w:rsidRDefault="00395FC0">
            <w:pPr>
              <w:spacing w:after="0"/>
              <w:rPr>
                <w:rFonts w:hint="eastAsia"/>
              </w:rPr>
            </w:pPr>
            <w:r>
              <w:rPr>
                <w:color w:val="1E3242"/>
                <w:sz w:val="17"/>
              </w:rPr>
              <w:lastRenderedPageBreak/>
              <w:t>Versioned evolution</w:t>
            </w:r>
          </w:p>
        </w:tc>
        <w:tc>
          <w:tcPr>
            <w:tcW w:w="7272" w:type="dxa"/>
            <w:shd w:val="clear" w:color="auto" w:fill="F3F6F8"/>
            <w:tcMar>
              <w:top w:w="100" w:type="dxa"/>
              <w:left w:w="120" w:type="dxa"/>
              <w:bottom w:w="100" w:type="dxa"/>
              <w:right w:w="120" w:type="dxa"/>
            </w:tcMar>
            <w:vAlign w:val="center"/>
          </w:tcPr>
          <w:p w14:paraId="2C56F005" w14:textId="77777777" w:rsidR="00C12C0F" w:rsidRDefault="00395FC0">
            <w:pPr>
              <w:spacing w:after="0"/>
              <w:rPr>
                <w:rFonts w:hint="eastAsia"/>
              </w:rPr>
            </w:pPr>
            <w:r>
              <w:rPr>
                <w:color w:val="1E3242"/>
                <w:sz w:val="17"/>
              </w:rPr>
              <w:t>Contracts carry explicit versions and compatibility rules so that producers and consumers can evolve independently.</w:t>
            </w:r>
          </w:p>
        </w:tc>
      </w:tr>
      <w:tr w:rsidR="00C12C0F" w14:paraId="7D2AAC48" w14:textId="77777777">
        <w:trPr>
          <w:jc w:val="center"/>
        </w:trPr>
        <w:tc>
          <w:tcPr>
            <w:tcW w:w="2520" w:type="dxa"/>
            <w:tcMar>
              <w:top w:w="100" w:type="dxa"/>
              <w:left w:w="120" w:type="dxa"/>
              <w:bottom w:w="100" w:type="dxa"/>
              <w:right w:w="120" w:type="dxa"/>
            </w:tcMar>
            <w:vAlign w:val="center"/>
          </w:tcPr>
          <w:p w14:paraId="6995F044" w14:textId="77777777" w:rsidR="00C12C0F" w:rsidRDefault="00395FC0">
            <w:pPr>
              <w:spacing w:after="0"/>
              <w:rPr>
                <w:rFonts w:hint="eastAsia"/>
              </w:rPr>
            </w:pPr>
            <w:r>
              <w:rPr>
                <w:color w:val="1E3242"/>
                <w:sz w:val="17"/>
              </w:rPr>
              <w:t>Observable operation</w:t>
            </w:r>
          </w:p>
        </w:tc>
        <w:tc>
          <w:tcPr>
            <w:tcW w:w="7272" w:type="dxa"/>
            <w:tcMar>
              <w:top w:w="100" w:type="dxa"/>
              <w:left w:w="120" w:type="dxa"/>
              <w:bottom w:w="100" w:type="dxa"/>
              <w:right w:w="120" w:type="dxa"/>
            </w:tcMar>
            <w:vAlign w:val="center"/>
          </w:tcPr>
          <w:p w14:paraId="08B65C60" w14:textId="77777777" w:rsidR="00C12C0F" w:rsidRDefault="00395FC0">
            <w:pPr>
              <w:spacing w:after="0"/>
              <w:rPr>
                <w:rFonts w:hint="eastAsia"/>
              </w:rPr>
            </w:pPr>
            <w:r>
              <w:rPr>
                <w:color w:val="1E3242"/>
                <w:sz w:val="17"/>
              </w:rPr>
              <w:t>Job state, execution state, errors, provenance, and audit events are visible enough to support operations and accountability.</w:t>
            </w:r>
          </w:p>
        </w:tc>
      </w:tr>
      <w:tr w:rsidR="00C12C0F" w14:paraId="6F1E99CA" w14:textId="77777777">
        <w:trPr>
          <w:jc w:val="center"/>
        </w:trPr>
        <w:tc>
          <w:tcPr>
            <w:tcW w:w="2520" w:type="dxa"/>
            <w:shd w:val="clear" w:color="auto" w:fill="F3F6F8"/>
            <w:tcMar>
              <w:top w:w="100" w:type="dxa"/>
              <w:left w:w="120" w:type="dxa"/>
              <w:bottom w:w="100" w:type="dxa"/>
              <w:right w:w="120" w:type="dxa"/>
            </w:tcMar>
            <w:vAlign w:val="center"/>
          </w:tcPr>
          <w:p w14:paraId="40288446" w14:textId="77777777" w:rsidR="00C12C0F" w:rsidRDefault="00395FC0">
            <w:pPr>
              <w:spacing w:after="0"/>
              <w:rPr>
                <w:rFonts w:hint="eastAsia"/>
              </w:rPr>
            </w:pPr>
            <w:r>
              <w:rPr>
                <w:color w:val="1E3242"/>
                <w:sz w:val="17"/>
              </w:rPr>
              <w:t>Policy at the site boundary</w:t>
            </w:r>
          </w:p>
        </w:tc>
        <w:tc>
          <w:tcPr>
            <w:tcW w:w="7272" w:type="dxa"/>
            <w:shd w:val="clear" w:color="auto" w:fill="F3F6F8"/>
            <w:tcMar>
              <w:top w:w="100" w:type="dxa"/>
              <w:left w:w="120" w:type="dxa"/>
              <w:bottom w:w="100" w:type="dxa"/>
              <w:right w:w="120" w:type="dxa"/>
            </w:tcMar>
            <w:vAlign w:val="center"/>
          </w:tcPr>
          <w:p w14:paraId="4714AF08" w14:textId="77777777" w:rsidR="00C12C0F" w:rsidRDefault="00395FC0">
            <w:pPr>
              <w:spacing w:after="0"/>
              <w:rPr>
                <w:rFonts w:hint="eastAsia"/>
              </w:rPr>
            </w:pPr>
            <w:r>
              <w:rPr>
                <w:color w:val="1E3242"/>
                <w:sz w:val="17"/>
              </w:rPr>
              <w:t>Each participating organization retains the ability to validate, approve, reject, or constrain work before local execution.</w:t>
            </w:r>
          </w:p>
        </w:tc>
      </w:tr>
    </w:tbl>
    <w:p w14:paraId="41C8F396" w14:textId="77777777" w:rsidR="00C12C0F" w:rsidRDefault="00C12C0F">
      <w:pPr>
        <w:spacing w:after="20"/>
        <w:rPr>
          <w:rFonts w:hint="eastAsia"/>
        </w:rPr>
      </w:pPr>
    </w:p>
    <w:p w14:paraId="42518660" w14:textId="77777777" w:rsidR="00C12C0F" w:rsidRDefault="00395FC0">
      <w:pPr>
        <w:pStyle w:val="Heading1"/>
      </w:pPr>
      <w:r>
        <w:t>4. Architecture Planes and Responsibilities</w:t>
      </w:r>
    </w:p>
    <w:p w14:paraId="3DE3205B" w14:textId="77777777" w:rsidR="00C12C0F" w:rsidRDefault="00395FC0">
      <w:pPr>
        <w:pStyle w:val="Heading2"/>
      </w:pPr>
      <w:r>
        <w:t>4.1 Data plane</w:t>
      </w:r>
    </w:p>
    <w:p w14:paraId="33274A90" w14:textId="77777777" w:rsidR="00C12C0F" w:rsidRDefault="00395FC0">
      <w:pPr>
        <w:rPr>
          <w:rFonts w:hint="eastAsia"/>
        </w:rPr>
      </w:pPr>
      <w:r>
        <w:t>The data plane prepares, indexes, locates, transforms, and supplies authorized local data to approved computational workloads. The data plane includes source systems, metadata extraction, metadata conformance, index ingestion, searchable repositories, local cohort resolution, and optional de-identification or transformation services.</w:t>
      </w:r>
    </w:p>
    <w:p w14:paraId="18A001FE" w14:textId="77777777" w:rsidR="00C12C0F" w:rsidRDefault="00395FC0">
      <w:pPr>
        <w:pStyle w:val="ListBullet"/>
        <w:rPr>
          <w:rFonts w:hint="eastAsia"/>
        </w:rPr>
      </w:pPr>
      <w:r>
        <w:t>Access local DICOM objects, reports, and other approved biomedical sources.</w:t>
      </w:r>
    </w:p>
    <w:p w14:paraId="782B86D0" w14:textId="77777777" w:rsidR="00C12C0F" w:rsidRDefault="00395FC0">
      <w:pPr>
        <w:pStyle w:val="ListBullet"/>
        <w:rPr>
          <w:rFonts w:hint="eastAsia"/>
        </w:rPr>
      </w:pPr>
      <w:r>
        <w:t>Extract and normalize metadata into a shared specification.</w:t>
      </w:r>
    </w:p>
    <w:p w14:paraId="28E847B9" w14:textId="77777777" w:rsidR="00C12C0F" w:rsidRDefault="00395FC0">
      <w:pPr>
        <w:pStyle w:val="ListBullet"/>
        <w:rPr>
          <w:rFonts w:hint="eastAsia"/>
        </w:rPr>
      </w:pPr>
      <w:r>
        <w:t>Store and query metadata within a locally governed repository.</w:t>
      </w:r>
    </w:p>
    <w:p w14:paraId="799C190F" w14:textId="77777777" w:rsidR="00C12C0F" w:rsidRDefault="00395FC0">
      <w:pPr>
        <w:pStyle w:val="ListBullet"/>
        <w:rPr>
          <w:rFonts w:hint="eastAsia"/>
        </w:rPr>
      </w:pPr>
      <w:r>
        <w:t>Resolve cohort criteria against local indexes.</w:t>
      </w:r>
    </w:p>
    <w:p w14:paraId="66EDEBE0" w14:textId="77777777" w:rsidR="00C12C0F" w:rsidRDefault="00395FC0">
      <w:pPr>
        <w:pStyle w:val="ListBullet"/>
        <w:rPr>
          <w:rFonts w:hint="eastAsia"/>
        </w:rPr>
      </w:pPr>
      <w:r>
        <w:t>Provide approved inputs to local execution environments.</w:t>
      </w:r>
    </w:p>
    <w:p w14:paraId="12A25E0A" w14:textId="77777777" w:rsidR="00C12C0F" w:rsidRDefault="00395FC0">
      <w:pPr>
        <w:pStyle w:val="ListBullet"/>
        <w:rPr>
          <w:rFonts w:hint="eastAsia"/>
        </w:rPr>
      </w:pPr>
      <w:r>
        <w:t>Produce only the result outputs authorized for return.</w:t>
      </w:r>
    </w:p>
    <w:p w14:paraId="063B91FC" w14:textId="77777777" w:rsidR="00C12C0F" w:rsidRDefault="00395FC0">
      <w:pPr>
        <w:pStyle w:val="Heading2"/>
      </w:pPr>
      <w:r>
        <w:t>4.2 Central control plane</w:t>
      </w:r>
    </w:p>
    <w:p w14:paraId="1DAB0620" w14:textId="77777777" w:rsidR="00C12C0F" w:rsidRDefault="00395FC0">
      <w:pPr>
        <w:rPr>
          <w:rFonts w:hint="eastAsia"/>
        </w:rPr>
      </w:pPr>
      <w:r>
        <w:t>The central control plane coordinates federated work. It defines a federated job, identifies participating sites, creates site-specific work items, tracks state, receives contract-defined outputs, and presents status and results to authorized users.</w:t>
      </w:r>
    </w:p>
    <w:p w14:paraId="4D1A540F" w14:textId="77777777" w:rsidR="00C12C0F" w:rsidRDefault="00395FC0">
      <w:pPr>
        <w:pStyle w:val="ListBullet"/>
        <w:rPr>
          <w:rFonts w:hint="eastAsia"/>
        </w:rPr>
      </w:pPr>
      <w:r>
        <w:t>Cohort and site selection.</w:t>
      </w:r>
    </w:p>
    <w:p w14:paraId="4E8C8B74" w14:textId="77777777" w:rsidR="00C12C0F" w:rsidRDefault="00395FC0">
      <w:pPr>
        <w:pStyle w:val="ListBullet"/>
        <w:rPr>
          <w:rFonts w:hint="eastAsia"/>
        </w:rPr>
      </w:pPr>
      <w:r>
        <w:t>Federated job definition and validation.</w:t>
      </w:r>
    </w:p>
    <w:p w14:paraId="2F4202A4" w14:textId="77777777" w:rsidR="00C12C0F" w:rsidRDefault="00395FC0">
      <w:pPr>
        <w:pStyle w:val="ListBullet"/>
        <w:rPr>
          <w:rFonts w:hint="eastAsia"/>
        </w:rPr>
      </w:pPr>
      <w:r>
        <w:t>Site-specific job generation.</w:t>
      </w:r>
    </w:p>
    <w:p w14:paraId="34BE09CA" w14:textId="77777777" w:rsidR="00C12C0F" w:rsidRDefault="00395FC0">
      <w:pPr>
        <w:pStyle w:val="ListBullet"/>
        <w:rPr>
          <w:rFonts w:hint="eastAsia"/>
        </w:rPr>
      </w:pPr>
      <w:r>
        <w:t>Job state and status management.</w:t>
      </w:r>
    </w:p>
    <w:p w14:paraId="37DCF9E7" w14:textId="77777777" w:rsidR="00C12C0F" w:rsidRDefault="00395FC0">
      <w:pPr>
        <w:pStyle w:val="ListBullet"/>
        <w:rPr>
          <w:rFonts w:hint="eastAsia"/>
        </w:rPr>
      </w:pPr>
      <w:r>
        <w:t>Result receipt, validation, and aggregation.</w:t>
      </w:r>
    </w:p>
    <w:p w14:paraId="75C70AA0" w14:textId="77777777" w:rsidR="00C12C0F" w:rsidRDefault="00395FC0">
      <w:pPr>
        <w:pStyle w:val="ListBullet"/>
        <w:rPr>
          <w:rFonts w:hint="eastAsia"/>
        </w:rPr>
      </w:pPr>
      <w:r>
        <w:t>User-facing search, worklist, monitoring, and result presentation.</w:t>
      </w:r>
    </w:p>
    <w:p w14:paraId="418FCAD3" w14:textId="77777777" w:rsidR="00C12C0F" w:rsidRDefault="00395FC0">
      <w:pPr>
        <w:pStyle w:val="Heading2"/>
      </w:pPr>
      <w:r>
        <w:t>4.3 Local control plane</w:t>
      </w:r>
    </w:p>
    <w:p w14:paraId="1024F84E" w14:textId="77777777" w:rsidR="00C12C0F" w:rsidRDefault="00395FC0">
      <w:pPr>
        <w:rPr>
          <w:rFonts w:hint="eastAsia"/>
        </w:rPr>
      </w:pPr>
      <w:r>
        <w:t>The local control plane is the trusted mediation layer between the central service and the participating environment. A site agent retrieves or receives jobs, validates instructions, applies local policy, initiates execution, reports status, and packages permitted results.</w:t>
      </w:r>
    </w:p>
    <w:p w14:paraId="1BEC3E1B" w14:textId="77777777" w:rsidR="00C12C0F" w:rsidRDefault="00395FC0">
      <w:pPr>
        <w:pStyle w:val="Heading2"/>
      </w:pPr>
      <w:r>
        <w:t>4.4 Execution plane</w:t>
      </w:r>
    </w:p>
    <w:p w14:paraId="1AF78F76" w14:textId="77777777" w:rsidR="00C12C0F" w:rsidRDefault="00395FC0">
      <w:pPr>
        <w:rPr>
          <w:rFonts w:hint="eastAsia"/>
        </w:rPr>
      </w:pPr>
      <w:r>
        <w:t>The execution plane runs an approved workload near the governed data. Implementations may use containers, batch systems, locally installed executables, or other approved runtimes. The architecture requires a defined invocation and result boundary but does not prescribe a single runtime.</w:t>
      </w:r>
    </w:p>
    <w:p w14:paraId="743D60FB" w14:textId="77777777" w:rsidR="00C12C0F" w:rsidRDefault="00395FC0">
      <w:pPr>
        <w:pStyle w:val="Heading2"/>
      </w:pPr>
      <w:r>
        <w:lastRenderedPageBreak/>
        <w:t>4.5 Security and governance plane</w:t>
      </w:r>
    </w:p>
    <w:p w14:paraId="2ADC6119" w14:textId="77777777" w:rsidR="00C12C0F" w:rsidRDefault="00395FC0">
      <w:pPr>
        <w:rPr>
          <w:rFonts w:hint="eastAsia"/>
        </w:rPr>
      </w:pPr>
      <w:r>
        <w:t xml:space="preserve">Security and governance are cross-cutting responsibilities rather than a standalone product. Deployments should define identity, authentication, authorization, site policy, workload approval, artifact integrity, secrets handling, network controls, logging, audit, retention, incident response, and privacy review. Specific controls are deployment decisions and should be documented in </w:t>
      </w:r>
      <w:proofErr w:type="gramStart"/>
      <w:r>
        <w:t>a solution</w:t>
      </w:r>
      <w:proofErr w:type="gramEnd"/>
      <w:r>
        <w:t xml:space="preserve"> architecture.</w:t>
      </w:r>
    </w:p>
    <w:p w14:paraId="13A70133" w14:textId="58BFB6E3" w:rsidR="00C12C0F" w:rsidRDefault="00395FC0">
      <w:pPr>
        <w:pStyle w:val="Heading1"/>
      </w:pPr>
      <w:r>
        <w:t xml:space="preserve">5. </w:t>
      </w:r>
      <w:r w:rsidR="005E4D03">
        <w:t>Open-Source</w:t>
      </w:r>
      <w:r>
        <w:t xml:space="preserve"> Components</w:t>
      </w:r>
    </w:p>
    <w:p w14:paraId="04FC5A2F" w14:textId="6D8C70A6" w:rsidR="005655B2" w:rsidRDefault="005655B2">
      <w:pPr>
        <w:rPr>
          <w:rFonts w:hint="eastAsia"/>
          <w:kern w:val="2"/>
          <w:szCs w:val="20"/>
          <w14:ligatures w14:val="standardContextual"/>
        </w:rPr>
      </w:pPr>
      <w:r>
        <w:t xml:space="preserve">This section is the implementation asset catalog </w:t>
      </w:r>
      <w:r w:rsidR="007D0259">
        <w:t xml:space="preserve">that accompanies </w:t>
      </w:r>
      <w:proofErr w:type="gramStart"/>
      <w:r>
        <w:t>the reference</w:t>
      </w:r>
      <w:proofErr w:type="gramEnd"/>
      <w:r>
        <w:t xml:space="preserve"> architecture. It identifies the published open-source components, metadata index and examples, and supporting utility that correspond to the architecture’s data, control, contract, and local-processing capabilities. The source package or asset in each row links to the applicable public reference in Appendix B.</w:t>
      </w:r>
    </w:p>
    <w:tbl>
      <w:tblPr>
        <w:tblStyle w:val="TableGrid"/>
        <w:tblW w:w="0" w:type="auto"/>
        <w:jc w:val="center"/>
        <w:tblLook w:val="04A0" w:firstRow="1" w:lastRow="0" w:firstColumn="1" w:lastColumn="0" w:noHBand="0" w:noVBand="1"/>
      </w:tblPr>
      <w:tblGrid>
        <w:gridCol w:w="2448"/>
        <w:gridCol w:w="2592"/>
        <w:gridCol w:w="4752"/>
      </w:tblGrid>
      <w:tr w:rsidR="00C12C0F" w14:paraId="00039053" w14:textId="77777777">
        <w:trPr>
          <w:tblHeader/>
          <w:jc w:val="center"/>
        </w:trPr>
        <w:tc>
          <w:tcPr>
            <w:tcW w:w="2448" w:type="dxa"/>
            <w:shd w:val="clear" w:color="auto" w:fill="183B56"/>
            <w:tcMar>
              <w:top w:w="100" w:type="dxa"/>
              <w:left w:w="120" w:type="dxa"/>
              <w:bottom w:w="100" w:type="dxa"/>
              <w:right w:w="120" w:type="dxa"/>
            </w:tcMar>
            <w:vAlign w:val="center"/>
          </w:tcPr>
          <w:p w14:paraId="705B9019" w14:textId="77777777" w:rsidR="00C12C0F" w:rsidRDefault="00395FC0">
            <w:pPr>
              <w:rPr>
                <w:rFonts w:hint="eastAsia"/>
              </w:rPr>
            </w:pPr>
            <w:r>
              <w:rPr>
                <w:b/>
                <w:color w:val="FFFFFF"/>
                <w:sz w:val="18"/>
              </w:rPr>
              <w:t>Public-facing capability</w:t>
            </w:r>
          </w:p>
        </w:tc>
        <w:tc>
          <w:tcPr>
            <w:tcW w:w="2592" w:type="dxa"/>
            <w:shd w:val="clear" w:color="auto" w:fill="183B56"/>
            <w:tcMar>
              <w:top w:w="100" w:type="dxa"/>
              <w:left w:w="120" w:type="dxa"/>
              <w:bottom w:w="100" w:type="dxa"/>
              <w:right w:w="120" w:type="dxa"/>
            </w:tcMar>
            <w:vAlign w:val="center"/>
          </w:tcPr>
          <w:p w14:paraId="7D93B01D" w14:textId="77777777" w:rsidR="00C12C0F" w:rsidRDefault="00395FC0">
            <w:pPr>
              <w:rPr>
                <w:rFonts w:hint="eastAsia"/>
              </w:rPr>
            </w:pPr>
            <w:r>
              <w:rPr>
                <w:b/>
                <w:color w:val="FFFFFF"/>
                <w:sz w:val="18"/>
              </w:rPr>
              <w:t>Current package or asset</w:t>
            </w:r>
          </w:p>
        </w:tc>
        <w:tc>
          <w:tcPr>
            <w:tcW w:w="4752" w:type="dxa"/>
            <w:shd w:val="clear" w:color="auto" w:fill="183B56"/>
            <w:tcMar>
              <w:top w:w="100" w:type="dxa"/>
              <w:left w:w="120" w:type="dxa"/>
              <w:bottom w:w="100" w:type="dxa"/>
              <w:right w:w="120" w:type="dxa"/>
            </w:tcMar>
            <w:vAlign w:val="center"/>
          </w:tcPr>
          <w:p w14:paraId="56E6D44C" w14:textId="77777777" w:rsidR="00C12C0F" w:rsidRDefault="00395FC0">
            <w:pPr>
              <w:rPr>
                <w:rFonts w:hint="eastAsia"/>
              </w:rPr>
            </w:pPr>
            <w:r>
              <w:rPr>
                <w:b/>
                <w:color w:val="FFFFFF"/>
                <w:sz w:val="18"/>
              </w:rPr>
              <w:t>Architectural role</w:t>
            </w:r>
          </w:p>
        </w:tc>
      </w:tr>
      <w:tr w:rsidR="00C12C0F" w14:paraId="14D28638" w14:textId="77777777">
        <w:trPr>
          <w:jc w:val="center"/>
        </w:trPr>
        <w:tc>
          <w:tcPr>
            <w:tcW w:w="2448" w:type="dxa"/>
            <w:tcMar>
              <w:top w:w="100" w:type="dxa"/>
              <w:left w:w="120" w:type="dxa"/>
              <w:bottom w:w="100" w:type="dxa"/>
              <w:right w:w="120" w:type="dxa"/>
            </w:tcMar>
            <w:vAlign w:val="center"/>
          </w:tcPr>
          <w:p w14:paraId="7FC55AC9" w14:textId="77777777" w:rsidR="00C12C0F" w:rsidRDefault="00395FC0">
            <w:pPr>
              <w:spacing w:after="0"/>
              <w:rPr>
                <w:rFonts w:hint="eastAsia"/>
              </w:rPr>
            </w:pPr>
            <w:r>
              <w:rPr>
                <w:color w:val="1E3242"/>
                <w:sz w:val="17"/>
              </w:rPr>
              <w:t>DICOM Metadata Index Creator</w:t>
            </w:r>
          </w:p>
        </w:tc>
        <w:tc>
          <w:tcPr>
            <w:tcW w:w="2592" w:type="dxa"/>
            <w:tcMar>
              <w:top w:w="100" w:type="dxa"/>
              <w:left w:w="120" w:type="dxa"/>
              <w:bottom w:w="100" w:type="dxa"/>
              <w:right w:w="120" w:type="dxa"/>
            </w:tcMar>
            <w:vAlign w:val="center"/>
          </w:tcPr>
          <w:p w14:paraId="4111640C" w14:textId="277EA5AB" w:rsidR="00C12C0F" w:rsidRDefault="003F6BC5" w:rsidP="003F6BC5">
            <w:pPr>
              <w:spacing w:after="0"/>
              <w:rPr>
                <w:rFonts w:hint="eastAsia"/>
              </w:rPr>
            </w:pPr>
            <w:hyperlink r:id="rId9" w:history="1">
              <w:r>
                <w:rPr>
                  <w:rStyle w:val="Hyperlink"/>
                  <w:sz w:val="17"/>
                  <w:szCs w:val="17"/>
                </w:rPr>
                <w:t>Index-Creation (Appendix B, Ref. 4)</w:t>
              </w:r>
            </w:hyperlink>
          </w:p>
        </w:tc>
        <w:tc>
          <w:tcPr>
            <w:tcW w:w="4752" w:type="dxa"/>
            <w:tcMar>
              <w:top w:w="100" w:type="dxa"/>
              <w:left w:w="120" w:type="dxa"/>
              <w:bottom w:w="100" w:type="dxa"/>
              <w:right w:w="120" w:type="dxa"/>
            </w:tcMar>
            <w:vAlign w:val="center"/>
          </w:tcPr>
          <w:p w14:paraId="530EB636" w14:textId="77777777" w:rsidR="00C12C0F" w:rsidRDefault="00395FC0">
            <w:pPr>
              <w:spacing w:after="0"/>
              <w:rPr>
                <w:rFonts w:hint="eastAsia"/>
              </w:rPr>
            </w:pPr>
            <w:r>
              <w:rPr>
                <w:color w:val="1E3242"/>
                <w:sz w:val="17"/>
              </w:rPr>
              <w:t>Reads DICOM files and produces JSON metadata conforming to the ARPA-H-BDF metadata specification.</w:t>
            </w:r>
          </w:p>
        </w:tc>
      </w:tr>
      <w:tr w:rsidR="00684408" w14:paraId="0D6D3A0E" w14:textId="77777777" w:rsidTr="00684408">
        <w:tblPrEx>
          <w:jc w:val="left"/>
        </w:tblPrEx>
        <w:tc>
          <w:tcPr>
            <w:tcW w:w="2448" w:type="dxa"/>
            <w:shd w:val="clear" w:color="auto" w:fill="F3F6F8"/>
            <w:tcMar>
              <w:top w:w="100" w:type="dxa"/>
              <w:left w:w="120" w:type="dxa"/>
              <w:bottom w:w="100" w:type="dxa"/>
              <w:right w:w="120" w:type="dxa"/>
            </w:tcMar>
            <w:vAlign w:val="center"/>
            <w:hideMark/>
          </w:tcPr>
          <w:p w14:paraId="1330F7A4" w14:textId="77777777" w:rsidR="00684408" w:rsidRDefault="00684408">
            <w:pPr>
              <w:spacing w:after="0"/>
              <w:rPr>
                <w:rFonts w:hint="eastAsia"/>
                <w:kern w:val="2"/>
                <w:szCs w:val="20"/>
                <w14:ligatures w14:val="standardContextual"/>
              </w:rPr>
            </w:pPr>
            <w:r>
              <w:rPr>
                <w:color w:val="1E3242"/>
                <w:sz w:val="17"/>
                <w:szCs w:val="17"/>
              </w:rPr>
              <w:t>BDF Metadata Index and Examples</w:t>
            </w:r>
          </w:p>
        </w:tc>
        <w:tc>
          <w:tcPr>
            <w:tcW w:w="2592" w:type="dxa"/>
            <w:shd w:val="clear" w:color="auto" w:fill="F3F6F8"/>
            <w:tcMar>
              <w:top w:w="100" w:type="dxa"/>
              <w:left w:w="120" w:type="dxa"/>
              <w:bottom w:w="100" w:type="dxa"/>
              <w:right w:w="120" w:type="dxa"/>
            </w:tcMar>
            <w:vAlign w:val="center"/>
            <w:hideMark/>
          </w:tcPr>
          <w:p w14:paraId="5899008E" w14:textId="1C6E7CE1" w:rsidR="00684408" w:rsidRDefault="00321447" w:rsidP="00321447">
            <w:pPr>
              <w:spacing w:after="0"/>
              <w:rPr>
                <w:rFonts w:hint="eastAsia"/>
              </w:rPr>
            </w:pPr>
            <w:hyperlink r:id="rId10" w:history="1">
              <w:r>
                <w:rPr>
                  <w:rStyle w:val="Hyperlink"/>
                  <w:sz w:val="17"/>
                  <w:szCs w:val="17"/>
                </w:rPr>
                <w:t>ARPA-H-BDF index and sample submissions (Appendix B, Ref. 2)</w:t>
              </w:r>
            </w:hyperlink>
          </w:p>
        </w:tc>
        <w:tc>
          <w:tcPr>
            <w:tcW w:w="4752" w:type="dxa"/>
            <w:shd w:val="clear" w:color="auto" w:fill="F3F6F8"/>
            <w:tcMar>
              <w:top w:w="100" w:type="dxa"/>
              <w:left w:w="120" w:type="dxa"/>
              <w:bottom w:w="100" w:type="dxa"/>
              <w:right w:w="120" w:type="dxa"/>
            </w:tcMar>
            <w:vAlign w:val="center"/>
            <w:hideMark/>
          </w:tcPr>
          <w:p w14:paraId="00B72759" w14:textId="77777777" w:rsidR="00684408" w:rsidRDefault="00684408">
            <w:pPr>
              <w:spacing w:after="0"/>
              <w:rPr>
                <w:rFonts w:hint="eastAsia"/>
              </w:rPr>
            </w:pPr>
            <w:r>
              <w:rPr>
                <w:color w:val="1E3242"/>
                <w:sz w:val="17"/>
                <w:szCs w:val="17"/>
              </w:rPr>
              <w:t>Publishes the BDF index definition with example clinical, imaging-study, and image-series submissions to illustrate the metadata structure and support implementation and validation.</w:t>
            </w:r>
          </w:p>
        </w:tc>
      </w:tr>
      <w:tr w:rsidR="00C12C0F" w14:paraId="07FFB69C" w14:textId="77777777">
        <w:trPr>
          <w:jc w:val="center"/>
        </w:trPr>
        <w:tc>
          <w:tcPr>
            <w:tcW w:w="2448" w:type="dxa"/>
            <w:shd w:val="clear" w:color="auto" w:fill="F3F6F8"/>
            <w:tcMar>
              <w:top w:w="100" w:type="dxa"/>
              <w:left w:w="120" w:type="dxa"/>
              <w:bottom w:w="100" w:type="dxa"/>
              <w:right w:w="120" w:type="dxa"/>
            </w:tcMar>
            <w:vAlign w:val="center"/>
          </w:tcPr>
          <w:p w14:paraId="64261FA7" w14:textId="77777777" w:rsidR="00C12C0F" w:rsidRDefault="00395FC0">
            <w:pPr>
              <w:spacing w:after="0"/>
              <w:rPr>
                <w:rFonts w:hint="eastAsia"/>
              </w:rPr>
            </w:pPr>
            <w:r>
              <w:rPr>
                <w:color w:val="1E3242"/>
                <w:sz w:val="17"/>
              </w:rPr>
              <w:t>Metadata Index Ingestion Pipeline</w:t>
            </w:r>
          </w:p>
        </w:tc>
        <w:tc>
          <w:tcPr>
            <w:tcW w:w="2592" w:type="dxa"/>
            <w:shd w:val="clear" w:color="auto" w:fill="F3F6F8"/>
            <w:tcMar>
              <w:top w:w="100" w:type="dxa"/>
              <w:left w:w="120" w:type="dxa"/>
              <w:bottom w:w="100" w:type="dxa"/>
              <w:right w:w="120" w:type="dxa"/>
            </w:tcMar>
            <w:vAlign w:val="center"/>
          </w:tcPr>
          <w:p w14:paraId="5138501A" w14:textId="179D3D6A" w:rsidR="00C12C0F" w:rsidRDefault="00BE4943" w:rsidP="00BE4943">
            <w:pPr>
              <w:spacing w:after="0"/>
              <w:rPr>
                <w:rFonts w:hint="eastAsia"/>
              </w:rPr>
            </w:pPr>
            <w:hyperlink r:id="rId11" w:history="1">
              <w:r>
                <w:rPr>
                  <w:rStyle w:val="Hyperlink"/>
                  <w:sz w:val="17"/>
                  <w:szCs w:val="17"/>
                </w:rPr>
                <w:t>Index-Ingestion (Appendix B, Ref. 4)</w:t>
              </w:r>
            </w:hyperlink>
          </w:p>
        </w:tc>
        <w:tc>
          <w:tcPr>
            <w:tcW w:w="4752" w:type="dxa"/>
            <w:shd w:val="clear" w:color="auto" w:fill="F3F6F8"/>
            <w:tcMar>
              <w:top w:w="100" w:type="dxa"/>
              <w:left w:w="120" w:type="dxa"/>
              <w:bottom w:w="100" w:type="dxa"/>
              <w:right w:w="120" w:type="dxa"/>
            </w:tcMar>
            <w:vAlign w:val="center"/>
          </w:tcPr>
          <w:p w14:paraId="70317D30" w14:textId="77777777" w:rsidR="00C12C0F" w:rsidRDefault="00395FC0">
            <w:pPr>
              <w:spacing w:after="0"/>
              <w:rPr>
                <w:rFonts w:hint="eastAsia"/>
              </w:rPr>
            </w:pPr>
            <w:r>
              <w:rPr>
                <w:color w:val="1E3242"/>
                <w:sz w:val="17"/>
              </w:rPr>
              <w:t>Parses a conformant JSON index and prepares records for a searchable JSON repository such as Elasticsearch or MongoDB.</w:t>
            </w:r>
          </w:p>
        </w:tc>
      </w:tr>
      <w:tr w:rsidR="00C12C0F" w14:paraId="00AD368A" w14:textId="77777777">
        <w:trPr>
          <w:jc w:val="center"/>
        </w:trPr>
        <w:tc>
          <w:tcPr>
            <w:tcW w:w="2448" w:type="dxa"/>
            <w:tcMar>
              <w:top w:w="100" w:type="dxa"/>
              <w:left w:w="120" w:type="dxa"/>
              <w:bottom w:w="100" w:type="dxa"/>
              <w:right w:w="120" w:type="dxa"/>
            </w:tcMar>
            <w:vAlign w:val="center"/>
          </w:tcPr>
          <w:p w14:paraId="09CB2419" w14:textId="77777777" w:rsidR="00C12C0F" w:rsidRDefault="00395FC0">
            <w:pPr>
              <w:spacing w:after="0"/>
              <w:rPr>
                <w:rFonts w:hint="eastAsia"/>
              </w:rPr>
            </w:pPr>
            <w:r>
              <w:rPr>
                <w:color w:val="1E3242"/>
                <w:sz w:val="17"/>
              </w:rPr>
              <w:t>Federated Orchestration Core</w:t>
            </w:r>
          </w:p>
        </w:tc>
        <w:tc>
          <w:tcPr>
            <w:tcW w:w="2592" w:type="dxa"/>
            <w:tcMar>
              <w:top w:w="100" w:type="dxa"/>
              <w:left w:w="120" w:type="dxa"/>
              <w:bottom w:w="100" w:type="dxa"/>
              <w:right w:w="120" w:type="dxa"/>
            </w:tcMar>
            <w:vAlign w:val="center"/>
          </w:tcPr>
          <w:p w14:paraId="2C93A57E" w14:textId="658B440E" w:rsidR="00C12C0F" w:rsidRDefault="00E71147" w:rsidP="00E71147">
            <w:pPr>
              <w:spacing w:after="0"/>
              <w:rPr>
                <w:rFonts w:hint="eastAsia"/>
              </w:rPr>
            </w:pPr>
            <w:hyperlink r:id="rId12" w:history="1">
              <w:r>
                <w:rPr>
                  <w:rStyle w:val="Hyperlink"/>
                  <w:sz w:val="17"/>
                  <w:szCs w:val="17"/>
                </w:rPr>
                <w:t>Federated-Central-Orchestration (Appendix B, Ref. 4)</w:t>
              </w:r>
            </w:hyperlink>
          </w:p>
        </w:tc>
        <w:tc>
          <w:tcPr>
            <w:tcW w:w="4752" w:type="dxa"/>
            <w:tcMar>
              <w:top w:w="100" w:type="dxa"/>
              <w:left w:w="120" w:type="dxa"/>
              <w:bottom w:w="100" w:type="dxa"/>
              <w:right w:w="120" w:type="dxa"/>
            </w:tcMar>
            <w:vAlign w:val="center"/>
          </w:tcPr>
          <w:p w14:paraId="57977B04" w14:textId="77777777" w:rsidR="00C12C0F" w:rsidRDefault="00395FC0">
            <w:pPr>
              <w:spacing w:after="0"/>
              <w:rPr>
                <w:rFonts w:hint="eastAsia"/>
              </w:rPr>
            </w:pPr>
            <w:r>
              <w:rPr>
                <w:color w:val="1E3242"/>
                <w:sz w:val="17"/>
              </w:rPr>
              <w:t>Provides representative central business logic for federated job creation, site-specific work, status tracking, and result receipt.</w:t>
            </w:r>
          </w:p>
        </w:tc>
      </w:tr>
      <w:tr w:rsidR="00C12C0F" w14:paraId="17E2E46B" w14:textId="77777777">
        <w:trPr>
          <w:jc w:val="center"/>
        </w:trPr>
        <w:tc>
          <w:tcPr>
            <w:tcW w:w="2448" w:type="dxa"/>
            <w:shd w:val="clear" w:color="auto" w:fill="F3F6F8"/>
            <w:tcMar>
              <w:top w:w="100" w:type="dxa"/>
              <w:left w:w="120" w:type="dxa"/>
              <w:bottom w:w="100" w:type="dxa"/>
              <w:right w:w="120" w:type="dxa"/>
            </w:tcMar>
            <w:vAlign w:val="center"/>
          </w:tcPr>
          <w:p w14:paraId="6733C70F" w14:textId="77777777" w:rsidR="00C12C0F" w:rsidRDefault="00395FC0">
            <w:pPr>
              <w:spacing w:after="0"/>
              <w:rPr>
                <w:rFonts w:hint="eastAsia"/>
              </w:rPr>
            </w:pPr>
            <w:r>
              <w:rPr>
                <w:color w:val="1E3242"/>
                <w:sz w:val="17"/>
              </w:rPr>
              <w:t>Federated Job Contracts</w:t>
            </w:r>
          </w:p>
        </w:tc>
        <w:tc>
          <w:tcPr>
            <w:tcW w:w="2592" w:type="dxa"/>
            <w:shd w:val="clear" w:color="auto" w:fill="F3F6F8"/>
            <w:tcMar>
              <w:top w:w="100" w:type="dxa"/>
              <w:left w:w="120" w:type="dxa"/>
              <w:bottom w:w="100" w:type="dxa"/>
              <w:right w:w="120" w:type="dxa"/>
            </w:tcMar>
            <w:vAlign w:val="center"/>
          </w:tcPr>
          <w:p w14:paraId="3DED3146" w14:textId="5E7D9760" w:rsidR="00C12C0F" w:rsidRDefault="00C570E5" w:rsidP="00C570E5">
            <w:pPr>
              <w:spacing w:after="0"/>
              <w:rPr>
                <w:rFonts w:hint="eastAsia"/>
              </w:rPr>
            </w:pPr>
            <w:hyperlink r:id="rId13" w:history="1">
              <w:proofErr w:type="gramStart"/>
              <w:r>
                <w:rPr>
                  <w:rStyle w:val="Hyperlink"/>
                  <w:sz w:val="17"/>
                  <w:szCs w:val="17"/>
                </w:rPr>
                <w:t>Federated-data-contracts</w:t>
              </w:r>
              <w:proofErr w:type="gramEnd"/>
              <w:r>
                <w:rPr>
                  <w:rStyle w:val="Hyperlink"/>
                  <w:sz w:val="17"/>
                  <w:szCs w:val="17"/>
                </w:rPr>
                <w:t xml:space="preserve"> (Appendix B, Ref. 4)</w:t>
              </w:r>
            </w:hyperlink>
          </w:p>
        </w:tc>
        <w:tc>
          <w:tcPr>
            <w:tcW w:w="4752" w:type="dxa"/>
            <w:shd w:val="clear" w:color="auto" w:fill="F3F6F8"/>
            <w:tcMar>
              <w:top w:w="100" w:type="dxa"/>
              <w:left w:w="120" w:type="dxa"/>
              <w:bottom w:w="100" w:type="dxa"/>
              <w:right w:w="120" w:type="dxa"/>
            </w:tcMar>
            <w:vAlign w:val="center"/>
          </w:tcPr>
          <w:p w14:paraId="1F2BCB8A" w14:textId="77777777" w:rsidR="00C12C0F" w:rsidRDefault="00395FC0">
            <w:pPr>
              <w:spacing w:after="0"/>
              <w:rPr>
                <w:rFonts w:hint="eastAsia"/>
              </w:rPr>
            </w:pPr>
            <w:r>
              <w:rPr>
                <w:color w:val="1E3242"/>
                <w:sz w:val="17"/>
              </w:rPr>
              <w:t>Defines the shared data structures exchanged between central orchestration and local site orchestration.</w:t>
            </w:r>
          </w:p>
        </w:tc>
      </w:tr>
      <w:tr w:rsidR="00C12C0F" w14:paraId="6EB35268" w14:textId="77777777">
        <w:trPr>
          <w:jc w:val="center"/>
        </w:trPr>
        <w:tc>
          <w:tcPr>
            <w:tcW w:w="2448" w:type="dxa"/>
            <w:tcMar>
              <w:top w:w="100" w:type="dxa"/>
              <w:left w:w="120" w:type="dxa"/>
              <w:bottom w:w="100" w:type="dxa"/>
              <w:right w:w="120" w:type="dxa"/>
            </w:tcMar>
            <w:vAlign w:val="center"/>
          </w:tcPr>
          <w:p w14:paraId="094CDDE0" w14:textId="77777777" w:rsidR="00C12C0F" w:rsidRDefault="00395FC0">
            <w:pPr>
              <w:spacing w:after="0"/>
              <w:rPr>
                <w:rFonts w:hint="eastAsia"/>
              </w:rPr>
            </w:pPr>
            <w:r>
              <w:rPr>
                <w:color w:val="1E3242"/>
                <w:sz w:val="17"/>
              </w:rPr>
              <w:t>Federated Site Agent</w:t>
            </w:r>
          </w:p>
        </w:tc>
        <w:tc>
          <w:tcPr>
            <w:tcW w:w="2592" w:type="dxa"/>
            <w:tcMar>
              <w:top w:w="100" w:type="dxa"/>
              <w:left w:w="120" w:type="dxa"/>
              <w:bottom w:w="100" w:type="dxa"/>
              <w:right w:w="120" w:type="dxa"/>
            </w:tcMar>
            <w:vAlign w:val="center"/>
          </w:tcPr>
          <w:p w14:paraId="1AB57AC9" w14:textId="4EC26CE9" w:rsidR="00C12C0F" w:rsidRDefault="00A95A00" w:rsidP="00A95A00">
            <w:pPr>
              <w:spacing w:after="0"/>
              <w:rPr>
                <w:rFonts w:hint="eastAsia"/>
              </w:rPr>
            </w:pPr>
            <w:hyperlink r:id="rId14" w:history="1">
              <w:r>
                <w:rPr>
                  <w:rStyle w:val="Hyperlink"/>
                  <w:sz w:val="17"/>
                  <w:szCs w:val="17"/>
                </w:rPr>
                <w:t>Federated Client Processing (Appendix B, Ref. 4)</w:t>
              </w:r>
            </w:hyperlink>
          </w:p>
        </w:tc>
        <w:tc>
          <w:tcPr>
            <w:tcW w:w="4752" w:type="dxa"/>
            <w:tcMar>
              <w:top w:w="100" w:type="dxa"/>
              <w:left w:w="120" w:type="dxa"/>
              <w:bottom w:w="100" w:type="dxa"/>
              <w:right w:w="120" w:type="dxa"/>
            </w:tcMar>
            <w:vAlign w:val="center"/>
          </w:tcPr>
          <w:p w14:paraId="72161BFB" w14:textId="77777777" w:rsidR="00C12C0F" w:rsidRDefault="00395FC0">
            <w:pPr>
              <w:spacing w:after="0"/>
              <w:rPr>
                <w:rFonts w:hint="eastAsia"/>
              </w:rPr>
            </w:pPr>
            <w:r>
              <w:rPr>
                <w:color w:val="1E3242"/>
                <w:sz w:val="17"/>
              </w:rPr>
              <w:t>Demonstrates job polling or retrieval, local execution initiation, status updates, and final payload return.</w:t>
            </w:r>
          </w:p>
        </w:tc>
      </w:tr>
      <w:tr w:rsidR="00C12C0F" w14:paraId="7011FBA0" w14:textId="77777777">
        <w:trPr>
          <w:jc w:val="center"/>
        </w:trPr>
        <w:tc>
          <w:tcPr>
            <w:tcW w:w="2448" w:type="dxa"/>
            <w:shd w:val="clear" w:color="auto" w:fill="F3F6F8"/>
            <w:tcMar>
              <w:top w:w="100" w:type="dxa"/>
              <w:left w:w="120" w:type="dxa"/>
              <w:bottom w:w="100" w:type="dxa"/>
              <w:right w:w="120" w:type="dxa"/>
            </w:tcMar>
            <w:vAlign w:val="center"/>
          </w:tcPr>
          <w:p w14:paraId="43ABB480" w14:textId="77777777" w:rsidR="00C12C0F" w:rsidRDefault="00395FC0">
            <w:pPr>
              <w:spacing w:after="0"/>
              <w:rPr>
                <w:rFonts w:hint="eastAsia"/>
              </w:rPr>
            </w:pPr>
            <w:r>
              <w:rPr>
                <w:color w:val="1E3242"/>
                <w:sz w:val="17"/>
              </w:rPr>
              <w:t xml:space="preserve">Radiology </w:t>
            </w:r>
            <w:proofErr w:type="gramStart"/>
            <w:r>
              <w:rPr>
                <w:color w:val="1E3242"/>
                <w:sz w:val="17"/>
              </w:rPr>
              <w:t>Report</w:t>
            </w:r>
            <w:proofErr w:type="gramEnd"/>
            <w:r>
              <w:rPr>
                <w:color w:val="1E3242"/>
                <w:sz w:val="17"/>
              </w:rPr>
              <w:t xml:space="preserve"> De-</w:t>
            </w:r>
            <w:proofErr w:type="gramStart"/>
            <w:r>
              <w:rPr>
                <w:color w:val="1E3242"/>
                <w:sz w:val="17"/>
              </w:rPr>
              <w:t>identification</w:t>
            </w:r>
            <w:proofErr w:type="gramEnd"/>
            <w:r>
              <w:rPr>
                <w:color w:val="1E3242"/>
                <w:sz w:val="17"/>
              </w:rPr>
              <w:t xml:space="preserve"> Utility</w:t>
            </w:r>
          </w:p>
        </w:tc>
        <w:tc>
          <w:tcPr>
            <w:tcW w:w="2592" w:type="dxa"/>
            <w:shd w:val="clear" w:color="auto" w:fill="F3F6F8"/>
            <w:tcMar>
              <w:top w:w="100" w:type="dxa"/>
              <w:left w:w="120" w:type="dxa"/>
              <w:bottom w:w="100" w:type="dxa"/>
              <w:right w:w="120" w:type="dxa"/>
            </w:tcMar>
            <w:vAlign w:val="center"/>
          </w:tcPr>
          <w:p w14:paraId="08573341" w14:textId="3BE5A4B2" w:rsidR="00C12C0F" w:rsidRDefault="00926BCF" w:rsidP="00926BCF">
            <w:pPr>
              <w:spacing w:after="0"/>
              <w:rPr>
                <w:rFonts w:hint="eastAsia"/>
              </w:rPr>
            </w:pPr>
            <w:hyperlink r:id="rId15" w:history="1">
              <w:r>
                <w:rPr>
                  <w:rStyle w:val="Hyperlink"/>
                  <w:sz w:val="17"/>
                  <w:szCs w:val="17"/>
                </w:rPr>
                <w:t xml:space="preserve">MIDRC/ACR radiology report </w:t>
              </w:r>
              <w:proofErr w:type="spellStart"/>
              <w:r>
                <w:rPr>
                  <w:rStyle w:val="Hyperlink"/>
                  <w:sz w:val="17"/>
                  <w:szCs w:val="17"/>
                </w:rPr>
                <w:t>deidentifier</w:t>
              </w:r>
              <w:proofErr w:type="spellEnd"/>
              <w:r>
                <w:rPr>
                  <w:rStyle w:val="Hyperlink"/>
                  <w:sz w:val="17"/>
                  <w:szCs w:val="17"/>
                </w:rPr>
                <w:t xml:space="preserve"> (Appendix B, Ref. 3)</w:t>
              </w:r>
            </w:hyperlink>
          </w:p>
        </w:tc>
        <w:tc>
          <w:tcPr>
            <w:tcW w:w="4752" w:type="dxa"/>
            <w:shd w:val="clear" w:color="auto" w:fill="F3F6F8"/>
            <w:tcMar>
              <w:top w:w="100" w:type="dxa"/>
              <w:left w:w="120" w:type="dxa"/>
              <w:bottom w:w="100" w:type="dxa"/>
              <w:right w:w="120" w:type="dxa"/>
            </w:tcMar>
            <w:vAlign w:val="center"/>
          </w:tcPr>
          <w:p w14:paraId="079477BD" w14:textId="77777777" w:rsidR="00C12C0F" w:rsidRDefault="00395FC0">
            <w:pPr>
              <w:spacing w:after="0"/>
              <w:rPr>
                <w:rFonts w:hint="eastAsia"/>
              </w:rPr>
            </w:pPr>
            <w:r>
              <w:rPr>
                <w:color w:val="1E3242"/>
                <w:sz w:val="17"/>
              </w:rPr>
              <w:t>Provides an optional local privacy transformation for CSV, XLSX, or JSON report inputs, with container and Windows executable packaging.</w:t>
            </w:r>
          </w:p>
        </w:tc>
      </w:tr>
    </w:tbl>
    <w:p w14:paraId="72A3D3EC" w14:textId="77777777" w:rsidR="00C12C0F" w:rsidRDefault="00C12C0F">
      <w:pPr>
        <w:spacing w:after="20"/>
        <w:rPr>
          <w:rFonts w:hint="eastAsia"/>
        </w:rPr>
      </w:pPr>
    </w:p>
    <w:tbl>
      <w:tblPr>
        <w:tblW w:w="0" w:type="auto"/>
        <w:jc w:val="center"/>
        <w:tblLook w:val="04A0" w:firstRow="1" w:lastRow="0" w:firstColumn="1" w:lastColumn="0" w:noHBand="0" w:noVBand="1"/>
      </w:tblPr>
      <w:tblGrid>
        <w:gridCol w:w="10080"/>
      </w:tblGrid>
      <w:tr w:rsidR="00C12C0F" w14:paraId="4ACC2D28" w14:textId="77777777">
        <w:trPr>
          <w:jc w:val="center"/>
        </w:trPr>
        <w:tc>
          <w:tcPr>
            <w:tcW w:w="10080" w:type="dxa"/>
            <w:shd w:val="clear" w:color="auto" w:fill="EAF3F8"/>
            <w:tcMar>
              <w:top w:w="160" w:type="dxa"/>
              <w:left w:w="180" w:type="dxa"/>
              <w:bottom w:w="160" w:type="dxa"/>
              <w:right w:w="180" w:type="dxa"/>
            </w:tcMar>
          </w:tcPr>
          <w:p w14:paraId="71190AE8" w14:textId="77777777" w:rsidR="00C12C0F" w:rsidRDefault="00395FC0">
            <w:pPr>
              <w:rPr>
                <w:rFonts w:hint="eastAsia"/>
              </w:rPr>
            </w:pPr>
            <w:r>
              <w:rPr>
                <w:b/>
                <w:color w:val="183B56"/>
                <w:sz w:val="21"/>
              </w:rPr>
              <w:t>Naming guidance</w:t>
            </w:r>
            <w:r>
              <w:rPr>
                <w:b/>
                <w:color w:val="183B56"/>
                <w:sz w:val="21"/>
              </w:rPr>
              <w:br/>
            </w:r>
            <w:r>
              <w:rPr>
                <w:color w:val="283C4B"/>
                <w:sz w:val="19"/>
              </w:rPr>
              <w:t>Keep existing repository and package names for compatibility. Use the capability-oriented titles above in public architecture material so readers understand the role of each component without assuming adoption of an ACR product.</w:t>
            </w:r>
          </w:p>
        </w:tc>
      </w:tr>
    </w:tbl>
    <w:p w14:paraId="0D0B940D" w14:textId="77777777" w:rsidR="00C12C0F" w:rsidRDefault="00C12C0F">
      <w:pPr>
        <w:spacing w:after="20"/>
        <w:rPr>
          <w:rFonts w:hint="eastAsia"/>
        </w:rPr>
      </w:pPr>
    </w:p>
    <w:p w14:paraId="31294DB6" w14:textId="77777777" w:rsidR="00C12C0F" w:rsidRDefault="00395FC0">
      <w:pPr>
        <w:pStyle w:val="Heading1"/>
      </w:pPr>
      <w:r>
        <w:t>6. Contract Architecture</w:t>
      </w:r>
    </w:p>
    <w:p w14:paraId="1E2BAC33" w14:textId="77777777" w:rsidR="00C12C0F" w:rsidRDefault="00395FC0">
      <w:pPr>
        <w:rPr>
          <w:rFonts w:hint="eastAsia"/>
        </w:rPr>
      </w:pPr>
      <w:r>
        <w:t>The contract layer is the stable interoperability boundary. Contracts should be machine-readable, versioned, testable, and governed separately from individual codebases. The following contract families are recommended.</w:t>
      </w:r>
    </w:p>
    <w:tbl>
      <w:tblPr>
        <w:tblStyle w:val="TableGrid"/>
        <w:tblW w:w="0" w:type="auto"/>
        <w:jc w:val="center"/>
        <w:tblLook w:val="04A0" w:firstRow="1" w:lastRow="0" w:firstColumn="1" w:lastColumn="0" w:noHBand="0" w:noVBand="1"/>
      </w:tblPr>
      <w:tblGrid>
        <w:gridCol w:w="1944"/>
        <w:gridCol w:w="3384"/>
        <w:gridCol w:w="4464"/>
      </w:tblGrid>
      <w:tr w:rsidR="00C12C0F" w14:paraId="61DDC2C0" w14:textId="77777777">
        <w:trPr>
          <w:tblHeader/>
          <w:jc w:val="center"/>
        </w:trPr>
        <w:tc>
          <w:tcPr>
            <w:tcW w:w="1944" w:type="dxa"/>
            <w:shd w:val="clear" w:color="auto" w:fill="183B56"/>
            <w:tcMar>
              <w:top w:w="100" w:type="dxa"/>
              <w:left w:w="120" w:type="dxa"/>
              <w:bottom w:w="100" w:type="dxa"/>
              <w:right w:w="120" w:type="dxa"/>
            </w:tcMar>
            <w:vAlign w:val="center"/>
          </w:tcPr>
          <w:p w14:paraId="0351E950" w14:textId="77777777" w:rsidR="00C12C0F" w:rsidRDefault="00395FC0">
            <w:pPr>
              <w:rPr>
                <w:rFonts w:hint="eastAsia"/>
              </w:rPr>
            </w:pPr>
            <w:r>
              <w:rPr>
                <w:b/>
                <w:color w:val="FFFFFF"/>
                <w:sz w:val="18"/>
              </w:rPr>
              <w:lastRenderedPageBreak/>
              <w:t>Contract</w:t>
            </w:r>
          </w:p>
        </w:tc>
        <w:tc>
          <w:tcPr>
            <w:tcW w:w="3384" w:type="dxa"/>
            <w:shd w:val="clear" w:color="auto" w:fill="183B56"/>
            <w:tcMar>
              <w:top w:w="100" w:type="dxa"/>
              <w:left w:w="120" w:type="dxa"/>
              <w:bottom w:w="100" w:type="dxa"/>
              <w:right w:w="120" w:type="dxa"/>
            </w:tcMar>
            <w:vAlign w:val="center"/>
          </w:tcPr>
          <w:p w14:paraId="39EC13BE" w14:textId="77777777" w:rsidR="00C12C0F" w:rsidRDefault="00395FC0">
            <w:pPr>
              <w:rPr>
                <w:rFonts w:hint="eastAsia"/>
              </w:rPr>
            </w:pPr>
            <w:r>
              <w:rPr>
                <w:b/>
                <w:color w:val="FFFFFF"/>
                <w:sz w:val="18"/>
              </w:rPr>
              <w:t>Purpose</w:t>
            </w:r>
          </w:p>
        </w:tc>
        <w:tc>
          <w:tcPr>
            <w:tcW w:w="4464" w:type="dxa"/>
            <w:shd w:val="clear" w:color="auto" w:fill="183B56"/>
            <w:tcMar>
              <w:top w:w="100" w:type="dxa"/>
              <w:left w:w="120" w:type="dxa"/>
              <w:bottom w:w="100" w:type="dxa"/>
              <w:right w:w="120" w:type="dxa"/>
            </w:tcMar>
            <w:vAlign w:val="center"/>
          </w:tcPr>
          <w:p w14:paraId="136AA568" w14:textId="77777777" w:rsidR="00C12C0F" w:rsidRDefault="00395FC0">
            <w:pPr>
              <w:rPr>
                <w:rFonts w:hint="eastAsia"/>
              </w:rPr>
            </w:pPr>
            <w:r>
              <w:rPr>
                <w:b/>
                <w:color w:val="FFFFFF"/>
                <w:sz w:val="18"/>
              </w:rPr>
              <w:t>Representative content</w:t>
            </w:r>
          </w:p>
        </w:tc>
      </w:tr>
      <w:tr w:rsidR="00C12C0F" w14:paraId="1A782C45" w14:textId="77777777">
        <w:trPr>
          <w:jc w:val="center"/>
        </w:trPr>
        <w:tc>
          <w:tcPr>
            <w:tcW w:w="1944" w:type="dxa"/>
            <w:tcMar>
              <w:top w:w="100" w:type="dxa"/>
              <w:left w:w="120" w:type="dxa"/>
              <w:bottom w:w="100" w:type="dxa"/>
              <w:right w:w="120" w:type="dxa"/>
            </w:tcMar>
            <w:vAlign w:val="center"/>
          </w:tcPr>
          <w:p w14:paraId="4648AD5E" w14:textId="77777777" w:rsidR="00C12C0F" w:rsidRDefault="00395FC0">
            <w:pPr>
              <w:spacing w:after="0"/>
              <w:rPr>
                <w:rFonts w:hint="eastAsia"/>
              </w:rPr>
            </w:pPr>
            <w:r>
              <w:rPr>
                <w:color w:val="1E3242"/>
                <w:sz w:val="17"/>
              </w:rPr>
              <w:t>Metadata contract</w:t>
            </w:r>
          </w:p>
        </w:tc>
        <w:tc>
          <w:tcPr>
            <w:tcW w:w="3384" w:type="dxa"/>
            <w:tcMar>
              <w:top w:w="100" w:type="dxa"/>
              <w:left w:w="120" w:type="dxa"/>
              <w:bottom w:w="100" w:type="dxa"/>
              <w:right w:w="120" w:type="dxa"/>
            </w:tcMar>
            <w:vAlign w:val="center"/>
          </w:tcPr>
          <w:p w14:paraId="6D1C15EB" w14:textId="77777777" w:rsidR="00C12C0F" w:rsidRDefault="00395FC0">
            <w:pPr>
              <w:spacing w:after="0"/>
              <w:rPr>
                <w:rFonts w:hint="eastAsia"/>
              </w:rPr>
            </w:pPr>
            <w:r>
              <w:rPr>
                <w:color w:val="1E3242"/>
                <w:sz w:val="17"/>
              </w:rPr>
              <w:t>Represents indexed biomedical data consistently across sites and repositories.</w:t>
            </w:r>
          </w:p>
        </w:tc>
        <w:tc>
          <w:tcPr>
            <w:tcW w:w="4464" w:type="dxa"/>
            <w:tcMar>
              <w:top w:w="100" w:type="dxa"/>
              <w:left w:w="120" w:type="dxa"/>
              <w:bottom w:w="100" w:type="dxa"/>
              <w:right w:w="120" w:type="dxa"/>
            </w:tcMar>
            <w:vAlign w:val="center"/>
          </w:tcPr>
          <w:p w14:paraId="1338645C" w14:textId="77777777" w:rsidR="00C12C0F" w:rsidRDefault="00395FC0">
            <w:pPr>
              <w:spacing w:after="0"/>
              <w:rPr>
                <w:rFonts w:hint="eastAsia"/>
              </w:rPr>
            </w:pPr>
            <w:r>
              <w:rPr>
                <w:color w:val="1E3242"/>
                <w:sz w:val="17"/>
              </w:rPr>
              <w:t>Identifiers, imaging and clinical metadata, data types, permitted values, provenance, required and optional fields, schema version.</w:t>
            </w:r>
          </w:p>
        </w:tc>
      </w:tr>
      <w:tr w:rsidR="00C12C0F" w14:paraId="55E3B74F" w14:textId="77777777">
        <w:trPr>
          <w:jc w:val="center"/>
        </w:trPr>
        <w:tc>
          <w:tcPr>
            <w:tcW w:w="1944" w:type="dxa"/>
            <w:shd w:val="clear" w:color="auto" w:fill="F3F6F8"/>
            <w:tcMar>
              <w:top w:w="100" w:type="dxa"/>
              <w:left w:w="120" w:type="dxa"/>
              <w:bottom w:w="100" w:type="dxa"/>
              <w:right w:w="120" w:type="dxa"/>
            </w:tcMar>
            <w:vAlign w:val="center"/>
          </w:tcPr>
          <w:p w14:paraId="4D915AE2" w14:textId="77777777" w:rsidR="00C12C0F" w:rsidRDefault="00395FC0">
            <w:pPr>
              <w:spacing w:after="0"/>
              <w:rPr>
                <w:rFonts w:hint="eastAsia"/>
              </w:rPr>
            </w:pPr>
            <w:r>
              <w:rPr>
                <w:color w:val="1E3242"/>
                <w:sz w:val="17"/>
              </w:rPr>
              <w:t>Federated job contract</w:t>
            </w:r>
          </w:p>
        </w:tc>
        <w:tc>
          <w:tcPr>
            <w:tcW w:w="3384" w:type="dxa"/>
            <w:shd w:val="clear" w:color="auto" w:fill="F3F6F8"/>
            <w:tcMar>
              <w:top w:w="100" w:type="dxa"/>
              <w:left w:w="120" w:type="dxa"/>
              <w:bottom w:w="100" w:type="dxa"/>
              <w:right w:w="120" w:type="dxa"/>
            </w:tcMar>
            <w:vAlign w:val="center"/>
          </w:tcPr>
          <w:p w14:paraId="01C8FD57" w14:textId="77777777" w:rsidR="00C12C0F" w:rsidRDefault="00395FC0">
            <w:pPr>
              <w:spacing w:after="0"/>
              <w:rPr>
                <w:rFonts w:hint="eastAsia"/>
              </w:rPr>
            </w:pPr>
            <w:r>
              <w:rPr>
                <w:color w:val="1E3242"/>
                <w:sz w:val="17"/>
              </w:rPr>
              <w:t>Expresses the work the central orchestrator asks a participating site to perform.</w:t>
            </w:r>
          </w:p>
        </w:tc>
        <w:tc>
          <w:tcPr>
            <w:tcW w:w="4464" w:type="dxa"/>
            <w:shd w:val="clear" w:color="auto" w:fill="F3F6F8"/>
            <w:tcMar>
              <w:top w:w="100" w:type="dxa"/>
              <w:left w:w="120" w:type="dxa"/>
              <w:bottom w:w="100" w:type="dxa"/>
              <w:right w:w="120" w:type="dxa"/>
            </w:tcMar>
            <w:vAlign w:val="center"/>
          </w:tcPr>
          <w:p w14:paraId="2D0CA22C" w14:textId="77777777" w:rsidR="00C12C0F" w:rsidRDefault="00395FC0">
            <w:pPr>
              <w:spacing w:after="0"/>
              <w:rPr>
                <w:rFonts w:hint="eastAsia"/>
              </w:rPr>
            </w:pPr>
            <w:r>
              <w:rPr>
                <w:color w:val="1E3242"/>
                <w:sz w:val="17"/>
              </w:rPr>
              <w:t>Federated and site job identifiers, site, algorithm reference, cohort criteria, parameters, output specification, timestamps.</w:t>
            </w:r>
          </w:p>
        </w:tc>
      </w:tr>
      <w:tr w:rsidR="00C12C0F" w14:paraId="7A5BB9AF" w14:textId="77777777">
        <w:trPr>
          <w:jc w:val="center"/>
        </w:trPr>
        <w:tc>
          <w:tcPr>
            <w:tcW w:w="1944" w:type="dxa"/>
            <w:tcMar>
              <w:top w:w="100" w:type="dxa"/>
              <w:left w:w="120" w:type="dxa"/>
              <w:bottom w:w="100" w:type="dxa"/>
              <w:right w:w="120" w:type="dxa"/>
            </w:tcMar>
            <w:vAlign w:val="center"/>
          </w:tcPr>
          <w:p w14:paraId="156F2C59" w14:textId="77777777" w:rsidR="00C12C0F" w:rsidRDefault="00395FC0">
            <w:pPr>
              <w:spacing w:after="0"/>
              <w:rPr>
                <w:rFonts w:hint="eastAsia"/>
              </w:rPr>
            </w:pPr>
            <w:r>
              <w:rPr>
                <w:color w:val="1E3242"/>
                <w:sz w:val="17"/>
              </w:rPr>
              <w:t>Job status contract</w:t>
            </w:r>
          </w:p>
        </w:tc>
        <w:tc>
          <w:tcPr>
            <w:tcW w:w="3384" w:type="dxa"/>
            <w:tcMar>
              <w:top w:w="100" w:type="dxa"/>
              <w:left w:w="120" w:type="dxa"/>
              <w:bottom w:w="100" w:type="dxa"/>
              <w:right w:w="120" w:type="dxa"/>
            </w:tcMar>
            <w:vAlign w:val="center"/>
          </w:tcPr>
          <w:p w14:paraId="6E00B2BC" w14:textId="77777777" w:rsidR="00C12C0F" w:rsidRDefault="00395FC0">
            <w:pPr>
              <w:spacing w:after="0"/>
              <w:rPr>
                <w:rFonts w:hint="eastAsia"/>
              </w:rPr>
            </w:pPr>
            <w:r>
              <w:rPr>
                <w:color w:val="1E3242"/>
                <w:sz w:val="17"/>
              </w:rPr>
              <w:t>Communicates lifecycle state and operational progress.</w:t>
            </w:r>
          </w:p>
        </w:tc>
        <w:tc>
          <w:tcPr>
            <w:tcW w:w="4464" w:type="dxa"/>
            <w:tcMar>
              <w:top w:w="100" w:type="dxa"/>
              <w:left w:w="120" w:type="dxa"/>
              <w:bottom w:w="100" w:type="dxa"/>
              <w:right w:w="120" w:type="dxa"/>
            </w:tcMar>
            <w:vAlign w:val="center"/>
          </w:tcPr>
          <w:p w14:paraId="44909366" w14:textId="77777777" w:rsidR="00C12C0F" w:rsidRDefault="00395FC0">
            <w:pPr>
              <w:spacing w:after="0"/>
              <w:rPr>
                <w:rFonts w:hint="eastAsia"/>
              </w:rPr>
            </w:pPr>
            <w:r>
              <w:rPr>
                <w:color w:val="1E3242"/>
                <w:sz w:val="17"/>
              </w:rPr>
              <w:t xml:space="preserve">State, percent or stage when supported, timestamps, safe diagnostics, </w:t>
            </w:r>
            <w:proofErr w:type="spellStart"/>
            <w:r>
              <w:rPr>
                <w:color w:val="1E3242"/>
                <w:sz w:val="17"/>
              </w:rPr>
              <w:t>retryability</w:t>
            </w:r>
            <w:proofErr w:type="spellEnd"/>
            <w:r>
              <w:rPr>
                <w:color w:val="1E3242"/>
                <w:sz w:val="17"/>
              </w:rPr>
              <w:t>, correlation identifiers.</w:t>
            </w:r>
          </w:p>
        </w:tc>
      </w:tr>
      <w:tr w:rsidR="00C12C0F" w14:paraId="67B9978B" w14:textId="77777777">
        <w:trPr>
          <w:jc w:val="center"/>
        </w:trPr>
        <w:tc>
          <w:tcPr>
            <w:tcW w:w="1944" w:type="dxa"/>
            <w:shd w:val="clear" w:color="auto" w:fill="F3F6F8"/>
            <w:tcMar>
              <w:top w:w="100" w:type="dxa"/>
              <w:left w:w="120" w:type="dxa"/>
              <w:bottom w:w="100" w:type="dxa"/>
              <w:right w:w="120" w:type="dxa"/>
            </w:tcMar>
            <w:vAlign w:val="center"/>
          </w:tcPr>
          <w:p w14:paraId="75A17135" w14:textId="77777777" w:rsidR="00C12C0F" w:rsidRDefault="00395FC0">
            <w:pPr>
              <w:spacing w:after="0"/>
              <w:rPr>
                <w:rFonts w:hint="eastAsia"/>
              </w:rPr>
            </w:pPr>
            <w:r>
              <w:rPr>
                <w:color w:val="1E3242"/>
                <w:sz w:val="17"/>
              </w:rPr>
              <w:t>Result contract</w:t>
            </w:r>
          </w:p>
        </w:tc>
        <w:tc>
          <w:tcPr>
            <w:tcW w:w="3384" w:type="dxa"/>
            <w:shd w:val="clear" w:color="auto" w:fill="F3F6F8"/>
            <w:tcMar>
              <w:top w:w="100" w:type="dxa"/>
              <w:left w:w="120" w:type="dxa"/>
              <w:bottom w:w="100" w:type="dxa"/>
              <w:right w:w="120" w:type="dxa"/>
            </w:tcMar>
            <w:vAlign w:val="center"/>
          </w:tcPr>
          <w:p w14:paraId="6EA63D41" w14:textId="77777777" w:rsidR="00C12C0F" w:rsidRDefault="00395FC0">
            <w:pPr>
              <w:spacing w:after="0"/>
              <w:rPr>
                <w:rFonts w:hint="eastAsia"/>
              </w:rPr>
            </w:pPr>
            <w:r>
              <w:rPr>
                <w:color w:val="1E3242"/>
                <w:sz w:val="17"/>
              </w:rPr>
              <w:t>Defines the permitted output returned from a site.</w:t>
            </w:r>
          </w:p>
        </w:tc>
        <w:tc>
          <w:tcPr>
            <w:tcW w:w="4464" w:type="dxa"/>
            <w:shd w:val="clear" w:color="auto" w:fill="F3F6F8"/>
            <w:tcMar>
              <w:top w:w="100" w:type="dxa"/>
              <w:left w:w="120" w:type="dxa"/>
              <w:bottom w:w="100" w:type="dxa"/>
              <w:right w:w="120" w:type="dxa"/>
            </w:tcMar>
            <w:vAlign w:val="center"/>
          </w:tcPr>
          <w:p w14:paraId="52F7EA5A" w14:textId="77777777" w:rsidR="00C12C0F" w:rsidRDefault="00395FC0">
            <w:pPr>
              <w:spacing w:after="0"/>
              <w:rPr>
                <w:rFonts w:hint="eastAsia"/>
              </w:rPr>
            </w:pPr>
            <w:r>
              <w:rPr>
                <w:color w:val="1E3242"/>
                <w:sz w:val="17"/>
              </w:rPr>
              <w:t>Aggregate result, metrics, derived metadata, artifact references, provenance, completion state.</w:t>
            </w:r>
          </w:p>
        </w:tc>
      </w:tr>
      <w:tr w:rsidR="00C12C0F" w14:paraId="5342C1D7" w14:textId="77777777">
        <w:trPr>
          <w:jc w:val="center"/>
        </w:trPr>
        <w:tc>
          <w:tcPr>
            <w:tcW w:w="1944" w:type="dxa"/>
            <w:tcMar>
              <w:top w:w="100" w:type="dxa"/>
              <w:left w:w="120" w:type="dxa"/>
              <w:bottom w:w="100" w:type="dxa"/>
              <w:right w:w="120" w:type="dxa"/>
            </w:tcMar>
            <w:vAlign w:val="center"/>
          </w:tcPr>
          <w:p w14:paraId="29EB7696" w14:textId="77777777" w:rsidR="00C12C0F" w:rsidRDefault="00395FC0">
            <w:pPr>
              <w:spacing w:after="0"/>
              <w:rPr>
                <w:rFonts w:hint="eastAsia"/>
              </w:rPr>
            </w:pPr>
            <w:r>
              <w:rPr>
                <w:color w:val="1E3242"/>
                <w:sz w:val="17"/>
              </w:rPr>
              <w:t>Error contract</w:t>
            </w:r>
          </w:p>
        </w:tc>
        <w:tc>
          <w:tcPr>
            <w:tcW w:w="3384" w:type="dxa"/>
            <w:tcMar>
              <w:top w:w="100" w:type="dxa"/>
              <w:left w:w="120" w:type="dxa"/>
              <w:bottom w:w="100" w:type="dxa"/>
              <w:right w:w="120" w:type="dxa"/>
            </w:tcMar>
            <w:vAlign w:val="center"/>
          </w:tcPr>
          <w:p w14:paraId="2075350F" w14:textId="77777777" w:rsidR="00C12C0F" w:rsidRDefault="00395FC0">
            <w:pPr>
              <w:spacing w:after="0"/>
              <w:rPr>
                <w:rFonts w:hint="eastAsia"/>
              </w:rPr>
            </w:pPr>
            <w:r>
              <w:rPr>
                <w:color w:val="1E3242"/>
                <w:sz w:val="17"/>
              </w:rPr>
              <w:t>Provides predictable failure handling across heterogeneous implementations.</w:t>
            </w:r>
          </w:p>
        </w:tc>
        <w:tc>
          <w:tcPr>
            <w:tcW w:w="4464" w:type="dxa"/>
            <w:tcMar>
              <w:top w:w="100" w:type="dxa"/>
              <w:left w:w="120" w:type="dxa"/>
              <w:bottom w:w="100" w:type="dxa"/>
              <w:right w:w="120" w:type="dxa"/>
            </w:tcMar>
            <w:vAlign w:val="center"/>
          </w:tcPr>
          <w:p w14:paraId="0A2FD91E" w14:textId="77777777" w:rsidR="00C12C0F" w:rsidRDefault="00395FC0">
            <w:pPr>
              <w:spacing w:after="0"/>
              <w:rPr>
                <w:rFonts w:hint="eastAsia"/>
              </w:rPr>
            </w:pPr>
            <w:r>
              <w:rPr>
                <w:color w:val="1E3242"/>
                <w:sz w:val="17"/>
              </w:rPr>
              <w:t xml:space="preserve">Category, code, message, source, </w:t>
            </w:r>
            <w:proofErr w:type="spellStart"/>
            <w:r>
              <w:rPr>
                <w:color w:val="1E3242"/>
                <w:sz w:val="17"/>
              </w:rPr>
              <w:t>retryability</w:t>
            </w:r>
            <w:proofErr w:type="spellEnd"/>
            <w:r>
              <w:rPr>
                <w:color w:val="1E3242"/>
                <w:sz w:val="17"/>
              </w:rPr>
              <w:t>, identifiers, safe diagnostic context.</w:t>
            </w:r>
          </w:p>
        </w:tc>
      </w:tr>
      <w:tr w:rsidR="00C12C0F" w14:paraId="5229BD2E" w14:textId="77777777">
        <w:trPr>
          <w:jc w:val="center"/>
        </w:trPr>
        <w:tc>
          <w:tcPr>
            <w:tcW w:w="1944" w:type="dxa"/>
            <w:shd w:val="clear" w:color="auto" w:fill="F3F6F8"/>
            <w:tcMar>
              <w:top w:w="100" w:type="dxa"/>
              <w:left w:w="120" w:type="dxa"/>
              <w:bottom w:w="100" w:type="dxa"/>
              <w:right w:w="120" w:type="dxa"/>
            </w:tcMar>
            <w:vAlign w:val="center"/>
          </w:tcPr>
          <w:p w14:paraId="340C3DEE" w14:textId="77777777" w:rsidR="00C12C0F" w:rsidRDefault="00395FC0">
            <w:pPr>
              <w:spacing w:after="0"/>
              <w:rPr>
                <w:rFonts w:hint="eastAsia"/>
              </w:rPr>
            </w:pPr>
            <w:proofErr w:type="gramStart"/>
            <w:r>
              <w:rPr>
                <w:color w:val="1E3242"/>
                <w:sz w:val="17"/>
              </w:rPr>
              <w:t>Algorithm</w:t>
            </w:r>
            <w:proofErr w:type="gramEnd"/>
            <w:r>
              <w:rPr>
                <w:color w:val="1E3242"/>
                <w:sz w:val="17"/>
              </w:rPr>
              <w:t xml:space="preserve"> package contract</w:t>
            </w:r>
          </w:p>
        </w:tc>
        <w:tc>
          <w:tcPr>
            <w:tcW w:w="3384" w:type="dxa"/>
            <w:shd w:val="clear" w:color="auto" w:fill="F3F6F8"/>
            <w:tcMar>
              <w:top w:w="100" w:type="dxa"/>
              <w:left w:w="120" w:type="dxa"/>
              <w:bottom w:w="100" w:type="dxa"/>
              <w:right w:w="120" w:type="dxa"/>
            </w:tcMar>
            <w:vAlign w:val="center"/>
          </w:tcPr>
          <w:p w14:paraId="3DF769A3" w14:textId="77777777" w:rsidR="00C12C0F" w:rsidRDefault="00395FC0">
            <w:pPr>
              <w:spacing w:after="0"/>
              <w:rPr>
                <w:rFonts w:hint="eastAsia"/>
              </w:rPr>
            </w:pPr>
            <w:r>
              <w:rPr>
                <w:color w:val="1E3242"/>
                <w:sz w:val="17"/>
              </w:rPr>
              <w:t>Defines how an approved executable artifact is identified and invoked.</w:t>
            </w:r>
          </w:p>
        </w:tc>
        <w:tc>
          <w:tcPr>
            <w:tcW w:w="4464" w:type="dxa"/>
            <w:shd w:val="clear" w:color="auto" w:fill="F3F6F8"/>
            <w:tcMar>
              <w:top w:w="100" w:type="dxa"/>
              <w:left w:w="120" w:type="dxa"/>
              <w:bottom w:w="100" w:type="dxa"/>
              <w:right w:w="120" w:type="dxa"/>
            </w:tcMar>
            <w:vAlign w:val="center"/>
          </w:tcPr>
          <w:p w14:paraId="06C74483" w14:textId="77777777" w:rsidR="00C12C0F" w:rsidRDefault="00395FC0">
            <w:pPr>
              <w:spacing w:after="0"/>
              <w:rPr>
                <w:rFonts w:hint="eastAsia"/>
              </w:rPr>
            </w:pPr>
            <w:r>
              <w:rPr>
                <w:color w:val="1E3242"/>
                <w:sz w:val="17"/>
              </w:rPr>
              <w:t>Artifact identifier and version, runtime type, entry point, expected inputs and outputs, parameters, integrity information, resource expectations.</w:t>
            </w:r>
          </w:p>
        </w:tc>
      </w:tr>
    </w:tbl>
    <w:p w14:paraId="0E27B00A" w14:textId="77777777" w:rsidR="00C12C0F" w:rsidRDefault="00C12C0F">
      <w:pPr>
        <w:spacing w:after="20"/>
        <w:rPr>
          <w:rFonts w:hint="eastAsia"/>
        </w:rPr>
      </w:pPr>
    </w:p>
    <w:p w14:paraId="29E29BB7" w14:textId="77777777" w:rsidR="00C12C0F" w:rsidRDefault="00395FC0">
      <w:pPr>
        <w:pStyle w:val="Heading2"/>
      </w:pPr>
      <w:r>
        <w:t>6.1 Illustrative federated job payload</w:t>
      </w:r>
    </w:p>
    <w:tbl>
      <w:tblPr>
        <w:tblW w:w="0" w:type="auto"/>
        <w:tblLook w:val="04A0" w:firstRow="1" w:lastRow="0" w:firstColumn="1" w:lastColumn="0" w:noHBand="0" w:noVBand="1"/>
      </w:tblPr>
      <w:tblGrid>
        <w:gridCol w:w="10080"/>
      </w:tblGrid>
      <w:tr w:rsidR="00C12C0F" w14:paraId="37C6ABB1" w14:textId="77777777">
        <w:tc>
          <w:tcPr>
            <w:tcW w:w="10080" w:type="dxa"/>
            <w:shd w:val="clear" w:color="auto" w:fill="F3F6F8"/>
            <w:tcMar>
              <w:top w:w="150" w:type="dxa"/>
              <w:left w:w="180" w:type="dxa"/>
              <w:bottom w:w="150" w:type="dxa"/>
              <w:right w:w="180" w:type="dxa"/>
            </w:tcMar>
          </w:tcPr>
          <w:p w14:paraId="35D42824" w14:textId="77777777" w:rsidR="00C12C0F" w:rsidRDefault="00395FC0">
            <w:pPr>
              <w:rPr>
                <w:rFonts w:hint="eastAsia"/>
              </w:rPr>
            </w:pPr>
            <w:r>
              <w:rPr>
                <w:rFonts w:ascii="Consolas" w:hAnsi="Consolas"/>
                <w:color w:val="1E3242"/>
                <w:sz w:val="16"/>
              </w:rPr>
              <w:t>{</w:t>
            </w:r>
            <w:r>
              <w:rPr>
                <w:rFonts w:ascii="Consolas" w:hAnsi="Consolas"/>
                <w:color w:val="1E3242"/>
                <w:sz w:val="16"/>
              </w:rPr>
              <w:br/>
              <w:t xml:space="preserve">  "</w:t>
            </w:r>
            <w:proofErr w:type="spellStart"/>
            <w:r>
              <w:rPr>
                <w:rFonts w:ascii="Consolas" w:hAnsi="Consolas"/>
                <w:color w:val="1E3242"/>
                <w:sz w:val="16"/>
              </w:rPr>
              <w:t>contractVersion</w:t>
            </w:r>
            <w:proofErr w:type="spellEnd"/>
            <w:r>
              <w:rPr>
                <w:rFonts w:ascii="Consolas" w:hAnsi="Consolas"/>
                <w:color w:val="1E3242"/>
                <w:sz w:val="16"/>
              </w:rPr>
              <w:t>": "1.0",</w:t>
            </w:r>
            <w:r>
              <w:rPr>
                <w:rFonts w:ascii="Consolas" w:hAnsi="Consolas"/>
                <w:color w:val="1E3242"/>
                <w:sz w:val="16"/>
              </w:rPr>
              <w:br/>
              <w:t xml:space="preserve">  "</w:t>
            </w:r>
            <w:proofErr w:type="spellStart"/>
            <w:r>
              <w:rPr>
                <w:rFonts w:ascii="Consolas" w:hAnsi="Consolas"/>
                <w:color w:val="1E3242"/>
                <w:sz w:val="16"/>
              </w:rPr>
              <w:t>federatedJobId</w:t>
            </w:r>
            <w:proofErr w:type="spellEnd"/>
            <w:r>
              <w:rPr>
                <w:rFonts w:ascii="Consolas" w:hAnsi="Consolas"/>
                <w:color w:val="1E3242"/>
                <w:sz w:val="16"/>
              </w:rPr>
              <w:t>": "job-123",</w:t>
            </w:r>
            <w:r>
              <w:rPr>
                <w:rFonts w:ascii="Consolas" w:hAnsi="Consolas"/>
                <w:color w:val="1E3242"/>
                <w:sz w:val="16"/>
              </w:rPr>
              <w:br/>
              <w:t xml:space="preserve">  "</w:t>
            </w:r>
            <w:proofErr w:type="spellStart"/>
            <w:r>
              <w:rPr>
                <w:rFonts w:ascii="Consolas" w:hAnsi="Consolas"/>
                <w:color w:val="1E3242"/>
                <w:sz w:val="16"/>
              </w:rPr>
              <w:t>siteJobId</w:t>
            </w:r>
            <w:proofErr w:type="spellEnd"/>
            <w:r>
              <w:rPr>
                <w:rFonts w:ascii="Consolas" w:hAnsi="Consolas"/>
                <w:color w:val="1E3242"/>
                <w:sz w:val="16"/>
              </w:rPr>
              <w:t>": "site-job-456",</w:t>
            </w:r>
            <w:r>
              <w:rPr>
                <w:rFonts w:ascii="Consolas" w:hAnsi="Consolas"/>
                <w:color w:val="1E3242"/>
                <w:sz w:val="16"/>
              </w:rPr>
              <w:br/>
              <w:t xml:space="preserve">  "</w:t>
            </w:r>
            <w:proofErr w:type="spellStart"/>
            <w:r>
              <w:rPr>
                <w:rFonts w:ascii="Consolas" w:hAnsi="Consolas"/>
                <w:color w:val="1E3242"/>
                <w:sz w:val="16"/>
              </w:rPr>
              <w:t>siteId</w:t>
            </w:r>
            <w:proofErr w:type="spellEnd"/>
            <w:r>
              <w:rPr>
                <w:rFonts w:ascii="Consolas" w:hAnsi="Consolas"/>
                <w:color w:val="1E3242"/>
                <w:sz w:val="16"/>
              </w:rPr>
              <w:t>": "site-a",</w:t>
            </w:r>
            <w:r>
              <w:rPr>
                <w:rFonts w:ascii="Consolas" w:hAnsi="Consolas"/>
                <w:color w:val="1E3242"/>
                <w:sz w:val="16"/>
              </w:rPr>
              <w:br/>
              <w:t xml:space="preserve">  "algorithm": {</w:t>
            </w:r>
            <w:r>
              <w:rPr>
                <w:rFonts w:ascii="Consolas" w:hAnsi="Consolas"/>
                <w:color w:val="1E3242"/>
                <w:sz w:val="16"/>
              </w:rPr>
              <w:br/>
              <w:t xml:space="preserve">    "identifier": "algorithm-id",</w:t>
            </w:r>
            <w:r>
              <w:rPr>
                <w:rFonts w:ascii="Consolas" w:hAnsi="Consolas"/>
                <w:color w:val="1E3242"/>
                <w:sz w:val="16"/>
              </w:rPr>
              <w:br/>
              <w:t xml:space="preserve">    "version": "1.2.0",</w:t>
            </w:r>
            <w:r>
              <w:rPr>
                <w:rFonts w:ascii="Consolas" w:hAnsi="Consolas"/>
                <w:color w:val="1E3242"/>
                <w:sz w:val="16"/>
              </w:rPr>
              <w:br/>
              <w:t xml:space="preserve">    "</w:t>
            </w:r>
            <w:proofErr w:type="spellStart"/>
            <w:r>
              <w:rPr>
                <w:rFonts w:ascii="Consolas" w:hAnsi="Consolas"/>
                <w:color w:val="1E3242"/>
                <w:sz w:val="16"/>
              </w:rPr>
              <w:t>executionType</w:t>
            </w:r>
            <w:proofErr w:type="spellEnd"/>
            <w:r>
              <w:rPr>
                <w:rFonts w:ascii="Consolas" w:hAnsi="Consolas"/>
                <w:color w:val="1E3242"/>
                <w:sz w:val="16"/>
              </w:rPr>
              <w:t>": "container"</w:t>
            </w:r>
            <w:r>
              <w:rPr>
                <w:rFonts w:ascii="Consolas" w:hAnsi="Consolas"/>
                <w:color w:val="1E3242"/>
                <w:sz w:val="16"/>
              </w:rPr>
              <w:br/>
              <w:t xml:space="preserve">  },</w:t>
            </w:r>
            <w:r>
              <w:rPr>
                <w:rFonts w:ascii="Consolas" w:hAnsi="Consolas"/>
                <w:color w:val="1E3242"/>
                <w:sz w:val="16"/>
              </w:rPr>
              <w:br/>
              <w:t xml:space="preserve">  "cohort": {</w:t>
            </w:r>
            <w:r>
              <w:rPr>
                <w:rFonts w:ascii="Consolas" w:hAnsi="Consolas"/>
                <w:color w:val="1E3242"/>
                <w:sz w:val="16"/>
              </w:rPr>
              <w:br/>
              <w:t xml:space="preserve">    "</w:t>
            </w:r>
            <w:proofErr w:type="spellStart"/>
            <w:r>
              <w:rPr>
                <w:rFonts w:ascii="Consolas" w:hAnsi="Consolas"/>
                <w:color w:val="1E3242"/>
                <w:sz w:val="16"/>
              </w:rPr>
              <w:t>definitionId</w:t>
            </w:r>
            <w:proofErr w:type="spellEnd"/>
            <w:r>
              <w:rPr>
                <w:rFonts w:ascii="Consolas" w:hAnsi="Consolas"/>
                <w:color w:val="1E3242"/>
                <w:sz w:val="16"/>
              </w:rPr>
              <w:t>": "cohort-789",</w:t>
            </w:r>
            <w:r>
              <w:rPr>
                <w:rFonts w:ascii="Consolas" w:hAnsi="Consolas"/>
                <w:color w:val="1E3242"/>
                <w:sz w:val="16"/>
              </w:rPr>
              <w:br/>
              <w:t xml:space="preserve">    "criteria": {}</w:t>
            </w:r>
            <w:r>
              <w:rPr>
                <w:rFonts w:ascii="Consolas" w:hAnsi="Consolas"/>
                <w:color w:val="1E3242"/>
                <w:sz w:val="16"/>
              </w:rPr>
              <w:br/>
              <w:t xml:space="preserve">  },</w:t>
            </w:r>
            <w:r>
              <w:rPr>
                <w:rFonts w:ascii="Consolas" w:hAnsi="Consolas"/>
                <w:color w:val="1E3242"/>
                <w:sz w:val="16"/>
              </w:rPr>
              <w:br/>
              <w:t xml:space="preserve">  "parameters": {},</w:t>
            </w:r>
            <w:r>
              <w:rPr>
                <w:rFonts w:ascii="Consolas" w:hAnsi="Consolas"/>
                <w:color w:val="1E3242"/>
                <w:sz w:val="16"/>
              </w:rPr>
              <w:br/>
              <w:t xml:space="preserve">  "</w:t>
            </w:r>
            <w:proofErr w:type="spellStart"/>
            <w:r>
              <w:rPr>
                <w:rFonts w:ascii="Consolas" w:hAnsi="Consolas"/>
                <w:color w:val="1E3242"/>
                <w:sz w:val="16"/>
              </w:rPr>
              <w:t>outputSpecification</w:t>
            </w:r>
            <w:proofErr w:type="spellEnd"/>
            <w:r>
              <w:rPr>
                <w:rFonts w:ascii="Consolas" w:hAnsi="Consolas"/>
                <w:color w:val="1E3242"/>
                <w:sz w:val="16"/>
              </w:rPr>
              <w:t>": {},</w:t>
            </w:r>
            <w:r>
              <w:rPr>
                <w:rFonts w:ascii="Consolas" w:hAnsi="Consolas"/>
                <w:color w:val="1E3242"/>
                <w:sz w:val="16"/>
              </w:rPr>
              <w:br/>
              <w:t xml:space="preserve">  "</w:t>
            </w:r>
            <w:proofErr w:type="spellStart"/>
            <w:r>
              <w:rPr>
                <w:rFonts w:ascii="Consolas" w:hAnsi="Consolas"/>
                <w:color w:val="1E3242"/>
                <w:sz w:val="16"/>
              </w:rPr>
              <w:t>submittedAt</w:t>
            </w:r>
            <w:proofErr w:type="spellEnd"/>
            <w:r>
              <w:rPr>
                <w:rFonts w:ascii="Consolas" w:hAnsi="Consolas"/>
                <w:color w:val="1E3242"/>
                <w:sz w:val="16"/>
              </w:rPr>
              <w:t>": "ISO-8601 timestamp"</w:t>
            </w:r>
            <w:r>
              <w:rPr>
                <w:rFonts w:ascii="Consolas" w:hAnsi="Consolas"/>
                <w:color w:val="1E3242"/>
                <w:sz w:val="16"/>
              </w:rPr>
              <w:br/>
              <w:t>}</w:t>
            </w:r>
          </w:p>
        </w:tc>
      </w:tr>
    </w:tbl>
    <w:p w14:paraId="67B83FC0" w14:textId="77777777" w:rsidR="00C12C0F" w:rsidRDefault="00395FC0">
      <w:pPr>
        <w:pStyle w:val="Caption"/>
        <w:rPr>
          <w:rFonts w:hint="eastAsia"/>
        </w:rPr>
      </w:pPr>
      <w:r>
        <w:t>Illustrative only. Final fields and semantics should be reconciled to the actual open-source contract classes and published as a versioned schema.</w:t>
      </w:r>
    </w:p>
    <w:p w14:paraId="2AFCAF49" w14:textId="77777777" w:rsidR="00C12C0F" w:rsidRDefault="00395FC0">
      <w:pPr>
        <w:pStyle w:val="Heading2"/>
      </w:pPr>
      <w:r>
        <w:t>6.2 State model</w:t>
      </w:r>
    </w:p>
    <w:p w14:paraId="0B000A08" w14:textId="77777777" w:rsidR="00C12C0F" w:rsidRDefault="00395FC0">
      <w:pPr>
        <w:rPr>
          <w:rFonts w:hint="eastAsia"/>
        </w:rPr>
      </w:pPr>
      <w:r>
        <w:t>A production contract should distinguish the federated job, site job, local execution, and result-transfer states. Suggested states include Available, Retrieved, Accepted, Rejected, Queued, Running, Completed, Failed, Cancelled, and Result Submitted. These are recommended design terms, not assertions about the current libraries.</w:t>
      </w:r>
    </w:p>
    <w:p w14:paraId="53491996" w14:textId="77777777" w:rsidR="00C12C0F" w:rsidRDefault="00395FC0">
      <w:pPr>
        <w:pStyle w:val="Heading1"/>
      </w:pPr>
      <w:r>
        <w:lastRenderedPageBreak/>
        <w:t>7. Representative Interaction Flow</w:t>
      </w:r>
    </w:p>
    <w:tbl>
      <w:tblPr>
        <w:tblStyle w:val="TableGrid"/>
        <w:tblW w:w="0" w:type="auto"/>
        <w:jc w:val="center"/>
        <w:tblLook w:val="04A0" w:firstRow="1" w:lastRow="0" w:firstColumn="1" w:lastColumn="0" w:noHBand="0" w:noVBand="1"/>
      </w:tblPr>
      <w:tblGrid>
        <w:gridCol w:w="792"/>
        <w:gridCol w:w="6408"/>
        <w:gridCol w:w="2520"/>
      </w:tblGrid>
      <w:tr w:rsidR="00C12C0F" w14:paraId="422B2FF7" w14:textId="77777777">
        <w:trPr>
          <w:tblHeader/>
          <w:jc w:val="center"/>
        </w:trPr>
        <w:tc>
          <w:tcPr>
            <w:tcW w:w="792" w:type="dxa"/>
            <w:shd w:val="clear" w:color="auto" w:fill="183B56"/>
            <w:tcMar>
              <w:top w:w="100" w:type="dxa"/>
              <w:left w:w="120" w:type="dxa"/>
              <w:bottom w:w="100" w:type="dxa"/>
              <w:right w:w="120" w:type="dxa"/>
            </w:tcMar>
            <w:vAlign w:val="center"/>
          </w:tcPr>
          <w:p w14:paraId="74231C31" w14:textId="77777777" w:rsidR="00C12C0F" w:rsidRDefault="00395FC0">
            <w:pPr>
              <w:rPr>
                <w:rFonts w:hint="eastAsia"/>
              </w:rPr>
            </w:pPr>
            <w:r>
              <w:rPr>
                <w:b/>
                <w:color w:val="FFFFFF"/>
                <w:sz w:val="18"/>
              </w:rPr>
              <w:t>Step</w:t>
            </w:r>
          </w:p>
        </w:tc>
        <w:tc>
          <w:tcPr>
            <w:tcW w:w="6408" w:type="dxa"/>
            <w:shd w:val="clear" w:color="auto" w:fill="183B56"/>
            <w:tcMar>
              <w:top w:w="100" w:type="dxa"/>
              <w:left w:w="120" w:type="dxa"/>
              <w:bottom w:w="100" w:type="dxa"/>
              <w:right w:w="120" w:type="dxa"/>
            </w:tcMar>
            <w:vAlign w:val="center"/>
          </w:tcPr>
          <w:p w14:paraId="38332E78" w14:textId="77777777" w:rsidR="00C12C0F" w:rsidRDefault="00395FC0">
            <w:pPr>
              <w:rPr>
                <w:rFonts w:hint="eastAsia"/>
              </w:rPr>
            </w:pPr>
            <w:r>
              <w:rPr>
                <w:b/>
                <w:color w:val="FFFFFF"/>
                <w:sz w:val="18"/>
              </w:rPr>
              <w:t>Control or data-plane activity</w:t>
            </w:r>
          </w:p>
        </w:tc>
        <w:tc>
          <w:tcPr>
            <w:tcW w:w="2520" w:type="dxa"/>
            <w:shd w:val="clear" w:color="auto" w:fill="183B56"/>
            <w:tcMar>
              <w:top w:w="100" w:type="dxa"/>
              <w:left w:w="120" w:type="dxa"/>
              <w:bottom w:w="100" w:type="dxa"/>
              <w:right w:w="120" w:type="dxa"/>
            </w:tcMar>
            <w:vAlign w:val="center"/>
          </w:tcPr>
          <w:p w14:paraId="42B05134" w14:textId="77777777" w:rsidR="00C12C0F" w:rsidRDefault="00395FC0">
            <w:pPr>
              <w:rPr>
                <w:rFonts w:hint="eastAsia"/>
              </w:rPr>
            </w:pPr>
            <w:r>
              <w:rPr>
                <w:b/>
                <w:color w:val="FFFFFF"/>
                <w:sz w:val="18"/>
              </w:rPr>
              <w:t>Primary contract</w:t>
            </w:r>
          </w:p>
        </w:tc>
      </w:tr>
      <w:tr w:rsidR="00C12C0F" w14:paraId="5BE9564F" w14:textId="77777777">
        <w:trPr>
          <w:jc w:val="center"/>
        </w:trPr>
        <w:tc>
          <w:tcPr>
            <w:tcW w:w="792" w:type="dxa"/>
            <w:tcMar>
              <w:top w:w="100" w:type="dxa"/>
              <w:left w:w="120" w:type="dxa"/>
              <w:bottom w:w="100" w:type="dxa"/>
              <w:right w:w="120" w:type="dxa"/>
            </w:tcMar>
            <w:vAlign w:val="center"/>
          </w:tcPr>
          <w:p w14:paraId="649841BE" w14:textId="77777777" w:rsidR="00C12C0F" w:rsidRDefault="00395FC0">
            <w:pPr>
              <w:spacing w:after="0"/>
              <w:rPr>
                <w:rFonts w:hint="eastAsia"/>
              </w:rPr>
            </w:pPr>
            <w:r>
              <w:rPr>
                <w:color w:val="1E3242"/>
                <w:sz w:val="17"/>
              </w:rPr>
              <w:t>1</w:t>
            </w:r>
          </w:p>
        </w:tc>
        <w:tc>
          <w:tcPr>
            <w:tcW w:w="6408" w:type="dxa"/>
            <w:tcMar>
              <w:top w:w="100" w:type="dxa"/>
              <w:left w:w="120" w:type="dxa"/>
              <w:bottom w:w="100" w:type="dxa"/>
              <w:right w:w="120" w:type="dxa"/>
            </w:tcMar>
            <w:vAlign w:val="center"/>
          </w:tcPr>
          <w:p w14:paraId="11CC1EC8" w14:textId="77777777" w:rsidR="00C12C0F" w:rsidRDefault="00395FC0">
            <w:pPr>
              <w:spacing w:after="0"/>
              <w:rPr>
                <w:rFonts w:hint="eastAsia"/>
              </w:rPr>
            </w:pPr>
            <w:r>
              <w:rPr>
                <w:color w:val="1E3242"/>
                <w:sz w:val="17"/>
              </w:rPr>
              <w:t>A user or authorized service defines a cohort and federated job in the central platform.</w:t>
            </w:r>
          </w:p>
        </w:tc>
        <w:tc>
          <w:tcPr>
            <w:tcW w:w="2520" w:type="dxa"/>
            <w:tcMar>
              <w:top w:w="100" w:type="dxa"/>
              <w:left w:w="120" w:type="dxa"/>
              <w:bottom w:w="100" w:type="dxa"/>
              <w:right w:w="120" w:type="dxa"/>
            </w:tcMar>
            <w:vAlign w:val="center"/>
          </w:tcPr>
          <w:p w14:paraId="22A565B1" w14:textId="77777777" w:rsidR="00C12C0F" w:rsidRDefault="00395FC0">
            <w:pPr>
              <w:spacing w:after="0"/>
              <w:rPr>
                <w:rFonts w:hint="eastAsia"/>
              </w:rPr>
            </w:pPr>
            <w:r>
              <w:rPr>
                <w:color w:val="1E3242"/>
                <w:sz w:val="17"/>
              </w:rPr>
              <w:t>Metadata and federated job</w:t>
            </w:r>
          </w:p>
        </w:tc>
      </w:tr>
      <w:tr w:rsidR="00C12C0F" w14:paraId="7F0F6F0E" w14:textId="77777777">
        <w:trPr>
          <w:jc w:val="center"/>
        </w:trPr>
        <w:tc>
          <w:tcPr>
            <w:tcW w:w="792" w:type="dxa"/>
            <w:shd w:val="clear" w:color="auto" w:fill="F3F6F8"/>
            <w:tcMar>
              <w:top w:w="100" w:type="dxa"/>
              <w:left w:w="120" w:type="dxa"/>
              <w:bottom w:w="100" w:type="dxa"/>
              <w:right w:w="120" w:type="dxa"/>
            </w:tcMar>
            <w:vAlign w:val="center"/>
          </w:tcPr>
          <w:p w14:paraId="18F999B5" w14:textId="77777777" w:rsidR="00C12C0F" w:rsidRDefault="00395FC0">
            <w:pPr>
              <w:spacing w:after="0"/>
              <w:rPr>
                <w:rFonts w:hint="eastAsia"/>
              </w:rPr>
            </w:pPr>
            <w:r>
              <w:rPr>
                <w:color w:val="1E3242"/>
                <w:sz w:val="17"/>
              </w:rPr>
              <w:t>2</w:t>
            </w:r>
          </w:p>
        </w:tc>
        <w:tc>
          <w:tcPr>
            <w:tcW w:w="6408" w:type="dxa"/>
            <w:shd w:val="clear" w:color="auto" w:fill="F3F6F8"/>
            <w:tcMar>
              <w:top w:w="100" w:type="dxa"/>
              <w:left w:w="120" w:type="dxa"/>
              <w:bottom w:w="100" w:type="dxa"/>
              <w:right w:w="120" w:type="dxa"/>
            </w:tcMar>
            <w:vAlign w:val="center"/>
          </w:tcPr>
          <w:p w14:paraId="3CBD2BA7" w14:textId="77777777" w:rsidR="00C12C0F" w:rsidRDefault="00395FC0">
            <w:pPr>
              <w:spacing w:after="0"/>
              <w:rPr>
                <w:rFonts w:hint="eastAsia"/>
              </w:rPr>
            </w:pPr>
            <w:r>
              <w:rPr>
                <w:color w:val="1E3242"/>
                <w:sz w:val="17"/>
              </w:rPr>
              <w:t>The central orchestrator validates the request and creates site-specific jobs.</w:t>
            </w:r>
          </w:p>
        </w:tc>
        <w:tc>
          <w:tcPr>
            <w:tcW w:w="2520" w:type="dxa"/>
            <w:shd w:val="clear" w:color="auto" w:fill="F3F6F8"/>
            <w:tcMar>
              <w:top w:w="100" w:type="dxa"/>
              <w:left w:w="120" w:type="dxa"/>
              <w:bottom w:w="100" w:type="dxa"/>
              <w:right w:w="120" w:type="dxa"/>
            </w:tcMar>
            <w:vAlign w:val="center"/>
          </w:tcPr>
          <w:p w14:paraId="313210BE" w14:textId="77777777" w:rsidR="00C12C0F" w:rsidRDefault="00395FC0">
            <w:pPr>
              <w:spacing w:after="0"/>
              <w:rPr>
                <w:rFonts w:hint="eastAsia"/>
              </w:rPr>
            </w:pPr>
            <w:r>
              <w:rPr>
                <w:color w:val="1E3242"/>
                <w:sz w:val="17"/>
              </w:rPr>
              <w:t>Federated job</w:t>
            </w:r>
          </w:p>
        </w:tc>
      </w:tr>
      <w:tr w:rsidR="00C12C0F" w14:paraId="69886F07" w14:textId="77777777">
        <w:trPr>
          <w:jc w:val="center"/>
        </w:trPr>
        <w:tc>
          <w:tcPr>
            <w:tcW w:w="792" w:type="dxa"/>
            <w:tcMar>
              <w:top w:w="100" w:type="dxa"/>
              <w:left w:w="120" w:type="dxa"/>
              <w:bottom w:w="100" w:type="dxa"/>
              <w:right w:w="120" w:type="dxa"/>
            </w:tcMar>
            <w:vAlign w:val="center"/>
          </w:tcPr>
          <w:p w14:paraId="5FCD5EC4" w14:textId="77777777" w:rsidR="00C12C0F" w:rsidRDefault="00395FC0">
            <w:pPr>
              <w:spacing w:after="0"/>
              <w:rPr>
                <w:rFonts w:hint="eastAsia"/>
              </w:rPr>
            </w:pPr>
            <w:r>
              <w:rPr>
                <w:color w:val="1E3242"/>
                <w:sz w:val="17"/>
              </w:rPr>
              <w:t>3</w:t>
            </w:r>
          </w:p>
        </w:tc>
        <w:tc>
          <w:tcPr>
            <w:tcW w:w="6408" w:type="dxa"/>
            <w:tcMar>
              <w:top w:w="100" w:type="dxa"/>
              <w:left w:w="120" w:type="dxa"/>
              <w:bottom w:w="100" w:type="dxa"/>
              <w:right w:w="120" w:type="dxa"/>
            </w:tcMar>
            <w:vAlign w:val="center"/>
          </w:tcPr>
          <w:p w14:paraId="7888A9C4" w14:textId="77777777" w:rsidR="00C12C0F" w:rsidRDefault="00395FC0">
            <w:pPr>
              <w:spacing w:after="0"/>
              <w:rPr>
                <w:rFonts w:hint="eastAsia"/>
              </w:rPr>
            </w:pPr>
            <w:r>
              <w:rPr>
                <w:color w:val="1E3242"/>
                <w:sz w:val="17"/>
              </w:rPr>
              <w:t>The local site agent authenticates and retrieves an eligible site job.</w:t>
            </w:r>
          </w:p>
        </w:tc>
        <w:tc>
          <w:tcPr>
            <w:tcW w:w="2520" w:type="dxa"/>
            <w:tcMar>
              <w:top w:w="100" w:type="dxa"/>
              <w:left w:w="120" w:type="dxa"/>
              <w:bottom w:w="100" w:type="dxa"/>
              <w:right w:w="120" w:type="dxa"/>
            </w:tcMar>
            <w:vAlign w:val="center"/>
          </w:tcPr>
          <w:p w14:paraId="59FACA18" w14:textId="77777777" w:rsidR="00C12C0F" w:rsidRDefault="00395FC0">
            <w:pPr>
              <w:spacing w:after="0"/>
              <w:rPr>
                <w:rFonts w:hint="eastAsia"/>
              </w:rPr>
            </w:pPr>
            <w:r>
              <w:rPr>
                <w:color w:val="1E3242"/>
                <w:sz w:val="17"/>
              </w:rPr>
              <w:t>Federated job</w:t>
            </w:r>
          </w:p>
        </w:tc>
      </w:tr>
      <w:tr w:rsidR="00C12C0F" w14:paraId="441996E1" w14:textId="77777777">
        <w:trPr>
          <w:jc w:val="center"/>
        </w:trPr>
        <w:tc>
          <w:tcPr>
            <w:tcW w:w="792" w:type="dxa"/>
            <w:shd w:val="clear" w:color="auto" w:fill="F3F6F8"/>
            <w:tcMar>
              <w:top w:w="100" w:type="dxa"/>
              <w:left w:w="120" w:type="dxa"/>
              <w:bottom w:w="100" w:type="dxa"/>
              <w:right w:w="120" w:type="dxa"/>
            </w:tcMar>
            <w:vAlign w:val="center"/>
          </w:tcPr>
          <w:p w14:paraId="2598DEE6" w14:textId="77777777" w:rsidR="00C12C0F" w:rsidRDefault="00395FC0">
            <w:pPr>
              <w:spacing w:after="0"/>
              <w:rPr>
                <w:rFonts w:hint="eastAsia"/>
              </w:rPr>
            </w:pPr>
            <w:r>
              <w:rPr>
                <w:color w:val="1E3242"/>
                <w:sz w:val="17"/>
              </w:rPr>
              <w:t>4</w:t>
            </w:r>
          </w:p>
        </w:tc>
        <w:tc>
          <w:tcPr>
            <w:tcW w:w="6408" w:type="dxa"/>
            <w:shd w:val="clear" w:color="auto" w:fill="F3F6F8"/>
            <w:tcMar>
              <w:top w:w="100" w:type="dxa"/>
              <w:left w:w="120" w:type="dxa"/>
              <w:bottom w:w="100" w:type="dxa"/>
              <w:right w:w="120" w:type="dxa"/>
            </w:tcMar>
            <w:vAlign w:val="center"/>
          </w:tcPr>
          <w:p w14:paraId="299D6CEE" w14:textId="77777777" w:rsidR="00C12C0F" w:rsidRDefault="00395FC0">
            <w:pPr>
              <w:spacing w:after="0"/>
              <w:rPr>
                <w:rFonts w:hint="eastAsia"/>
              </w:rPr>
            </w:pPr>
            <w:r>
              <w:rPr>
                <w:color w:val="1E3242"/>
                <w:sz w:val="17"/>
              </w:rPr>
              <w:t>The site validates the instruction, applies local policy, and accepts or rejects the job.</w:t>
            </w:r>
          </w:p>
        </w:tc>
        <w:tc>
          <w:tcPr>
            <w:tcW w:w="2520" w:type="dxa"/>
            <w:shd w:val="clear" w:color="auto" w:fill="F3F6F8"/>
            <w:tcMar>
              <w:top w:w="100" w:type="dxa"/>
              <w:left w:w="120" w:type="dxa"/>
              <w:bottom w:w="100" w:type="dxa"/>
              <w:right w:w="120" w:type="dxa"/>
            </w:tcMar>
            <w:vAlign w:val="center"/>
          </w:tcPr>
          <w:p w14:paraId="049FA2D0" w14:textId="77777777" w:rsidR="00C12C0F" w:rsidRDefault="00395FC0">
            <w:pPr>
              <w:spacing w:after="0"/>
              <w:rPr>
                <w:rFonts w:hint="eastAsia"/>
              </w:rPr>
            </w:pPr>
            <w:r>
              <w:rPr>
                <w:color w:val="1E3242"/>
                <w:sz w:val="17"/>
              </w:rPr>
              <w:t>Status and error</w:t>
            </w:r>
          </w:p>
        </w:tc>
      </w:tr>
      <w:tr w:rsidR="00C12C0F" w14:paraId="671FD045" w14:textId="77777777">
        <w:trPr>
          <w:jc w:val="center"/>
        </w:trPr>
        <w:tc>
          <w:tcPr>
            <w:tcW w:w="792" w:type="dxa"/>
            <w:tcMar>
              <w:top w:w="100" w:type="dxa"/>
              <w:left w:w="120" w:type="dxa"/>
              <w:bottom w:w="100" w:type="dxa"/>
              <w:right w:w="120" w:type="dxa"/>
            </w:tcMar>
            <w:vAlign w:val="center"/>
          </w:tcPr>
          <w:p w14:paraId="78941E47" w14:textId="77777777" w:rsidR="00C12C0F" w:rsidRDefault="00395FC0">
            <w:pPr>
              <w:spacing w:after="0"/>
              <w:rPr>
                <w:rFonts w:hint="eastAsia"/>
              </w:rPr>
            </w:pPr>
            <w:r>
              <w:rPr>
                <w:color w:val="1E3242"/>
                <w:sz w:val="17"/>
              </w:rPr>
              <w:t>5</w:t>
            </w:r>
          </w:p>
        </w:tc>
        <w:tc>
          <w:tcPr>
            <w:tcW w:w="6408" w:type="dxa"/>
            <w:tcMar>
              <w:top w:w="100" w:type="dxa"/>
              <w:left w:w="120" w:type="dxa"/>
              <w:bottom w:w="100" w:type="dxa"/>
              <w:right w:w="120" w:type="dxa"/>
            </w:tcMar>
            <w:vAlign w:val="center"/>
          </w:tcPr>
          <w:p w14:paraId="69BFECEA" w14:textId="77777777" w:rsidR="00C12C0F" w:rsidRDefault="00395FC0">
            <w:pPr>
              <w:spacing w:after="0"/>
              <w:rPr>
                <w:rFonts w:hint="eastAsia"/>
              </w:rPr>
            </w:pPr>
            <w:r>
              <w:rPr>
                <w:color w:val="1E3242"/>
                <w:sz w:val="17"/>
              </w:rPr>
              <w:t>The site resolves cohort criteria against the local metadata index.</w:t>
            </w:r>
          </w:p>
        </w:tc>
        <w:tc>
          <w:tcPr>
            <w:tcW w:w="2520" w:type="dxa"/>
            <w:tcMar>
              <w:top w:w="100" w:type="dxa"/>
              <w:left w:w="120" w:type="dxa"/>
              <w:bottom w:w="100" w:type="dxa"/>
              <w:right w:w="120" w:type="dxa"/>
            </w:tcMar>
            <w:vAlign w:val="center"/>
          </w:tcPr>
          <w:p w14:paraId="129DE35B" w14:textId="77777777" w:rsidR="00C12C0F" w:rsidRDefault="00395FC0">
            <w:pPr>
              <w:spacing w:after="0"/>
              <w:rPr>
                <w:rFonts w:hint="eastAsia"/>
              </w:rPr>
            </w:pPr>
            <w:r>
              <w:rPr>
                <w:color w:val="1E3242"/>
                <w:sz w:val="17"/>
              </w:rPr>
              <w:t>Metadata</w:t>
            </w:r>
          </w:p>
        </w:tc>
      </w:tr>
      <w:tr w:rsidR="00C12C0F" w14:paraId="40C69351" w14:textId="77777777">
        <w:trPr>
          <w:jc w:val="center"/>
        </w:trPr>
        <w:tc>
          <w:tcPr>
            <w:tcW w:w="792" w:type="dxa"/>
            <w:shd w:val="clear" w:color="auto" w:fill="F3F6F8"/>
            <w:tcMar>
              <w:top w:w="100" w:type="dxa"/>
              <w:left w:w="120" w:type="dxa"/>
              <w:bottom w:w="100" w:type="dxa"/>
              <w:right w:w="120" w:type="dxa"/>
            </w:tcMar>
            <w:vAlign w:val="center"/>
          </w:tcPr>
          <w:p w14:paraId="29B4EA11" w14:textId="77777777" w:rsidR="00C12C0F" w:rsidRDefault="00395FC0">
            <w:pPr>
              <w:spacing w:after="0"/>
              <w:rPr>
                <w:rFonts w:hint="eastAsia"/>
              </w:rPr>
            </w:pPr>
            <w:r>
              <w:rPr>
                <w:color w:val="1E3242"/>
                <w:sz w:val="17"/>
              </w:rPr>
              <w:t>6</w:t>
            </w:r>
          </w:p>
        </w:tc>
        <w:tc>
          <w:tcPr>
            <w:tcW w:w="6408" w:type="dxa"/>
            <w:shd w:val="clear" w:color="auto" w:fill="F3F6F8"/>
            <w:tcMar>
              <w:top w:w="100" w:type="dxa"/>
              <w:left w:w="120" w:type="dxa"/>
              <w:bottom w:w="100" w:type="dxa"/>
              <w:right w:w="120" w:type="dxa"/>
            </w:tcMar>
            <w:vAlign w:val="center"/>
          </w:tcPr>
          <w:p w14:paraId="055CAC7F" w14:textId="77777777" w:rsidR="00C12C0F" w:rsidRDefault="00395FC0">
            <w:pPr>
              <w:spacing w:after="0"/>
              <w:rPr>
                <w:rFonts w:hint="eastAsia"/>
              </w:rPr>
            </w:pPr>
            <w:r>
              <w:rPr>
                <w:color w:val="1E3242"/>
                <w:sz w:val="17"/>
              </w:rPr>
              <w:t xml:space="preserve">The site prepares authorized </w:t>
            </w:r>
            <w:proofErr w:type="gramStart"/>
            <w:r>
              <w:rPr>
                <w:color w:val="1E3242"/>
                <w:sz w:val="17"/>
              </w:rPr>
              <w:t>inputs</w:t>
            </w:r>
            <w:proofErr w:type="gramEnd"/>
            <w:r>
              <w:rPr>
                <w:color w:val="1E3242"/>
                <w:sz w:val="17"/>
              </w:rPr>
              <w:t xml:space="preserve"> and invokes the approved workload.</w:t>
            </w:r>
          </w:p>
        </w:tc>
        <w:tc>
          <w:tcPr>
            <w:tcW w:w="2520" w:type="dxa"/>
            <w:shd w:val="clear" w:color="auto" w:fill="F3F6F8"/>
            <w:tcMar>
              <w:top w:w="100" w:type="dxa"/>
              <w:left w:w="120" w:type="dxa"/>
              <w:bottom w:w="100" w:type="dxa"/>
              <w:right w:w="120" w:type="dxa"/>
            </w:tcMar>
            <w:vAlign w:val="center"/>
          </w:tcPr>
          <w:p w14:paraId="060BB721" w14:textId="77777777" w:rsidR="00C12C0F" w:rsidRDefault="00395FC0">
            <w:pPr>
              <w:spacing w:after="0"/>
              <w:rPr>
                <w:rFonts w:hint="eastAsia"/>
              </w:rPr>
            </w:pPr>
            <w:r>
              <w:rPr>
                <w:color w:val="1E3242"/>
                <w:sz w:val="17"/>
              </w:rPr>
              <w:t>Algorithm package</w:t>
            </w:r>
          </w:p>
        </w:tc>
      </w:tr>
      <w:tr w:rsidR="00C12C0F" w14:paraId="4C0E8266" w14:textId="77777777">
        <w:trPr>
          <w:jc w:val="center"/>
        </w:trPr>
        <w:tc>
          <w:tcPr>
            <w:tcW w:w="792" w:type="dxa"/>
            <w:tcMar>
              <w:top w:w="100" w:type="dxa"/>
              <w:left w:w="120" w:type="dxa"/>
              <w:bottom w:w="100" w:type="dxa"/>
              <w:right w:w="120" w:type="dxa"/>
            </w:tcMar>
            <w:vAlign w:val="center"/>
          </w:tcPr>
          <w:p w14:paraId="75697EEC" w14:textId="77777777" w:rsidR="00C12C0F" w:rsidRDefault="00395FC0">
            <w:pPr>
              <w:spacing w:after="0"/>
              <w:rPr>
                <w:rFonts w:hint="eastAsia"/>
              </w:rPr>
            </w:pPr>
            <w:r>
              <w:rPr>
                <w:color w:val="1E3242"/>
                <w:sz w:val="17"/>
              </w:rPr>
              <w:t>7</w:t>
            </w:r>
          </w:p>
        </w:tc>
        <w:tc>
          <w:tcPr>
            <w:tcW w:w="6408" w:type="dxa"/>
            <w:tcMar>
              <w:top w:w="100" w:type="dxa"/>
              <w:left w:w="120" w:type="dxa"/>
              <w:bottom w:w="100" w:type="dxa"/>
              <w:right w:w="120" w:type="dxa"/>
            </w:tcMar>
            <w:vAlign w:val="center"/>
          </w:tcPr>
          <w:p w14:paraId="405D123A" w14:textId="77777777" w:rsidR="00C12C0F" w:rsidRDefault="00395FC0">
            <w:pPr>
              <w:spacing w:after="0"/>
              <w:rPr>
                <w:rFonts w:hint="eastAsia"/>
              </w:rPr>
            </w:pPr>
            <w:r>
              <w:rPr>
                <w:color w:val="1E3242"/>
                <w:sz w:val="17"/>
              </w:rPr>
              <w:t>The site reports lifecycle updates while execution proceeds.</w:t>
            </w:r>
          </w:p>
        </w:tc>
        <w:tc>
          <w:tcPr>
            <w:tcW w:w="2520" w:type="dxa"/>
            <w:tcMar>
              <w:top w:w="100" w:type="dxa"/>
              <w:left w:w="120" w:type="dxa"/>
              <w:bottom w:w="100" w:type="dxa"/>
              <w:right w:w="120" w:type="dxa"/>
            </w:tcMar>
            <w:vAlign w:val="center"/>
          </w:tcPr>
          <w:p w14:paraId="72F77DC3" w14:textId="77777777" w:rsidR="00C12C0F" w:rsidRDefault="00395FC0">
            <w:pPr>
              <w:spacing w:after="0"/>
              <w:rPr>
                <w:rFonts w:hint="eastAsia"/>
              </w:rPr>
            </w:pPr>
            <w:r>
              <w:rPr>
                <w:color w:val="1E3242"/>
                <w:sz w:val="17"/>
              </w:rPr>
              <w:t>Status</w:t>
            </w:r>
          </w:p>
        </w:tc>
      </w:tr>
      <w:tr w:rsidR="00C12C0F" w14:paraId="5F3413D4" w14:textId="77777777">
        <w:trPr>
          <w:jc w:val="center"/>
        </w:trPr>
        <w:tc>
          <w:tcPr>
            <w:tcW w:w="792" w:type="dxa"/>
            <w:shd w:val="clear" w:color="auto" w:fill="F3F6F8"/>
            <w:tcMar>
              <w:top w:w="100" w:type="dxa"/>
              <w:left w:w="120" w:type="dxa"/>
              <w:bottom w:w="100" w:type="dxa"/>
              <w:right w:w="120" w:type="dxa"/>
            </w:tcMar>
            <w:vAlign w:val="center"/>
          </w:tcPr>
          <w:p w14:paraId="44B0A208" w14:textId="77777777" w:rsidR="00C12C0F" w:rsidRDefault="00395FC0">
            <w:pPr>
              <w:spacing w:after="0"/>
              <w:rPr>
                <w:rFonts w:hint="eastAsia"/>
              </w:rPr>
            </w:pPr>
            <w:r>
              <w:rPr>
                <w:color w:val="1E3242"/>
                <w:sz w:val="17"/>
              </w:rPr>
              <w:t>8</w:t>
            </w:r>
          </w:p>
        </w:tc>
        <w:tc>
          <w:tcPr>
            <w:tcW w:w="6408" w:type="dxa"/>
            <w:shd w:val="clear" w:color="auto" w:fill="F3F6F8"/>
            <w:tcMar>
              <w:top w:w="100" w:type="dxa"/>
              <w:left w:w="120" w:type="dxa"/>
              <w:bottom w:w="100" w:type="dxa"/>
              <w:right w:w="120" w:type="dxa"/>
            </w:tcMar>
            <w:vAlign w:val="center"/>
          </w:tcPr>
          <w:p w14:paraId="7D4BFB4B" w14:textId="77777777" w:rsidR="00C12C0F" w:rsidRDefault="00395FC0">
            <w:pPr>
              <w:spacing w:after="0"/>
              <w:rPr>
                <w:rFonts w:hint="eastAsia"/>
              </w:rPr>
            </w:pPr>
            <w:r>
              <w:rPr>
                <w:color w:val="1E3242"/>
                <w:sz w:val="17"/>
              </w:rPr>
              <w:t>The site validates, packages, and returns the permitted output.</w:t>
            </w:r>
          </w:p>
        </w:tc>
        <w:tc>
          <w:tcPr>
            <w:tcW w:w="2520" w:type="dxa"/>
            <w:shd w:val="clear" w:color="auto" w:fill="F3F6F8"/>
            <w:tcMar>
              <w:top w:w="100" w:type="dxa"/>
              <w:left w:w="120" w:type="dxa"/>
              <w:bottom w:w="100" w:type="dxa"/>
              <w:right w:w="120" w:type="dxa"/>
            </w:tcMar>
            <w:vAlign w:val="center"/>
          </w:tcPr>
          <w:p w14:paraId="1ADB7CCB" w14:textId="77777777" w:rsidR="00C12C0F" w:rsidRDefault="00395FC0">
            <w:pPr>
              <w:spacing w:after="0"/>
              <w:rPr>
                <w:rFonts w:hint="eastAsia"/>
              </w:rPr>
            </w:pPr>
            <w:r>
              <w:rPr>
                <w:color w:val="1E3242"/>
                <w:sz w:val="17"/>
              </w:rPr>
              <w:t>Result or error</w:t>
            </w:r>
          </w:p>
        </w:tc>
      </w:tr>
      <w:tr w:rsidR="00C12C0F" w14:paraId="687C5BD4" w14:textId="77777777">
        <w:trPr>
          <w:jc w:val="center"/>
        </w:trPr>
        <w:tc>
          <w:tcPr>
            <w:tcW w:w="792" w:type="dxa"/>
            <w:tcMar>
              <w:top w:w="100" w:type="dxa"/>
              <w:left w:w="120" w:type="dxa"/>
              <w:bottom w:w="100" w:type="dxa"/>
              <w:right w:w="120" w:type="dxa"/>
            </w:tcMar>
            <w:vAlign w:val="center"/>
          </w:tcPr>
          <w:p w14:paraId="2B2B7304" w14:textId="77777777" w:rsidR="00C12C0F" w:rsidRDefault="00395FC0">
            <w:pPr>
              <w:spacing w:after="0"/>
              <w:rPr>
                <w:rFonts w:hint="eastAsia"/>
              </w:rPr>
            </w:pPr>
            <w:r>
              <w:rPr>
                <w:color w:val="1E3242"/>
                <w:sz w:val="17"/>
              </w:rPr>
              <w:t>9</w:t>
            </w:r>
          </w:p>
        </w:tc>
        <w:tc>
          <w:tcPr>
            <w:tcW w:w="6408" w:type="dxa"/>
            <w:tcMar>
              <w:top w:w="100" w:type="dxa"/>
              <w:left w:w="120" w:type="dxa"/>
              <w:bottom w:w="100" w:type="dxa"/>
              <w:right w:w="120" w:type="dxa"/>
            </w:tcMar>
            <w:vAlign w:val="center"/>
          </w:tcPr>
          <w:p w14:paraId="51451ECB" w14:textId="77777777" w:rsidR="00C12C0F" w:rsidRDefault="00395FC0">
            <w:pPr>
              <w:spacing w:after="0"/>
              <w:rPr>
                <w:rFonts w:hint="eastAsia"/>
              </w:rPr>
            </w:pPr>
            <w:r>
              <w:rPr>
                <w:color w:val="1E3242"/>
                <w:sz w:val="17"/>
              </w:rPr>
              <w:t>The central orchestrator updates federated status and aggregates or presents results.</w:t>
            </w:r>
          </w:p>
        </w:tc>
        <w:tc>
          <w:tcPr>
            <w:tcW w:w="2520" w:type="dxa"/>
            <w:tcMar>
              <w:top w:w="100" w:type="dxa"/>
              <w:left w:w="120" w:type="dxa"/>
              <w:bottom w:w="100" w:type="dxa"/>
              <w:right w:w="120" w:type="dxa"/>
            </w:tcMar>
            <w:vAlign w:val="center"/>
          </w:tcPr>
          <w:p w14:paraId="2A605A16" w14:textId="77777777" w:rsidR="00C12C0F" w:rsidRDefault="00395FC0">
            <w:pPr>
              <w:spacing w:after="0"/>
              <w:rPr>
                <w:rFonts w:hint="eastAsia"/>
              </w:rPr>
            </w:pPr>
            <w:r>
              <w:rPr>
                <w:color w:val="1E3242"/>
                <w:sz w:val="17"/>
              </w:rPr>
              <w:t>Status and result</w:t>
            </w:r>
          </w:p>
        </w:tc>
      </w:tr>
      <w:tr w:rsidR="00C12C0F" w14:paraId="0157F03D" w14:textId="77777777">
        <w:trPr>
          <w:jc w:val="center"/>
        </w:trPr>
        <w:tc>
          <w:tcPr>
            <w:tcW w:w="792" w:type="dxa"/>
            <w:shd w:val="clear" w:color="auto" w:fill="F3F6F8"/>
            <w:tcMar>
              <w:top w:w="100" w:type="dxa"/>
              <w:left w:w="120" w:type="dxa"/>
              <w:bottom w:w="100" w:type="dxa"/>
              <w:right w:w="120" w:type="dxa"/>
            </w:tcMar>
            <w:vAlign w:val="center"/>
          </w:tcPr>
          <w:p w14:paraId="5D369756" w14:textId="77777777" w:rsidR="00C12C0F" w:rsidRDefault="00395FC0">
            <w:pPr>
              <w:spacing w:after="0"/>
              <w:rPr>
                <w:rFonts w:hint="eastAsia"/>
              </w:rPr>
            </w:pPr>
            <w:r>
              <w:rPr>
                <w:color w:val="1E3242"/>
                <w:sz w:val="17"/>
              </w:rPr>
              <w:t>10</w:t>
            </w:r>
          </w:p>
        </w:tc>
        <w:tc>
          <w:tcPr>
            <w:tcW w:w="6408" w:type="dxa"/>
            <w:shd w:val="clear" w:color="auto" w:fill="F3F6F8"/>
            <w:tcMar>
              <w:top w:w="100" w:type="dxa"/>
              <w:left w:w="120" w:type="dxa"/>
              <w:bottom w:w="100" w:type="dxa"/>
              <w:right w:w="120" w:type="dxa"/>
            </w:tcMar>
            <w:vAlign w:val="center"/>
          </w:tcPr>
          <w:p w14:paraId="6A8DA983" w14:textId="77777777" w:rsidR="00C12C0F" w:rsidRDefault="00395FC0">
            <w:pPr>
              <w:spacing w:after="0"/>
              <w:rPr>
                <w:rFonts w:hint="eastAsia"/>
              </w:rPr>
            </w:pPr>
            <w:r>
              <w:rPr>
                <w:color w:val="1E3242"/>
                <w:sz w:val="17"/>
              </w:rPr>
              <w:t>Both environments retain applicable provenance and audit records.</w:t>
            </w:r>
          </w:p>
        </w:tc>
        <w:tc>
          <w:tcPr>
            <w:tcW w:w="2520" w:type="dxa"/>
            <w:shd w:val="clear" w:color="auto" w:fill="F3F6F8"/>
            <w:tcMar>
              <w:top w:w="100" w:type="dxa"/>
              <w:left w:w="120" w:type="dxa"/>
              <w:bottom w:w="100" w:type="dxa"/>
              <w:right w:w="120" w:type="dxa"/>
            </w:tcMar>
            <w:vAlign w:val="center"/>
          </w:tcPr>
          <w:p w14:paraId="4B360FB6" w14:textId="77777777" w:rsidR="00C12C0F" w:rsidRDefault="00395FC0">
            <w:pPr>
              <w:spacing w:after="0"/>
              <w:rPr>
                <w:rFonts w:hint="eastAsia"/>
              </w:rPr>
            </w:pPr>
            <w:r>
              <w:rPr>
                <w:color w:val="1E3242"/>
                <w:sz w:val="17"/>
              </w:rPr>
              <w:t>Audit events defined by deployment</w:t>
            </w:r>
          </w:p>
        </w:tc>
      </w:tr>
    </w:tbl>
    <w:p w14:paraId="60061E4C" w14:textId="77777777" w:rsidR="00C12C0F" w:rsidRDefault="00C12C0F">
      <w:pPr>
        <w:spacing w:after="20"/>
        <w:rPr>
          <w:rFonts w:hint="eastAsia"/>
        </w:rPr>
      </w:pPr>
    </w:p>
    <w:p w14:paraId="71F023F2" w14:textId="77777777" w:rsidR="00C12C0F" w:rsidRDefault="00395FC0">
      <w:pPr>
        <w:pStyle w:val="Heading1"/>
      </w:pPr>
      <w:r>
        <w:t>8. Example Implementation Mapping</w:t>
      </w:r>
    </w:p>
    <w:tbl>
      <w:tblPr>
        <w:tblStyle w:val="TableGrid"/>
        <w:tblW w:w="0" w:type="auto"/>
        <w:jc w:val="center"/>
        <w:tblLook w:val="04A0" w:firstRow="1" w:lastRow="0" w:firstColumn="1" w:lastColumn="0" w:noHBand="0" w:noVBand="1"/>
      </w:tblPr>
      <w:tblGrid>
        <w:gridCol w:w="2376"/>
        <w:gridCol w:w="3816"/>
        <w:gridCol w:w="3672"/>
      </w:tblGrid>
      <w:tr w:rsidR="00C12C0F" w14:paraId="5A29B3FA" w14:textId="77777777">
        <w:trPr>
          <w:tblHeader/>
          <w:jc w:val="center"/>
        </w:trPr>
        <w:tc>
          <w:tcPr>
            <w:tcW w:w="2376" w:type="dxa"/>
            <w:shd w:val="clear" w:color="auto" w:fill="183B56"/>
            <w:tcMar>
              <w:top w:w="100" w:type="dxa"/>
              <w:left w:w="120" w:type="dxa"/>
              <w:bottom w:w="100" w:type="dxa"/>
              <w:right w:w="120" w:type="dxa"/>
            </w:tcMar>
            <w:vAlign w:val="center"/>
          </w:tcPr>
          <w:p w14:paraId="13AC07C5" w14:textId="77777777" w:rsidR="00C12C0F" w:rsidRDefault="00395FC0">
            <w:pPr>
              <w:rPr>
                <w:rFonts w:hint="eastAsia"/>
              </w:rPr>
            </w:pPr>
            <w:r>
              <w:rPr>
                <w:b/>
                <w:color w:val="FFFFFF"/>
                <w:sz w:val="18"/>
              </w:rPr>
              <w:t>Reference capability</w:t>
            </w:r>
          </w:p>
        </w:tc>
        <w:tc>
          <w:tcPr>
            <w:tcW w:w="3816" w:type="dxa"/>
            <w:shd w:val="clear" w:color="auto" w:fill="183B56"/>
            <w:tcMar>
              <w:top w:w="100" w:type="dxa"/>
              <w:left w:w="120" w:type="dxa"/>
              <w:bottom w:w="100" w:type="dxa"/>
              <w:right w:w="120" w:type="dxa"/>
            </w:tcMar>
            <w:vAlign w:val="center"/>
          </w:tcPr>
          <w:p w14:paraId="1897907D" w14:textId="77777777" w:rsidR="00C12C0F" w:rsidRDefault="00395FC0">
            <w:pPr>
              <w:rPr>
                <w:rFonts w:hint="eastAsia"/>
              </w:rPr>
            </w:pPr>
            <w:r>
              <w:rPr>
                <w:b/>
                <w:color w:val="FFFFFF"/>
                <w:sz w:val="18"/>
              </w:rPr>
              <w:t>Open-source or replaceable element</w:t>
            </w:r>
          </w:p>
        </w:tc>
        <w:tc>
          <w:tcPr>
            <w:tcW w:w="3672" w:type="dxa"/>
            <w:shd w:val="clear" w:color="auto" w:fill="183B56"/>
            <w:tcMar>
              <w:top w:w="100" w:type="dxa"/>
              <w:left w:w="120" w:type="dxa"/>
              <w:bottom w:w="100" w:type="dxa"/>
              <w:right w:w="120" w:type="dxa"/>
            </w:tcMar>
            <w:vAlign w:val="center"/>
          </w:tcPr>
          <w:p w14:paraId="79228AA8" w14:textId="77777777" w:rsidR="00C12C0F" w:rsidRDefault="00395FC0">
            <w:pPr>
              <w:rPr>
                <w:rFonts w:hint="eastAsia"/>
              </w:rPr>
            </w:pPr>
            <w:r>
              <w:rPr>
                <w:b/>
                <w:color w:val="FFFFFF"/>
                <w:sz w:val="18"/>
              </w:rPr>
              <w:t>Illustrative ACR implementation</w:t>
            </w:r>
          </w:p>
        </w:tc>
      </w:tr>
      <w:tr w:rsidR="00C12C0F" w14:paraId="074E3542" w14:textId="77777777">
        <w:trPr>
          <w:jc w:val="center"/>
        </w:trPr>
        <w:tc>
          <w:tcPr>
            <w:tcW w:w="2376" w:type="dxa"/>
            <w:tcMar>
              <w:top w:w="100" w:type="dxa"/>
              <w:left w:w="120" w:type="dxa"/>
              <w:bottom w:w="100" w:type="dxa"/>
              <w:right w:w="120" w:type="dxa"/>
            </w:tcMar>
            <w:vAlign w:val="center"/>
          </w:tcPr>
          <w:p w14:paraId="02642FC0" w14:textId="77777777" w:rsidR="00C12C0F" w:rsidRDefault="00395FC0">
            <w:pPr>
              <w:spacing w:after="0"/>
              <w:rPr>
                <w:rFonts w:hint="eastAsia"/>
              </w:rPr>
            </w:pPr>
            <w:r>
              <w:rPr>
                <w:color w:val="1E3242"/>
                <w:sz w:val="17"/>
              </w:rPr>
              <w:t>DICOM metadata extraction</w:t>
            </w:r>
          </w:p>
        </w:tc>
        <w:tc>
          <w:tcPr>
            <w:tcW w:w="3816" w:type="dxa"/>
            <w:tcMar>
              <w:top w:w="100" w:type="dxa"/>
              <w:left w:w="120" w:type="dxa"/>
              <w:bottom w:w="100" w:type="dxa"/>
              <w:right w:w="120" w:type="dxa"/>
            </w:tcMar>
            <w:vAlign w:val="center"/>
          </w:tcPr>
          <w:p w14:paraId="13AD035E" w14:textId="77777777" w:rsidR="00C12C0F" w:rsidRDefault="00395FC0">
            <w:pPr>
              <w:spacing w:after="0"/>
              <w:rPr>
                <w:rFonts w:hint="eastAsia"/>
              </w:rPr>
            </w:pPr>
            <w:r>
              <w:rPr>
                <w:color w:val="1E3242"/>
                <w:sz w:val="17"/>
              </w:rPr>
              <w:t>Index-Creation or conformant alternative</w:t>
            </w:r>
          </w:p>
        </w:tc>
        <w:tc>
          <w:tcPr>
            <w:tcW w:w="3672" w:type="dxa"/>
            <w:tcMar>
              <w:top w:w="100" w:type="dxa"/>
              <w:left w:w="120" w:type="dxa"/>
              <w:bottom w:w="100" w:type="dxa"/>
              <w:right w:w="120" w:type="dxa"/>
            </w:tcMar>
            <w:vAlign w:val="center"/>
          </w:tcPr>
          <w:p w14:paraId="673F8F64" w14:textId="77777777" w:rsidR="00C12C0F" w:rsidRDefault="00395FC0">
            <w:pPr>
              <w:spacing w:after="0"/>
              <w:rPr>
                <w:rFonts w:hint="eastAsia"/>
              </w:rPr>
            </w:pPr>
            <w:r>
              <w:rPr>
                <w:color w:val="1E3242"/>
                <w:sz w:val="17"/>
              </w:rPr>
              <w:t>ACR Connect data preparation workflow</w:t>
            </w:r>
          </w:p>
        </w:tc>
      </w:tr>
      <w:tr w:rsidR="00C12C0F" w14:paraId="551DF4C6" w14:textId="77777777">
        <w:trPr>
          <w:jc w:val="center"/>
        </w:trPr>
        <w:tc>
          <w:tcPr>
            <w:tcW w:w="2376" w:type="dxa"/>
            <w:shd w:val="clear" w:color="auto" w:fill="F3F6F8"/>
            <w:tcMar>
              <w:top w:w="100" w:type="dxa"/>
              <w:left w:w="120" w:type="dxa"/>
              <w:bottom w:w="100" w:type="dxa"/>
              <w:right w:w="120" w:type="dxa"/>
            </w:tcMar>
            <w:vAlign w:val="center"/>
          </w:tcPr>
          <w:p w14:paraId="50029338" w14:textId="77777777" w:rsidR="00C12C0F" w:rsidRDefault="00395FC0">
            <w:pPr>
              <w:spacing w:after="0"/>
              <w:rPr>
                <w:rFonts w:hint="eastAsia"/>
              </w:rPr>
            </w:pPr>
            <w:r>
              <w:rPr>
                <w:color w:val="1E3242"/>
                <w:sz w:val="17"/>
              </w:rPr>
              <w:t>Metadata ingestion</w:t>
            </w:r>
          </w:p>
        </w:tc>
        <w:tc>
          <w:tcPr>
            <w:tcW w:w="3816" w:type="dxa"/>
            <w:shd w:val="clear" w:color="auto" w:fill="F3F6F8"/>
            <w:tcMar>
              <w:top w:w="100" w:type="dxa"/>
              <w:left w:w="120" w:type="dxa"/>
              <w:bottom w:w="100" w:type="dxa"/>
              <w:right w:w="120" w:type="dxa"/>
            </w:tcMar>
            <w:vAlign w:val="center"/>
          </w:tcPr>
          <w:p w14:paraId="10A18A77" w14:textId="77777777" w:rsidR="00C12C0F" w:rsidRDefault="00395FC0">
            <w:pPr>
              <w:spacing w:after="0"/>
              <w:rPr>
                <w:rFonts w:hint="eastAsia"/>
              </w:rPr>
            </w:pPr>
            <w:r>
              <w:rPr>
                <w:color w:val="1E3242"/>
                <w:sz w:val="17"/>
              </w:rPr>
              <w:t xml:space="preserve">Index-Ingestion </w:t>
            </w:r>
            <w:proofErr w:type="spellStart"/>
            <w:r>
              <w:rPr>
                <w:color w:val="1E3242"/>
                <w:sz w:val="17"/>
              </w:rPr>
              <w:t>NiFi</w:t>
            </w:r>
            <w:proofErr w:type="spellEnd"/>
            <w:r>
              <w:rPr>
                <w:color w:val="1E3242"/>
                <w:sz w:val="17"/>
              </w:rPr>
              <w:t xml:space="preserve"> flow or alternative adapter</w:t>
            </w:r>
          </w:p>
        </w:tc>
        <w:tc>
          <w:tcPr>
            <w:tcW w:w="3672" w:type="dxa"/>
            <w:shd w:val="clear" w:color="auto" w:fill="F3F6F8"/>
            <w:tcMar>
              <w:top w:w="100" w:type="dxa"/>
              <w:left w:w="120" w:type="dxa"/>
              <w:bottom w:w="100" w:type="dxa"/>
              <w:right w:w="120" w:type="dxa"/>
            </w:tcMar>
            <w:vAlign w:val="center"/>
          </w:tcPr>
          <w:p w14:paraId="116D86C5" w14:textId="77777777" w:rsidR="00C12C0F" w:rsidRDefault="00395FC0">
            <w:pPr>
              <w:spacing w:after="0"/>
              <w:rPr>
                <w:rFonts w:hint="eastAsia"/>
              </w:rPr>
            </w:pPr>
            <w:r>
              <w:rPr>
                <w:color w:val="1E3242"/>
                <w:sz w:val="17"/>
              </w:rPr>
              <w:t>Local searchable repository pipeline</w:t>
            </w:r>
          </w:p>
        </w:tc>
      </w:tr>
      <w:tr w:rsidR="00C12C0F" w14:paraId="088869EE" w14:textId="77777777">
        <w:trPr>
          <w:jc w:val="center"/>
        </w:trPr>
        <w:tc>
          <w:tcPr>
            <w:tcW w:w="2376" w:type="dxa"/>
            <w:tcMar>
              <w:top w:w="100" w:type="dxa"/>
              <w:left w:w="120" w:type="dxa"/>
              <w:bottom w:w="100" w:type="dxa"/>
              <w:right w:w="120" w:type="dxa"/>
            </w:tcMar>
            <w:vAlign w:val="center"/>
          </w:tcPr>
          <w:p w14:paraId="2F4F7EB0" w14:textId="77777777" w:rsidR="00C12C0F" w:rsidRDefault="00395FC0">
            <w:pPr>
              <w:spacing w:after="0"/>
              <w:rPr>
                <w:rFonts w:hint="eastAsia"/>
              </w:rPr>
            </w:pPr>
            <w:r>
              <w:rPr>
                <w:color w:val="1E3242"/>
                <w:sz w:val="17"/>
              </w:rPr>
              <w:t>Metadata repository</w:t>
            </w:r>
          </w:p>
        </w:tc>
        <w:tc>
          <w:tcPr>
            <w:tcW w:w="3816" w:type="dxa"/>
            <w:tcMar>
              <w:top w:w="100" w:type="dxa"/>
              <w:left w:w="120" w:type="dxa"/>
              <w:bottom w:w="100" w:type="dxa"/>
              <w:right w:w="120" w:type="dxa"/>
            </w:tcMar>
            <w:vAlign w:val="center"/>
          </w:tcPr>
          <w:p w14:paraId="008FE601" w14:textId="77777777" w:rsidR="00C12C0F" w:rsidRDefault="00395FC0">
            <w:pPr>
              <w:spacing w:after="0"/>
              <w:rPr>
                <w:rFonts w:hint="eastAsia"/>
              </w:rPr>
            </w:pPr>
            <w:r>
              <w:rPr>
                <w:color w:val="1E3242"/>
                <w:sz w:val="17"/>
              </w:rPr>
              <w:t>Elasticsearch, MongoDB, or another conformant repository</w:t>
            </w:r>
          </w:p>
        </w:tc>
        <w:tc>
          <w:tcPr>
            <w:tcW w:w="3672" w:type="dxa"/>
            <w:tcMar>
              <w:top w:w="100" w:type="dxa"/>
              <w:left w:w="120" w:type="dxa"/>
              <w:bottom w:w="100" w:type="dxa"/>
              <w:right w:w="120" w:type="dxa"/>
            </w:tcMar>
            <w:vAlign w:val="center"/>
          </w:tcPr>
          <w:p w14:paraId="352F546F" w14:textId="77777777" w:rsidR="00C12C0F" w:rsidRDefault="00395FC0">
            <w:pPr>
              <w:spacing w:after="0"/>
              <w:rPr>
                <w:rFonts w:hint="eastAsia"/>
              </w:rPr>
            </w:pPr>
            <w:r>
              <w:rPr>
                <w:color w:val="1E3242"/>
                <w:sz w:val="17"/>
              </w:rPr>
              <w:t>Deployment-specific repository</w:t>
            </w:r>
          </w:p>
        </w:tc>
      </w:tr>
      <w:tr w:rsidR="00C12C0F" w14:paraId="65E299F1" w14:textId="77777777">
        <w:trPr>
          <w:jc w:val="center"/>
        </w:trPr>
        <w:tc>
          <w:tcPr>
            <w:tcW w:w="2376" w:type="dxa"/>
            <w:shd w:val="clear" w:color="auto" w:fill="F3F6F8"/>
            <w:tcMar>
              <w:top w:w="100" w:type="dxa"/>
              <w:left w:w="120" w:type="dxa"/>
              <w:bottom w:w="100" w:type="dxa"/>
              <w:right w:w="120" w:type="dxa"/>
            </w:tcMar>
            <w:vAlign w:val="center"/>
          </w:tcPr>
          <w:p w14:paraId="51150DE9" w14:textId="77777777" w:rsidR="00C12C0F" w:rsidRDefault="00395FC0">
            <w:pPr>
              <w:spacing w:after="0"/>
              <w:rPr>
                <w:rFonts w:hint="eastAsia"/>
              </w:rPr>
            </w:pPr>
            <w:r>
              <w:rPr>
                <w:color w:val="1E3242"/>
                <w:sz w:val="17"/>
              </w:rPr>
              <w:t>Central orchestration logic</w:t>
            </w:r>
          </w:p>
        </w:tc>
        <w:tc>
          <w:tcPr>
            <w:tcW w:w="3816" w:type="dxa"/>
            <w:shd w:val="clear" w:color="auto" w:fill="F3F6F8"/>
            <w:tcMar>
              <w:top w:w="100" w:type="dxa"/>
              <w:left w:w="120" w:type="dxa"/>
              <w:bottom w:w="100" w:type="dxa"/>
              <w:right w:w="120" w:type="dxa"/>
            </w:tcMar>
            <w:vAlign w:val="center"/>
          </w:tcPr>
          <w:p w14:paraId="7627CC0C" w14:textId="77777777" w:rsidR="00C12C0F" w:rsidRDefault="00395FC0">
            <w:pPr>
              <w:spacing w:after="0"/>
              <w:rPr>
                <w:rFonts w:hint="eastAsia"/>
              </w:rPr>
            </w:pPr>
            <w:r>
              <w:rPr>
                <w:color w:val="1E3242"/>
                <w:sz w:val="17"/>
              </w:rPr>
              <w:t>Federated-Central-Orchestration or alternative service</w:t>
            </w:r>
          </w:p>
        </w:tc>
        <w:tc>
          <w:tcPr>
            <w:tcW w:w="3672" w:type="dxa"/>
            <w:shd w:val="clear" w:color="auto" w:fill="F3F6F8"/>
            <w:tcMar>
              <w:top w:w="100" w:type="dxa"/>
              <w:left w:w="120" w:type="dxa"/>
              <w:bottom w:w="100" w:type="dxa"/>
              <w:right w:w="120" w:type="dxa"/>
            </w:tcMar>
            <w:vAlign w:val="center"/>
          </w:tcPr>
          <w:p w14:paraId="38EF1ADE" w14:textId="77777777" w:rsidR="00C12C0F" w:rsidRDefault="00395FC0">
            <w:pPr>
              <w:spacing w:after="0"/>
              <w:rPr>
                <w:rFonts w:hint="eastAsia"/>
              </w:rPr>
            </w:pPr>
            <w:r>
              <w:rPr>
                <w:color w:val="1E3242"/>
                <w:sz w:val="17"/>
              </w:rPr>
              <w:t>DART</w:t>
            </w:r>
          </w:p>
        </w:tc>
      </w:tr>
      <w:tr w:rsidR="00C12C0F" w14:paraId="42515EC7" w14:textId="77777777">
        <w:trPr>
          <w:jc w:val="center"/>
        </w:trPr>
        <w:tc>
          <w:tcPr>
            <w:tcW w:w="2376" w:type="dxa"/>
            <w:tcMar>
              <w:top w:w="100" w:type="dxa"/>
              <w:left w:w="120" w:type="dxa"/>
              <w:bottom w:w="100" w:type="dxa"/>
              <w:right w:w="120" w:type="dxa"/>
            </w:tcMar>
            <w:vAlign w:val="center"/>
          </w:tcPr>
          <w:p w14:paraId="12E24715" w14:textId="77777777" w:rsidR="00C12C0F" w:rsidRDefault="00395FC0">
            <w:pPr>
              <w:spacing w:after="0"/>
              <w:rPr>
                <w:rFonts w:hint="eastAsia"/>
              </w:rPr>
            </w:pPr>
            <w:r>
              <w:rPr>
                <w:color w:val="1E3242"/>
                <w:sz w:val="17"/>
              </w:rPr>
              <w:t>Shared job and result models</w:t>
            </w:r>
          </w:p>
        </w:tc>
        <w:tc>
          <w:tcPr>
            <w:tcW w:w="3816" w:type="dxa"/>
            <w:tcMar>
              <w:top w:w="100" w:type="dxa"/>
              <w:left w:w="120" w:type="dxa"/>
              <w:bottom w:w="100" w:type="dxa"/>
              <w:right w:w="120" w:type="dxa"/>
            </w:tcMar>
            <w:vAlign w:val="center"/>
          </w:tcPr>
          <w:p w14:paraId="79EA3D0D" w14:textId="77777777" w:rsidR="00C12C0F" w:rsidRDefault="00395FC0">
            <w:pPr>
              <w:spacing w:after="0"/>
              <w:rPr>
                <w:rFonts w:hint="eastAsia"/>
              </w:rPr>
            </w:pPr>
            <w:r>
              <w:rPr>
                <w:color w:val="1E3242"/>
                <w:sz w:val="17"/>
              </w:rPr>
              <w:t>Federated-data-contracts</w:t>
            </w:r>
          </w:p>
        </w:tc>
        <w:tc>
          <w:tcPr>
            <w:tcW w:w="3672" w:type="dxa"/>
            <w:tcMar>
              <w:top w:w="100" w:type="dxa"/>
              <w:left w:w="120" w:type="dxa"/>
              <w:bottom w:w="100" w:type="dxa"/>
              <w:right w:w="120" w:type="dxa"/>
            </w:tcMar>
            <w:vAlign w:val="center"/>
          </w:tcPr>
          <w:p w14:paraId="0CF603DD" w14:textId="77777777" w:rsidR="00C12C0F" w:rsidRDefault="00395FC0">
            <w:pPr>
              <w:spacing w:after="0"/>
              <w:rPr>
                <w:rFonts w:hint="eastAsia"/>
              </w:rPr>
            </w:pPr>
            <w:r>
              <w:rPr>
                <w:color w:val="1E3242"/>
                <w:sz w:val="17"/>
              </w:rPr>
              <w:t>DART-to-site interface</w:t>
            </w:r>
          </w:p>
        </w:tc>
      </w:tr>
      <w:tr w:rsidR="00C12C0F" w14:paraId="12E98E07" w14:textId="77777777">
        <w:trPr>
          <w:jc w:val="center"/>
        </w:trPr>
        <w:tc>
          <w:tcPr>
            <w:tcW w:w="2376" w:type="dxa"/>
            <w:shd w:val="clear" w:color="auto" w:fill="F3F6F8"/>
            <w:tcMar>
              <w:top w:w="100" w:type="dxa"/>
              <w:left w:w="120" w:type="dxa"/>
              <w:bottom w:w="100" w:type="dxa"/>
              <w:right w:w="120" w:type="dxa"/>
            </w:tcMar>
            <w:vAlign w:val="center"/>
          </w:tcPr>
          <w:p w14:paraId="5AF33F0F" w14:textId="77777777" w:rsidR="00C12C0F" w:rsidRDefault="00395FC0">
            <w:pPr>
              <w:spacing w:after="0"/>
              <w:rPr>
                <w:rFonts w:hint="eastAsia"/>
              </w:rPr>
            </w:pPr>
            <w:r>
              <w:rPr>
                <w:color w:val="1E3242"/>
                <w:sz w:val="17"/>
              </w:rPr>
              <w:t>Local orchestration agent</w:t>
            </w:r>
          </w:p>
        </w:tc>
        <w:tc>
          <w:tcPr>
            <w:tcW w:w="3816" w:type="dxa"/>
            <w:shd w:val="clear" w:color="auto" w:fill="F3F6F8"/>
            <w:tcMar>
              <w:top w:w="100" w:type="dxa"/>
              <w:left w:w="120" w:type="dxa"/>
              <w:bottom w:w="100" w:type="dxa"/>
              <w:right w:w="120" w:type="dxa"/>
            </w:tcMar>
            <w:vAlign w:val="center"/>
          </w:tcPr>
          <w:p w14:paraId="3154A230" w14:textId="77777777" w:rsidR="00C12C0F" w:rsidRDefault="00395FC0">
            <w:pPr>
              <w:spacing w:after="0"/>
              <w:rPr>
                <w:rFonts w:hint="eastAsia"/>
              </w:rPr>
            </w:pPr>
            <w:r>
              <w:rPr>
                <w:color w:val="1E3242"/>
                <w:sz w:val="17"/>
              </w:rPr>
              <w:t>Federated Client Processing or alternative client</w:t>
            </w:r>
          </w:p>
        </w:tc>
        <w:tc>
          <w:tcPr>
            <w:tcW w:w="3672" w:type="dxa"/>
            <w:shd w:val="clear" w:color="auto" w:fill="F3F6F8"/>
            <w:tcMar>
              <w:top w:w="100" w:type="dxa"/>
              <w:left w:w="120" w:type="dxa"/>
              <w:bottom w:w="100" w:type="dxa"/>
              <w:right w:w="120" w:type="dxa"/>
            </w:tcMar>
            <w:vAlign w:val="center"/>
          </w:tcPr>
          <w:p w14:paraId="60778253" w14:textId="77777777" w:rsidR="00C12C0F" w:rsidRDefault="00395FC0">
            <w:pPr>
              <w:spacing w:after="0"/>
              <w:rPr>
                <w:rFonts w:hint="eastAsia"/>
              </w:rPr>
            </w:pPr>
            <w:r>
              <w:rPr>
                <w:color w:val="1E3242"/>
                <w:sz w:val="17"/>
              </w:rPr>
              <w:t>ACR Connect Remote Job Manager</w:t>
            </w:r>
          </w:p>
        </w:tc>
      </w:tr>
      <w:tr w:rsidR="00C12C0F" w14:paraId="2CFCEBEC" w14:textId="77777777">
        <w:trPr>
          <w:jc w:val="center"/>
        </w:trPr>
        <w:tc>
          <w:tcPr>
            <w:tcW w:w="2376" w:type="dxa"/>
            <w:tcMar>
              <w:top w:w="100" w:type="dxa"/>
              <w:left w:w="120" w:type="dxa"/>
              <w:bottom w:w="100" w:type="dxa"/>
              <w:right w:w="120" w:type="dxa"/>
            </w:tcMar>
            <w:vAlign w:val="center"/>
          </w:tcPr>
          <w:p w14:paraId="3A54968F" w14:textId="77777777" w:rsidR="00C12C0F" w:rsidRDefault="00395FC0">
            <w:pPr>
              <w:spacing w:after="0"/>
              <w:rPr>
                <w:rFonts w:hint="eastAsia"/>
              </w:rPr>
            </w:pPr>
            <w:r>
              <w:rPr>
                <w:color w:val="1E3242"/>
                <w:sz w:val="17"/>
              </w:rPr>
              <w:t>Local execution</w:t>
            </w:r>
          </w:p>
        </w:tc>
        <w:tc>
          <w:tcPr>
            <w:tcW w:w="3816" w:type="dxa"/>
            <w:tcMar>
              <w:top w:w="100" w:type="dxa"/>
              <w:left w:w="120" w:type="dxa"/>
              <w:bottom w:w="100" w:type="dxa"/>
              <w:right w:w="120" w:type="dxa"/>
            </w:tcMar>
            <w:vAlign w:val="center"/>
          </w:tcPr>
          <w:p w14:paraId="2AB3E183" w14:textId="77777777" w:rsidR="00C12C0F" w:rsidRDefault="00395FC0">
            <w:pPr>
              <w:spacing w:after="0"/>
              <w:rPr>
                <w:rFonts w:hint="eastAsia"/>
              </w:rPr>
            </w:pPr>
            <w:r>
              <w:rPr>
                <w:color w:val="1E3242"/>
                <w:sz w:val="17"/>
              </w:rPr>
              <w:t>Approved runtime satisfying the algorithm package contract</w:t>
            </w:r>
          </w:p>
        </w:tc>
        <w:tc>
          <w:tcPr>
            <w:tcW w:w="3672" w:type="dxa"/>
            <w:tcMar>
              <w:top w:w="100" w:type="dxa"/>
              <w:left w:w="120" w:type="dxa"/>
              <w:bottom w:w="100" w:type="dxa"/>
              <w:right w:w="120" w:type="dxa"/>
            </w:tcMar>
            <w:vAlign w:val="center"/>
          </w:tcPr>
          <w:p w14:paraId="76B2626F" w14:textId="77777777" w:rsidR="00C12C0F" w:rsidRDefault="00395FC0">
            <w:pPr>
              <w:spacing w:after="0"/>
              <w:rPr>
                <w:rFonts w:hint="eastAsia"/>
              </w:rPr>
            </w:pPr>
            <w:r>
              <w:rPr>
                <w:color w:val="1E3242"/>
                <w:sz w:val="17"/>
              </w:rPr>
              <w:t>AI-LAB and associated container services</w:t>
            </w:r>
          </w:p>
        </w:tc>
      </w:tr>
      <w:tr w:rsidR="00C12C0F" w14:paraId="02FD2ADB" w14:textId="77777777">
        <w:trPr>
          <w:jc w:val="center"/>
        </w:trPr>
        <w:tc>
          <w:tcPr>
            <w:tcW w:w="2376" w:type="dxa"/>
            <w:shd w:val="clear" w:color="auto" w:fill="F3F6F8"/>
            <w:tcMar>
              <w:top w:w="100" w:type="dxa"/>
              <w:left w:w="120" w:type="dxa"/>
              <w:bottom w:w="100" w:type="dxa"/>
              <w:right w:w="120" w:type="dxa"/>
            </w:tcMar>
            <w:vAlign w:val="center"/>
          </w:tcPr>
          <w:p w14:paraId="07B461FD" w14:textId="77777777" w:rsidR="00C12C0F" w:rsidRDefault="00395FC0">
            <w:pPr>
              <w:spacing w:after="0"/>
              <w:rPr>
                <w:rFonts w:hint="eastAsia"/>
              </w:rPr>
            </w:pPr>
            <w:r>
              <w:rPr>
                <w:color w:val="1E3242"/>
                <w:sz w:val="17"/>
              </w:rPr>
              <w:t>Report de-identification</w:t>
            </w:r>
          </w:p>
        </w:tc>
        <w:tc>
          <w:tcPr>
            <w:tcW w:w="3816" w:type="dxa"/>
            <w:shd w:val="clear" w:color="auto" w:fill="F3F6F8"/>
            <w:tcMar>
              <w:top w:w="100" w:type="dxa"/>
              <w:left w:w="120" w:type="dxa"/>
              <w:bottom w:w="100" w:type="dxa"/>
              <w:right w:w="120" w:type="dxa"/>
            </w:tcMar>
            <w:vAlign w:val="center"/>
          </w:tcPr>
          <w:p w14:paraId="5B91A02F" w14:textId="77777777" w:rsidR="00C12C0F" w:rsidRDefault="00395FC0">
            <w:pPr>
              <w:spacing w:after="0"/>
              <w:rPr>
                <w:rFonts w:hint="eastAsia"/>
              </w:rPr>
            </w:pPr>
            <w:r>
              <w:rPr>
                <w:color w:val="1E3242"/>
                <w:sz w:val="17"/>
              </w:rPr>
              <w:t>MIDRC/ACR utility or approved alternative</w:t>
            </w:r>
          </w:p>
        </w:tc>
        <w:tc>
          <w:tcPr>
            <w:tcW w:w="3672" w:type="dxa"/>
            <w:shd w:val="clear" w:color="auto" w:fill="F3F6F8"/>
            <w:tcMar>
              <w:top w:w="100" w:type="dxa"/>
              <w:left w:w="120" w:type="dxa"/>
              <w:bottom w:w="100" w:type="dxa"/>
              <w:right w:w="120" w:type="dxa"/>
            </w:tcMar>
            <w:vAlign w:val="center"/>
          </w:tcPr>
          <w:p w14:paraId="4858CF57" w14:textId="77777777" w:rsidR="00C12C0F" w:rsidRDefault="00395FC0">
            <w:pPr>
              <w:spacing w:after="0"/>
              <w:rPr>
                <w:rFonts w:hint="eastAsia"/>
              </w:rPr>
            </w:pPr>
            <w:r>
              <w:rPr>
                <w:color w:val="1E3242"/>
                <w:sz w:val="17"/>
              </w:rPr>
              <w:t>ACR Connect utility deployment</w:t>
            </w:r>
          </w:p>
        </w:tc>
      </w:tr>
      <w:tr w:rsidR="00C12C0F" w14:paraId="7BB949E5" w14:textId="77777777">
        <w:trPr>
          <w:jc w:val="center"/>
        </w:trPr>
        <w:tc>
          <w:tcPr>
            <w:tcW w:w="2376" w:type="dxa"/>
            <w:tcMar>
              <w:top w:w="100" w:type="dxa"/>
              <w:left w:w="120" w:type="dxa"/>
              <w:bottom w:w="100" w:type="dxa"/>
              <w:right w:w="120" w:type="dxa"/>
            </w:tcMar>
            <w:vAlign w:val="center"/>
          </w:tcPr>
          <w:p w14:paraId="6DAC1AF0" w14:textId="77777777" w:rsidR="00C12C0F" w:rsidRDefault="00395FC0">
            <w:pPr>
              <w:spacing w:after="0"/>
              <w:rPr>
                <w:rFonts w:hint="eastAsia"/>
              </w:rPr>
            </w:pPr>
            <w:r>
              <w:rPr>
                <w:color w:val="1E3242"/>
                <w:sz w:val="17"/>
              </w:rPr>
              <w:t>User interaction</w:t>
            </w:r>
          </w:p>
        </w:tc>
        <w:tc>
          <w:tcPr>
            <w:tcW w:w="3816" w:type="dxa"/>
            <w:tcMar>
              <w:top w:w="100" w:type="dxa"/>
              <w:left w:w="120" w:type="dxa"/>
              <w:bottom w:w="100" w:type="dxa"/>
              <w:right w:w="120" w:type="dxa"/>
            </w:tcMar>
            <w:vAlign w:val="center"/>
          </w:tcPr>
          <w:p w14:paraId="62CE3FD4" w14:textId="77777777" w:rsidR="00C12C0F" w:rsidRDefault="00395FC0">
            <w:pPr>
              <w:spacing w:after="0"/>
              <w:rPr>
                <w:rFonts w:hint="eastAsia"/>
              </w:rPr>
            </w:pPr>
            <w:r>
              <w:rPr>
                <w:color w:val="1E3242"/>
                <w:sz w:val="17"/>
              </w:rPr>
              <w:t>Replaceable central user experience</w:t>
            </w:r>
          </w:p>
        </w:tc>
        <w:tc>
          <w:tcPr>
            <w:tcW w:w="3672" w:type="dxa"/>
            <w:tcMar>
              <w:top w:w="100" w:type="dxa"/>
              <w:left w:w="120" w:type="dxa"/>
              <w:bottom w:w="100" w:type="dxa"/>
              <w:right w:w="120" w:type="dxa"/>
            </w:tcMar>
            <w:vAlign w:val="center"/>
          </w:tcPr>
          <w:p w14:paraId="5A6EF032" w14:textId="77777777" w:rsidR="00C12C0F" w:rsidRDefault="00395FC0">
            <w:pPr>
              <w:spacing w:after="0"/>
              <w:rPr>
                <w:rFonts w:hint="eastAsia"/>
              </w:rPr>
            </w:pPr>
            <w:r>
              <w:rPr>
                <w:color w:val="1E3242"/>
                <w:sz w:val="17"/>
              </w:rPr>
              <w:t>DART search, worklist, initiation, monitoring, and results</w:t>
            </w:r>
          </w:p>
        </w:tc>
      </w:tr>
    </w:tbl>
    <w:p w14:paraId="44EAFD9C" w14:textId="77777777" w:rsidR="00C12C0F" w:rsidRDefault="00C12C0F">
      <w:pPr>
        <w:spacing w:after="20"/>
        <w:rPr>
          <w:rFonts w:hint="eastAsia"/>
        </w:rPr>
      </w:pPr>
    </w:p>
    <w:tbl>
      <w:tblPr>
        <w:tblW w:w="0" w:type="auto"/>
        <w:jc w:val="center"/>
        <w:tblLook w:val="04A0" w:firstRow="1" w:lastRow="0" w:firstColumn="1" w:lastColumn="0" w:noHBand="0" w:noVBand="1"/>
      </w:tblPr>
      <w:tblGrid>
        <w:gridCol w:w="10080"/>
      </w:tblGrid>
      <w:tr w:rsidR="00C12C0F" w14:paraId="74B82000" w14:textId="77777777">
        <w:trPr>
          <w:jc w:val="center"/>
        </w:trPr>
        <w:tc>
          <w:tcPr>
            <w:tcW w:w="10080" w:type="dxa"/>
            <w:shd w:val="clear" w:color="auto" w:fill="EAF3F8"/>
            <w:tcMar>
              <w:top w:w="160" w:type="dxa"/>
              <w:left w:w="180" w:type="dxa"/>
              <w:bottom w:w="160" w:type="dxa"/>
              <w:right w:w="180" w:type="dxa"/>
            </w:tcMar>
          </w:tcPr>
          <w:p w14:paraId="164F288A" w14:textId="77777777" w:rsidR="00C12C0F" w:rsidRDefault="00395FC0">
            <w:pPr>
              <w:rPr>
                <w:rFonts w:hint="eastAsia"/>
              </w:rPr>
            </w:pPr>
            <w:r>
              <w:rPr>
                <w:b/>
                <w:color w:val="183B56"/>
                <w:sz w:val="21"/>
              </w:rPr>
              <w:lastRenderedPageBreak/>
              <w:t>Important distinction</w:t>
            </w:r>
            <w:r>
              <w:rPr>
                <w:b/>
                <w:color w:val="183B56"/>
                <w:sz w:val="21"/>
              </w:rPr>
              <w:br/>
            </w:r>
            <w:r>
              <w:rPr>
                <w:color w:val="283C4B"/>
                <w:sz w:val="19"/>
              </w:rPr>
              <w:t>ACR Connect, AI-LAB, and DART illustrate how the capabilities can be assembled. The products are not prerequisites for conformance, and the architecture does not imply that the products are open source.</w:t>
            </w:r>
          </w:p>
        </w:tc>
      </w:tr>
    </w:tbl>
    <w:p w14:paraId="4B94D5A5" w14:textId="77777777" w:rsidR="00C12C0F" w:rsidRDefault="00C12C0F">
      <w:pPr>
        <w:spacing w:after="20"/>
        <w:rPr>
          <w:rFonts w:hint="eastAsia"/>
        </w:rPr>
      </w:pPr>
    </w:p>
    <w:p w14:paraId="0EDD3281" w14:textId="77777777" w:rsidR="00C12C0F" w:rsidRDefault="00395FC0">
      <w:pPr>
        <w:pStyle w:val="Heading1"/>
      </w:pPr>
      <w:r>
        <w:t>9. Conformance Model</w:t>
      </w:r>
    </w:p>
    <w:p w14:paraId="0A37946D" w14:textId="77777777" w:rsidR="00C12C0F" w:rsidRDefault="00395FC0">
      <w:pPr>
        <w:rPr>
          <w:rFonts w:hint="eastAsia"/>
        </w:rPr>
      </w:pPr>
      <w:r>
        <w:t>Conformance should be assessed at explicit boundaries rather than declared for an entire product without qualification. A component may conform to one or more contracts and roles.</w:t>
      </w:r>
    </w:p>
    <w:tbl>
      <w:tblPr>
        <w:tblStyle w:val="TableGrid"/>
        <w:tblW w:w="0" w:type="auto"/>
        <w:jc w:val="center"/>
        <w:tblLook w:val="04A0" w:firstRow="1" w:lastRow="0" w:firstColumn="1" w:lastColumn="0" w:noHBand="0" w:noVBand="1"/>
      </w:tblPr>
      <w:tblGrid>
        <w:gridCol w:w="2376"/>
        <w:gridCol w:w="7344"/>
      </w:tblGrid>
      <w:tr w:rsidR="00C12C0F" w14:paraId="5A5CD3B7" w14:textId="77777777">
        <w:trPr>
          <w:tblHeader/>
          <w:jc w:val="center"/>
        </w:trPr>
        <w:tc>
          <w:tcPr>
            <w:tcW w:w="2376" w:type="dxa"/>
            <w:shd w:val="clear" w:color="auto" w:fill="183B56"/>
            <w:tcMar>
              <w:top w:w="100" w:type="dxa"/>
              <w:left w:w="120" w:type="dxa"/>
              <w:bottom w:w="100" w:type="dxa"/>
              <w:right w:w="120" w:type="dxa"/>
            </w:tcMar>
            <w:vAlign w:val="center"/>
          </w:tcPr>
          <w:p w14:paraId="40153CF8" w14:textId="77777777" w:rsidR="00C12C0F" w:rsidRDefault="00395FC0">
            <w:pPr>
              <w:rPr>
                <w:rFonts w:hint="eastAsia"/>
              </w:rPr>
            </w:pPr>
            <w:r>
              <w:rPr>
                <w:b/>
                <w:color w:val="FFFFFF"/>
                <w:sz w:val="18"/>
              </w:rPr>
              <w:t>Conformance profile</w:t>
            </w:r>
          </w:p>
        </w:tc>
        <w:tc>
          <w:tcPr>
            <w:tcW w:w="7344" w:type="dxa"/>
            <w:shd w:val="clear" w:color="auto" w:fill="183B56"/>
            <w:tcMar>
              <w:top w:w="100" w:type="dxa"/>
              <w:left w:w="120" w:type="dxa"/>
              <w:bottom w:w="100" w:type="dxa"/>
              <w:right w:w="120" w:type="dxa"/>
            </w:tcMar>
            <w:vAlign w:val="center"/>
          </w:tcPr>
          <w:p w14:paraId="3F8294ED" w14:textId="77777777" w:rsidR="00C12C0F" w:rsidRDefault="00395FC0">
            <w:pPr>
              <w:rPr>
                <w:rFonts w:hint="eastAsia"/>
              </w:rPr>
            </w:pPr>
            <w:r>
              <w:rPr>
                <w:b/>
                <w:color w:val="FFFFFF"/>
                <w:sz w:val="18"/>
              </w:rPr>
              <w:t>Minimum evidence</w:t>
            </w:r>
          </w:p>
        </w:tc>
      </w:tr>
      <w:tr w:rsidR="00C12C0F" w14:paraId="3DD5919E" w14:textId="77777777">
        <w:trPr>
          <w:jc w:val="center"/>
        </w:trPr>
        <w:tc>
          <w:tcPr>
            <w:tcW w:w="2376" w:type="dxa"/>
            <w:tcMar>
              <w:top w:w="100" w:type="dxa"/>
              <w:left w:w="120" w:type="dxa"/>
              <w:bottom w:w="100" w:type="dxa"/>
              <w:right w:w="120" w:type="dxa"/>
            </w:tcMar>
            <w:vAlign w:val="center"/>
          </w:tcPr>
          <w:p w14:paraId="19D99A1A" w14:textId="77777777" w:rsidR="00C12C0F" w:rsidRDefault="00395FC0">
            <w:pPr>
              <w:spacing w:after="0"/>
              <w:rPr>
                <w:rFonts w:hint="eastAsia"/>
              </w:rPr>
            </w:pPr>
            <w:r>
              <w:rPr>
                <w:color w:val="1E3242"/>
                <w:sz w:val="17"/>
              </w:rPr>
              <w:t>Metadata producer</w:t>
            </w:r>
          </w:p>
        </w:tc>
        <w:tc>
          <w:tcPr>
            <w:tcW w:w="7344" w:type="dxa"/>
            <w:tcMar>
              <w:top w:w="100" w:type="dxa"/>
              <w:left w:w="120" w:type="dxa"/>
              <w:bottom w:w="100" w:type="dxa"/>
              <w:right w:w="120" w:type="dxa"/>
            </w:tcMar>
            <w:vAlign w:val="center"/>
          </w:tcPr>
          <w:p w14:paraId="314B3CEA" w14:textId="77777777" w:rsidR="00C12C0F" w:rsidRDefault="00395FC0">
            <w:pPr>
              <w:spacing w:after="0"/>
              <w:rPr>
                <w:rFonts w:hint="eastAsia"/>
              </w:rPr>
            </w:pPr>
            <w:r>
              <w:rPr>
                <w:color w:val="1E3242"/>
                <w:sz w:val="17"/>
              </w:rPr>
              <w:t>Produces documents that validate against the designated metadata schema and declared version.</w:t>
            </w:r>
          </w:p>
        </w:tc>
      </w:tr>
      <w:tr w:rsidR="00C12C0F" w14:paraId="6DF3806B" w14:textId="77777777">
        <w:trPr>
          <w:jc w:val="center"/>
        </w:trPr>
        <w:tc>
          <w:tcPr>
            <w:tcW w:w="2376" w:type="dxa"/>
            <w:shd w:val="clear" w:color="auto" w:fill="F3F6F8"/>
            <w:tcMar>
              <w:top w:w="100" w:type="dxa"/>
              <w:left w:w="120" w:type="dxa"/>
              <w:bottom w:w="100" w:type="dxa"/>
              <w:right w:w="120" w:type="dxa"/>
            </w:tcMar>
            <w:vAlign w:val="center"/>
          </w:tcPr>
          <w:p w14:paraId="30A33D61" w14:textId="77777777" w:rsidR="00C12C0F" w:rsidRDefault="00395FC0">
            <w:pPr>
              <w:spacing w:after="0"/>
              <w:rPr>
                <w:rFonts w:hint="eastAsia"/>
              </w:rPr>
            </w:pPr>
            <w:r>
              <w:rPr>
                <w:color w:val="1E3242"/>
                <w:sz w:val="17"/>
              </w:rPr>
              <w:t>Metadata consumer</w:t>
            </w:r>
          </w:p>
        </w:tc>
        <w:tc>
          <w:tcPr>
            <w:tcW w:w="7344" w:type="dxa"/>
            <w:shd w:val="clear" w:color="auto" w:fill="F3F6F8"/>
            <w:tcMar>
              <w:top w:w="100" w:type="dxa"/>
              <w:left w:w="120" w:type="dxa"/>
              <w:bottom w:w="100" w:type="dxa"/>
              <w:right w:w="120" w:type="dxa"/>
            </w:tcMar>
            <w:vAlign w:val="center"/>
          </w:tcPr>
          <w:p w14:paraId="728281D4" w14:textId="77777777" w:rsidR="00C12C0F" w:rsidRDefault="00395FC0">
            <w:pPr>
              <w:spacing w:after="0"/>
              <w:rPr>
                <w:rFonts w:hint="eastAsia"/>
              </w:rPr>
            </w:pPr>
            <w:r>
              <w:rPr>
                <w:color w:val="1E3242"/>
                <w:sz w:val="17"/>
              </w:rPr>
              <w:t>Accepts conformant metadata, handles required and optional fields correctly, and reports validation failures predictably.</w:t>
            </w:r>
          </w:p>
        </w:tc>
      </w:tr>
      <w:tr w:rsidR="00C12C0F" w14:paraId="2585184D" w14:textId="77777777">
        <w:trPr>
          <w:jc w:val="center"/>
        </w:trPr>
        <w:tc>
          <w:tcPr>
            <w:tcW w:w="2376" w:type="dxa"/>
            <w:tcMar>
              <w:top w:w="100" w:type="dxa"/>
              <w:left w:w="120" w:type="dxa"/>
              <w:bottom w:w="100" w:type="dxa"/>
              <w:right w:w="120" w:type="dxa"/>
            </w:tcMar>
            <w:vAlign w:val="center"/>
          </w:tcPr>
          <w:p w14:paraId="3E8F71F4" w14:textId="77777777" w:rsidR="00C12C0F" w:rsidRDefault="00395FC0">
            <w:pPr>
              <w:spacing w:after="0"/>
              <w:rPr>
                <w:rFonts w:hint="eastAsia"/>
              </w:rPr>
            </w:pPr>
            <w:r>
              <w:rPr>
                <w:color w:val="1E3242"/>
                <w:sz w:val="17"/>
              </w:rPr>
              <w:t>Central orchestrator</w:t>
            </w:r>
          </w:p>
        </w:tc>
        <w:tc>
          <w:tcPr>
            <w:tcW w:w="7344" w:type="dxa"/>
            <w:tcMar>
              <w:top w:w="100" w:type="dxa"/>
              <w:left w:w="120" w:type="dxa"/>
              <w:bottom w:w="100" w:type="dxa"/>
              <w:right w:w="120" w:type="dxa"/>
            </w:tcMar>
            <w:vAlign w:val="center"/>
          </w:tcPr>
          <w:p w14:paraId="551311CD" w14:textId="77777777" w:rsidR="00C12C0F" w:rsidRDefault="00395FC0">
            <w:pPr>
              <w:spacing w:after="0"/>
              <w:rPr>
                <w:rFonts w:hint="eastAsia"/>
              </w:rPr>
            </w:pPr>
            <w:r>
              <w:rPr>
                <w:color w:val="1E3242"/>
                <w:sz w:val="17"/>
              </w:rPr>
              <w:t>Produces conformant site jobs and consumes status, result, and error messages according to declared versions.</w:t>
            </w:r>
          </w:p>
        </w:tc>
      </w:tr>
      <w:tr w:rsidR="00C12C0F" w14:paraId="350FA699" w14:textId="77777777">
        <w:trPr>
          <w:jc w:val="center"/>
        </w:trPr>
        <w:tc>
          <w:tcPr>
            <w:tcW w:w="2376" w:type="dxa"/>
            <w:shd w:val="clear" w:color="auto" w:fill="F3F6F8"/>
            <w:tcMar>
              <w:top w:w="100" w:type="dxa"/>
              <w:left w:w="120" w:type="dxa"/>
              <w:bottom w:w="100" w:type="dxa"/>
              <w:right w:w="120" w:type="dxa"/>
            </w:tcMar>
            <w:vAlign w:val="center"/>
          </w:tcPr>
          <w:p w14:paraId="407FB158" w14:textId="77777777" w:rsidR="00C12C0F" w:rsidRDefault="00395FC0">
            <w:pPr>
              <w:spacing w:after="0"/>
              <w:rPr>
                <w:rFonts w:hint="eastAsia"/>
              </w:rPr>
            </w:pPr>
            <w:r>
              <w:rPr>
                <w:color w:val="1E3242"/>
                <w:sz w:val="17"/>
              </w:rPr>
              <w:t>Site agent</w:t>
            </w:r>
          </w:p>
        </w:tc>
        <w:tc>
          <w:tcPr>
            <w:tcW w:w="7344" w:type="dxa"/>
            <w:shd w:val="clear" w:color="auto" w:fill="F3F6F8"/>
            <w:tcMar>
              <w:top w:w="100" w:type="dxa"/>
              <w:left w:w="120" w:type="dxa"/>
              <w:bottom w:w="100" w:type="dxa"/>
              <w:right w:w="120" w:type="dxa"/>
            </w:tcMar>
            <w:vAlign w:val="center"/>
          </w:tcPr>
          <w:p w14:paraId="143E115A" w14:textId="77777777" w:rsidR="00C12C0F" w:rsidRDefault="00395FC0">
            <w:pPr>
              <w:spacing w:after="0"/>
              <w:rPr>
                <w:rFonts w:hint="eastAsia"/>
              </w:rPr>
            </w:pPr>
            <w:r>
              <w:rPr>
                <w:color w:val="1E3242"/>
                <w:sz w:val="17"/>
              </w:rPr>
              <w:t>Consumes conformant jobs and produces conformant status, result, and error messages.</w:t>
            </w:r>
          </w:p>
        </w:tc>
      </w:tr>
      <w:tr w:rsidR="00C12C0F" w14:paraId="109B0A53" w14:textId="77777777">
        <w:trPr>
          <w:jc w:val="center"/>
        </w:trPr>
        <w:tc>
          <w:tcPr>
            <w:tcW w:w="2376" w:type="dxa"/>
            <w:tcMar>
              <w:top w:w="100" w:type="dxa"/>
              <w:left w:w="120" w:type="dxa"/>
              <w:bottom w:w="100" w:type="dxa"/>
              <w:right w:w="120" w:type="dxa"/>
            </w:tcMar>
            <w:vAlign w:val="center"/>
          </w:tcPr>
          <w:p w14:paraId="3B17E2AB" w14:textId="77777777" w:rsidR="00C12C0F" w:rsidRDefault="00395FC0">
            <w:pPr>
              <w:spacing w:after="0"/>
              <w:rPr>
                <w:rFonts w:hint="eastAsia"/>
              </w:rPr>
            </w:pPr>
            <w:r>
              <w:rPr>
                <w:color w:val="1E3242"/>
                <w:sz w:val="17"/>
              </w:rPr>
              <w:t>Execution adapter</w:t>
            </w:r>
          </w:p>
        </w:tc>
        <w:tc>
          <w:tcPr>
            <w:tcW w:w="7344" w:type="dxa"/>
            <w:tcMar>
              <w:top w:w="100" w:type="dxa"/>
              <w:left w:w="120" w:type="dxa"/>
              <w:bottom w:w="100" w:type="dxa"/>
              <w:right w:w="120" w:type="dxa"/>
            </w:tcMar>
            <w:vAlign w:val="center"/>
          </w:tcPr>
          <w:p w14:paraId="2897D029" w14:textId="77777777" w:rsidR="00C12C0F" w:rsidRDefault="00395FC0">
            <w:pPr>
              <w:spacing w:after="0"/>
              <w:rPr>
                <w:rFonts w:hint="eastAsia"/>
              </w:rPr>
            </w:pPr>
            <w:r>
              <w:rPr>
                <w:color w:val="1E3242"/>
                <w:sz w:val="17"/>
              </w:rPr>
              <w:t>Invokes approved algorithm packages according to the declared package contract and captures defined outputs.</w:t>
            </w:r>
          </w:p>
        </w:tc>
      </w:tr>
      <w:tr w:rsidR="00C12C0F" w14:paraId="1A0303F4" w14:textId="77777777">
        <w:trPr>
          <w:jc w:val="center"/>
        </w:trPr>
        <w:tc>
          <w:tcPr>
            <w:tcW w:w="2376" w:type="dxa"/>
            <w:shd w:val="clear" w:color="auto" w:fill="F3F6F8"/>
            <w:tcMar>
              <w:top w:w="100" w:type="dxa"/>
              <w:left w:w="120" w:type="dxa"/>
              <w:bottom w:w="100" w:type="dxa"/>
              <w:right w:w="120" w:type="dxa"/>
            </w:tcMar>
            <w:vAlign w:val="center"/>
          </w:tcPr>
          <w:p w14:paraId="5CADF8E8" w14:textId="77777777" w:rsidR="00C12C0F" w:rsidRDefault="00395FC0">
            <w:pPr>
              <w:spacing w:after="0"/>
              <w:rPr>
                <w:rFonts w:hint="eastAsia"/>
              </w:rPr>
            </w:pPr>
            <w:r>
              <w:rPr>
                <w:color w:val="1E3242"/>
                <w:sz w:val="17"/>
              </w:rPr>
              <w:t>End-to-end implementation</w:t>
            </w:r>
          </w:p>
        </w:tc>
        <w:tc>
          <w:tcPr>
            <w:tcW w:w="7344" w:type="dxa"/>
            <w:shd w:val="clear" w:color="auto" w:fill="F3F6F8"/>
            <w:tcMar>
              <w:top w:w="100" w:type="dxa"/>
              <w:left w:w="120" w:type="dxa"/>
              <w:bottom w:w="100" w:type="dxa"/>
              <w:right w:w="120" w:type="dxa"/>
            </w:tcMar>
            <w:vAlign w:val="center"/>
          </w:tcPr>
          <w:p w14:paraId="57C4D38D" w14:textId="77777777" w:rsidR="00C12C0F" w:rsidRDefault="00395FC0">
            <w:pPr>
              <w:spacing w:after="0"/>
              <w:rPr>
                <w:rFonts w:hint="eastAsia"/>
              </w:rPr>
            </w:pPr>
            <w:r>
              <w:rPr>
                <w:color w:val="1E3242"/>
                <w:sz w:val="17"/>
              </w:rPr>
              <w:t>Demonstrates interoperable operation across at least one central orchestrator and one independently governed site implementation.</w:t>
            </w:r>
          </w:p>
        </w:tc>
      </w:tr>
    </w:tbl>
    <w:p w14:paraId="3DEEC669" w14:textId="77777777" w:rsidR="00C12C0F" w:rsidRDefault="00C12C0F">
      <w:pPr>
        <w:spacing w:after="20"/>
        <w:rPr>
          <w:rFonts w:hint="eastAsia"/>
        </w:rPr>
      </w:pPr>
    </w:p>
    <w:p w14:paraId="489497AC" w14:textId="77777777" w:rsidR="00C12C0F" w:rsidRDefault="00395FC0">
      <w:pPr>
        <w:pStyle w:val="Heading2"/>
      </w:pPr>
      <w:r>
        <w:t>9.1 Recommended conformance assets</w:t>
      </w:r>
    </w:p>
    <w:p w14:paraId="267D98DF" w14:textId="77777777" w:rsidR="00C12C0F" w:rsidRDefault="00395FC0">
      <w:pPr>
        <w:pStyle w:val="ListBullet"/>
        <w:rPr>
          <w:rFonts w:hint="eastAsia"/>
        </w:rPr>
      </w:pPr>
      <w:r>
        <w:t xml:space="preserve">Published JSON Schema, </w:t>
      </w:r>
      <w:proofErr w:type="spellStart"/>
      <w:r>
        <w:t>OpenAPI</w:t>
      </w:r>
      <w:proofErr w:type="spellEnd"/>
      <w:r>
        <w:t>, or equivalent machine-readable definitions.</w:t>
      </w:r>
    </w:p>
    <w:p w14:paraId="7BA34E92" w14:textId="77777777" w:rsidR="00C12C0F" w:rsidRDefault="00395FC0">
      <w:pPr>
        <w:pStyle w:val="ListBullet"/>
        <w:rPr>
          <w:rFonts w:hint="eastAsia"/>
        </w:rPr>
      </w:pPr>
      <w:r>
        <w:t xml:space="preserve">Positive and </w:t>
      </w:r>
      <w:proofErr w:type="gramStart"/>
      <w:r>
        <w:t>negative</w:t>
      </w:r>
      <w:proofErr w:type="gramEnd"/>
      <w:r>
        <w:t xml:space="preserve"> example payloads.</w:t>
      </w:r>
    </w:p>
    <w:p w14:paraId="619C7B51" w14:textId="77777777" w:rsidR="00C12C0F" w:rsidRDefault="00395FC0">
      <w:pPr>
        <w:pStyle w:val="ListBullet"/>
        <w:rPr>
          <w:rFonts w:hint="eastAsia"/>
        </w:rPr>
      </w:pPr>
      <w:r>
        <w:t>Contract validation test suites.</w:t>
      </w:r>
    </w:p>
    <w:p w14:paraId="2AC113BA" w14:textId="77777777" w:rsidR="00C12C0F" w:rsidRDefault="00395FC0">
      <w:pPr>
        <w:pStyle w:val="ListBullet"/>
        <w:rPr>
          <w:rFonts w:hint="eastAsia"/>
        </w:rPr>
      </w:pPr>
      <w:r>
        <w:t>Compatibility and deprecation policy.</w:t>
      </w:r>
    </w:p>
    <w:p w14:paraId="71D4FFE6" w14:textId="77777777" w:rsidR="00C12C0F" w:rsidRDefault="00395FC0">
      <w:pPr>
        <w:pStyle w:val="ListBullet"/>
        <w:rPr>
          <w:rFonts w:hint="eastAsia"/>
        </w:rPr>
      </w:pPr>
      <w:r>
        <w:t>Reference error catalog and lifecycle state model.</w:t>
      </w:r>
    </w:p>
    <w:p w14:paraId="53B9916E" w14:textId="77777777" w:rsidR="00C12C0F" w:rsidRDefault="00395FC0">
      <w:pPr>
        <w:pStyle w:val="ListBullet"/>
        <w:rPr>
          <w:rFonts w:hint="eastAsia"/>
        </w:rPr>
      </w:pPr>
      <w:r>
        <w:t>Implementation-neutral sequence diagrams.</w:t>
      </w:r>
    </w:p>
    <w:p w14:paraId="4BB6F43E" w14:textId="77777777" w:rsidR="00C12C0F" w:rsidRDefault="00395FC0">
      <w:pPr>
        <w:pStyle w:val="ListBullet"/>
        <w:rPr>
          <w:rFonts w:hint="eastAsia"/>
        </w:rPr>
      </w:pPr>
      <w:r>
        <w:t>A conformance matrix showing required, optional, and conditional capabilities.</w:t>
      </w:r>
    </w:p>
    <w:p w14:paraId="2160DCEE" w14:textId="77777777" w:rsidR="00C12C0F" w:rsidRDefault="00395FC0">
      <w:pPr>
        <w:pStyle w:val="Heading1"/>
      </w:pPr>
      <w:r>
        <w:t>10. Quality Attributes and Design Considerations</w:t>
      </w:r>
    </w:p>
    <w:tbl>
      <w:tblPr>
        <w:tblStyle w:val="TableGrid"/>
        <w:tblW w:w="0" w:type="auto"/>
        <w:jc w:val="center"/>
        <w:tblLook w:val="04A0" w:firstRow="1" w:lastRow="0" w:firstColumn="1" w:lastColumn="0" w:noHBand="0" w:noVBand="1"/>
      </w:tblPr>
      <w:tblGrid>
        <w:gridCol w:w="2088"/>
        <w:gridCol w:w="7632"/>
      </w:tblGrid>
      <w:tr w:rsidR="00C12C0F" w14:paraId="68D9FA4A" w14:textId="77777777">
        <w:trPr>
          <w:tblHeader/>
          <w:jc w:val="center"/>
        </w:trPr>
        <w:tc>
          <w:tcPr>
            <w:tcW w:w="2088" w:type="dxa"/>
            <w:shd w:val="clear" w:color="auto" w:fill="183B56"/>
            <w:tcMar>
              <w:top w:w="100" w:type="dxa"/>
              <w:left w:w="120" w:type="dxa"/>
              <w:bottom w:w="100" w:type="dxa"/>
              <w:right w:w="120" w:type="dxa"/>
            </w:tcMar>
            <w:vAlign w:val="center"/>
          </w:tcPr>
          <w:p w14:paraId="23FB91C2" w14:textId="77777777" w:rsidR="00C12C0F" w:rsidRDefault="00395FC0">
            <w:pPr>
              <w:rPr>
                <w:rFonts w:hint="eastAsia"/>
              </w:rPr>
            </w:pPr>
            <w:r>
              <w:rPr>
                <w:b/>
                <w:color w:val="FFFFFF"/>
                <w:sz w:val="18"/>
              </w:rPr>
              <w:t>Quality attribute</w:t>
            </w:r>
          </w:p>
        </w:tc>
        <w:tc>
          <w:tcPr>
            <w:tcW w:w="7632" w:type="dxa"/>
            <w:shd w:val="clear" w:color="auto" w:fill="183B56"/>
            <w:tcMar>
              <w:top w:w="100" w:type="dxa"/>
              <w:left w:w="120" w:type="dxa"/>
              <w:bottom w:w="100" w:type="dxa"/>
              <w:right w:w="120" w:type="dxa"/>
            </w:tcMar>
            <w:vAlign w:val="center"/>
          </w:tcPr>
          <w:p w14:paraId="02A4BF9D" w14:textId="77777777" w:rsidR="00C12C0F" w:rsidRDefault="00395FC0">
            <w:pPr>
              <w:rPr>
                <w:rFonts w:hint="eastAsia"/>
              </w:rPr>
            </w:pPr>
            <w:r>
              <w:rPr>
                <w:b/>
                <w:color w:val="FFFFFF"/>
                <w:sz w:val="18"/>
              </w:rPr>
              <w:t>Architecture consideration</w:t>
            </w:r>
          </w:p>
        </w:tc>
      </w:tr>
      <w:tr w:rsidR="00C12C0F" w14:paraId="56EE85E1" w14:textId="77777777">
        <w:trPr>
          <w:jc w:val="center"/>
        </w:trPr>
        <w:tc>
          <w:tcPr>
            <w:tcW w:w="2088" w:type="dxa"/>
            <w:tcMar>
              <w:top w:w="100" w:type="dxa"/>
              <w:left w:w="120" w:type="dxa"/>
              <w:bottom w:w="100" w:type="dxa"/>
              <w:right w:w="120" w:type="dxa"/>
            </w:tcMar>
            <w:vAlign w:val="center"/>
          </w:tcPr>
          <w:p w14:paraId="427F0D9F" w14:textId="77777777" w:rsidR="00C12C0F" w:rsidRDefault="00395FC0">
            <w:pPr>
              <w:spacing w:after="0"/>
              <w:rPr>
                <w:rFonts w:hint="eastAsia"/>
              </w:rPr>
            </w:pPr>
            <w:r>
              <w:rPr>
                <w:color w:val="1E3242"/>
                <w:sz w:val="17"/>
              </w:rPr>
              <w:t>Interoperability</w:t>
            </w:r>
          </w:p>
        </w:tc>
        <w:tc>
          <w:tcPr>
            <w:tcW w:w="7632" w:type="dxa"/>
            <w:tcMar>
              <w:top w:w="100" w:type="dxa"/>
              <w:left w:w="120" w:type="dxa"/>
              <w:bottom w:w="100" w:type="dxa"/>
              <w:right w:w="120" w:type="dxa"/>
            </w:tcMar>
            <w:vAlign w:val="center"/>
          </w:tcPr>
          <w:p w14:paraId="3EA4057E" w14:textId="77777777" w:rsidR="00C12C0F" w:rsidRDefault="00395FC0">
            <w:pPr>
              <w:spacing w:after="0"/>
              <w:rPr>
                <w:rFonts w:hint="eastAsia"/>
              </w:rPr>
            </w:pPr>
            <w:r>
              <w:rPr>
                <w:color w:val="1E3242"/>
                <w:sz w:val="17"/>
              </w:rPr>
              <w:t>Use explicit schemas, enumerations, identifiers, versions, and compatibility rules.</w:t>
            </w:r>
          </w:p>
        </w:tc>
      </w:tr>
      <w:tr w:rsidR="00C12C0F" w14:paraId="05CE98A2" w14:textId="77777777">
        <w:trPr>
          <w:jc w:val="center"/>
        </w:trPr>
        <w:tc>
          <w:tcPr>
            <w:tcW w:w="2088" w:type="dxa"/>
            <w:shd w:val="clear" w:color="auto" w:fill="F3F6F8"/>
            <w:tcMar>
              <w:top w:w="100" w:type="dxa"/>
              <w:left w:w="120" w:type="dxa"/>
              <w:bottom w:w="100" w:type="dxa"/>
              <w:right w:w="120" w:type="dxa"/>
            </w:tcMar>
            <w:vAlign w:val="center"/>
          </w:tcPr>
          <w:p w14:paraId="59E35D42" w14:textId="77777777" w:rsidR="00C12C0F" w:rsidRDefault="00395FC0">
            <w:pPr>
              <w:spacing w:after="0"/>
              <w:rPr>
                <w:rFonts w:hint="eastAsia"/>
              </w:rPr>
            </w:pPr>
            <w:r>
              <w:rPr>
                <w:color w:val="1E3242"/>
                <w:sz w:val="17"/>
              </w:rPr>
              <w:t>Security</w:t>
            </w:r>
          </w:p>
        </w:tc>
        <w:tc>
          <w:tcPr>
            <w:tcW w:w="7632" w:type="dxa"/>
            <w:shd w:val="clear" w:color="auto" w:fill="F3F6F8"/>
            <w:tcMar>
              <w:top w:w="100" w:type="dxa"/>
              <w:left w:w="120" w:type="dxa"/>
              <w:bottom w:w="100" w:type="dxa"/>
              <w:right w:w="120" w:type="dxa"/>
            </w:tcMar>
            <w:vAlign w:val="center"/>
          </w:tcPr>
          <w:p w14:paraId="576AF27E" w14:textId="77777777" w:rsidR="00C12C0F" w:rsidRDefault="00395FC0">
            <w:pPr>
              <w:spacing w:after="0"/>
              <w:rPr>
                <w:rFonts w:hint="eastAsia"/>
              </w:rPr>
            </w:pPr>
            <w:r>
              <w:rPr>
                <w:color w:val="1E3242"/>
                <w:sz w:val="17"/>
              </w:rPr>
              <w:t>Authenticate services, authorize jobs, protect credentials, validate artifacts, and minimize exposed interfaces.</w:t>
            </w:r>
          </w:p>
        </w:tc>
      </w:tr>
      <w:tr w:rsidR="00C12C0F" w14:paraId="568B54DB" w14:textId="77777777">
        <w:trPr>
          <w:jc w:val="center"/>
        </w:trPr>
        <w:tc>
          <w:tcPr>
            <w:tcW w:w="2088" w:type="dxa"/>
            <w:tcMar>
              <w:top w:w="100" w:type="dxa"/>
              <w:left w:w="120" w:type="dxa"/>
              <w:bottom w:w="100" w:type="dxa"/>
              <w:right w:w="120" w:type="dxa"/>
            </w:tcMar>
            <w:vAlign w:val="center"/>
          </w:tcPr>
          <w:p w14:paraId="1EDA7F86" w14:textId="77777777" w:rsidR="00C12C0F" w:rsidRDefault="00395FC0">
            <w:pPr>
              <w:spacing w:after="0"/>
              <w:rPr>
                <w:rFonts w:hint="eastAsia"/>
              </w:rPr>
            </w:pPr>
            <w:r>
              <w:rPr>
                <w:color w:val="1E3242"/>
                <w:sz w:val="17"/>
              </w:rPr>
              <w:t>Privacy</w:t>
            </w:r>
          </w:p>
        </w:tc>
        <w:tc>
          <w:tcPr>
            <w:tcW w:w="7632" w:type="dxa"/>
            <w:tcMar>
              <w:top w:w="100" w:type="dxa"/>
              <w:left w:w="120" w:type="dxa"/>
              <w:bottom w:w="100" w:type="dxa"/>
              <w:right w:w="120" w:type="dxa"/>
            </w:tcMar>
            <w:vAlign w:val="center"/>
          </w:tcPr>
          <w:p w14:paraId="4FB4E6E7" w14:textId="77777777" w:rsidR="00C12C0F" w:rsidRDefault="00395FC0">
            <w:pPr>
              <w:spacing w:after="0"/>
              <w:rPr>
                <w:rFonts w:hint="eastAsia"/>
              </w:rPr>
            </w:pPr>
            <w:r>
              <w:rPr>
                <w:color w:val="1E3242"/>
                <w:sz w:val="17"/>
              </w:rPr>
              <w:t>Keep identifiable source data within approved boundaries and define result disclosure controls.</w:t>
            </w:r>
          </w:p>
        </w:tc>
      </w:tr>
      <w:tr w:rsidR="00C12C0F" w14:paraId="61F369D3" w14:textId="77777777">
        <w:trPr>
          <w:jc w:val="center"/>
        </w:trPr>
        <w:tc>
          <w:tcPr>
            <w:tcW w:w="2088" w:type="dxa"/>
            <w:shd w:val="clear" w:color="auto" w:fill="F3F6F8"/>
            <w:tcMar>
              <w:top w:w="100" w:type="dxa"/>
              <w:left w:w="120" w:type="dxa"/>
              <w:bottom w:w="100" w:type="dxa"/>
              <w:right w:w="120" w:type="dxa"/>
            </w:tcMar>
            <w:vAlign w:val="center"/>
          </w:tcPr>
          <w:p w14:paraId="1A7C6766" w14:textId="77777777" w:rsidR="00C12C0F" w:rsidRDefault="00395FC0">
            <w:pPr>
              <w:spacing w:after="0"/>
              <w:rPr>
                <w:rFonts w:hint="eastAsia"/>
              </w:rPr>
            </w:pPr>
            <w:r>
              <w:rPr>
                <w:color w:val="1E3242"/>
                <w:sz w:val="17"/>
              </w:rPr>
              <w:t>Reliability</w:t>
            </w:r>
          </w:p>
        </w:tc>
        <w:tc>
          <w:tcPr>
            <w:tcW w:w="7632" w:type="dxa"/>
            <w:shd w:val="clear" w:color="auto" w:fill="F3F6F8"/>
            <w:tcMar>
              <w:top w:w="100" w:type="dxa"/>
              <w:left w:w="120" w:type="dxa"/>
              <w:bottom w:w="100" w:type="dxa"/>
              <w:right w:w="120" w:type="dxa"/>
            </w:tcMar>
            <w:vAlign w:val="center"/>
          </w:tcPr>
          <w:p w14:paraId="5670FD32" w14:textId="77777777" w:rsidR="00C12C0F" w:rsidRDefault="00395FC0">
            <w:pPr>
              <w:spacing w:after="0"/>
              <w:rPr>
                <w:rFonts w:hint="eastAsia"/>
              </w:rPr>
            </w:pPr>
            <w:r>
              <w:rPr>
                <w:color w:val="1E3242"/>
                <w:sz w:val="17"/>
              </w:rPr>
              <w:t>Use idempotent operations, correlation identifiers, retries with limits, and durable state where appropriate.</w:t>
            </w:r>
          </w:p>
        </w:tc>
      </w:tr>
      <w:tr w:rsidR="00C12C0F" w14:paraId="658440EA" w14:textId="77777777">
        <w:trPr>
          <w:jc w:val="center"/>
        </w:trPr>
        <w:tc>
          <w:tcPr>
            <w:tcW w:w="2088" w:type="dxa"/>
            <w:tcMar>
              <w:top w:w="100" w:type="dxa"/>
              <w:left w:w="120" w:type="dxa"/>
              <w:bottom w:w="100" w:type="dxa"/>
              <w:right w:w="120" w:type="dxa"/>
            </w:tcMar>
            <w:vAlign w:val="center"/>
          </w:tcPr>
          <w:p w14:paraId="63ADC56B" w14:textId="77777777" w:rsidR="00C12C0F" w:rsidRDefault="00395FC0">
            <w:pPr>
              <w:spacing w:after="0"/>
              <w:rPr>
                <w:rFonts w:hint="eastAsia"/>
              </w:rPr>
            </w:pPr>
            <w:r>
              <w:rPr>
                <w:color w:val="1E3242"/>
                <w:sz w:val="17"/>
              </w:rPr>
              <w:lastRenderedPageBreak/>
              <w:t>Scalability</w:t>
            </w:r>
          </w:p>
        </w:tc>
        <w:tc>
          <w:tcPr>
            <w:tcW w:w="7632" w:type="dxa"/>
            <w:tcMar>
              <w:top w:w="100" w:type="dxa"/>
              <w:left w:w="120" w:type="dxa"/>
              <w:bottom w:w="100" w:type="dxa"/>
              <w:right w:w="120" w:type="dxa"/>
            </w:tcMar>
            <w:vAlign w:val="center"/>
          </w:tcPr>
          <w:p w14:paraId="4DE70871" w14:textId="77777777" w:rsidR="00C12C0F" w:rsidRDefault="00395FC0">
            <w:pPr>
              <w:spacing w:after="0"/>
              <w:rPr>
                <w:rFonts w:hint="eastAsia"/>
              </w:rPr>
            </w:pPr>
            <w:r>
              <w:rPr>
                <w:color w:val="1E3242"/>
                <w:sz w:val="17"/>
              </w:rPr>
              <w:t>Separate federated-job state from site-job state and support independent scaling of central and local services.</w:t>
            </w:r>
          </w:p>
        </w:tc>
      </w:tr>
      <w:tr w:rsidR="00C12C0F" w14:paraId="596DBDDB" w14:textId="77777777">
        <w:trPr>
          <w:jc w:val="center"/>
        </w:trPr>
        <w:tc>
          <w:tcPr>
            <w:tcW w:w="2088" w:type="dxa"/>
            <w:shd w:val="clear" w:color="auto" w:fill="F3F6F8"/>
            <w:tcMar>
              <w:top w:w="100" w:type="dxa"/>
              <w:left w:w="120" w:type="dxa"/>
              <w:bottom w:w="100" w:type="dxa"/>
              <w:right w:w="120" w:type="dxa"/>
            </w:tcMar>
            <w:vAlign w:val="center"/>
          </w:tcPr>
          <w:p w14:paraId="22AB3F23" w14:textId="77777777" w:rsidR="00C12C0F" w:rsidRDefault="00395FC0">
            <w:pPr>
              <w:spacing w:after="0"/>
              <w:rPr>
                <w:rFonts w:hint="eastAsia"/>
              </w:rPr>
            </w:pPr>
            <w:r>
              <w:rPr>
                <w:color w:val="1E3242"/>
                <w:sz w:val="17"/>
              </w:rPr>
              <w:t>Observability</w:t>
            </w:r>
          </w:p>
        </w:tc>
        <w:tc>
          <w:tcPr>
            <w:tcW w:w="7632" w:type="dxa"/>
            <w:shd w:val="clear" w:color="auto" w:fill="F3F6F8"/>
            <w:tcMar>
              <w:top w:w="100" w:type="dxa"/>
              <w:left w:w="120" w:type="dxa"/>
              <w:bottom w:w="100" w:type="dxa"/>
              <w:right w:w="120" w:type="dxa"/>
            </w:tcMar>
            <w:vAlign w:val="center"/>
          </w:tcPr>
          <w:p w14:paraId="1BCA7206" w14:textId="77777777" w:rsidR="00C12C0F" w:rsidRDefault="00395FC0">
            <w:pPr>
              <w:spacing w:after="0"/>
              <w:rPr>
                <w:rFonts w:hint="eastAsia"/>
              </w:rPr>
            </w:pPr>
            <w:r>
              <w:rPr>
                <w:color w:val="1E3242"/>
                <w:sz w:val="17"/>
              </w:rPr>
              <w:t>Capture structured logs, metrics, traces or correlation identifiers, lifecycle events, and safe diagnostics.</w:t>
            </w:r>
          </w:p>
        </w:tc>
      </w:tr>
      <w:tr w:rsidR="00C12C0F" w14:paraId="326D11BC" w14:textId="77777777">
        <w:trPr>
          <w:jc w:val="center"/>
        </w:trPr>
        <w:tc>
          <w:tcPr>
            <w:tcW w:w="2088" w:type="dxa"/>
            <w:tcMar>
              <w:top w:w="100" w:type="dxa"/>
              <w:left w:w="120" w:type="dxa"/>
              <w:bottom w:w="100" w:type="dxa"/>
              <w:right w:w="120" w:type="dxa"/>
            </w:tcMar>
            <w:vAlign w:val="center"/>
          </w:tcPr>
          <w:p w14:paraId="743DFC6C" w14:textId="77777777" w:rsidR="00C12C0F" w:rsidRDefault="00395FC0">
            <w:pPr>
              <w:spacing w:after="0"/>
              <w:rPr>
                <w:rFonts w:hint="eastAsia"/>
              </w:rPr>
            </w:pPr>
            <w:r>
              <w:rPr>
                <w:color w:val="1E3242"/>
                <w:sz w:val="17"/>
              </w:rPr>
              <w:t>Portability</w:t>
            </w:r>
          </w:p>
        </w:tc>
        <w:tc>
          <w:tcPr>
            <w:tcW w:w="7632" w:type="dxa"/>
            <w:tcMar>
              <w:top w:w="100" w:type="dxa"/>
              <w:left w:w="120" w:type="dxa"/>
              <w:bottom w:w="100" w:type="dxa"/>
              <w:right w:w="120" w:type="dxa"/>
            </w:tcMar>
            <w:vAlign w:val="center"/>
          </w:tcPr>
          <w:p w14:paraId="0EBED87A" w14:textId="77777777" w:rsidR="00C12C0F" w:rsidRDefault="00395FC0">
            <w:pPr>
              <w:spacing w:after="0"/>
              <w:rPr>
                <w:rFonts w:hint="eastAsia"/>
              </w:rPr>
            </w:pPr>
            <w:r>
              <w:rPr>
                <w:color w:val="1E3242"/>
                <w:sz w:val="17"/>
              </w:rPr>
              <w:t>Avoid embedding product-specific assumptions in contracts; isolate repository and runtime adapters.</w:t>
            </w:r>
          </w:p>
        </w:tc>
      </w:tr>
      <w:tr w:rsidR="00C12C0F" w14:paraId="1B164A26" w14:textId="77777777">
        <w:trPr>
          <w:jc w:val="center"/>
        </w:trPr>
        <w:tc>
          <w:tcPr>
            <w:tcW w:w="2088" w:type="dxa"/>
            <w:shd w:val="clear" w:color="auto" w:fill="F3F6F8"/>
            <w:tcMar>
              <w:top w:w="100" w:type="dxa"/>
              <w:left w:w="120" w:type="dxa"/>
              <w:bottom w:w="100" w:type="dxa"/>
              <w:right w:w="120" w:type="dxa"/>
            </w:tcMar>
            <w:vAlign w:val="center"/>
          </w:tcPr>
          <w:p w14:paraId="5F6E27DB" w14:textId="77777777" w:rsidR="00C12C0F" w:rsidRDefault="00395FC0">
            <w:pPr>
              <w:spacing w:after="0"/>
              <w:rPr>
                <w:rFonts w:hint="eastAsia"/>
              </w:rPr>
            </w:pPr>
            <w:r>
              <w:rPr>
                <w:color w:val="1E3242"/>
                <w:sz w:val="17"/>
              </w:rPr>
              <w:t>Maintainability</w:t>
            </w:r>
          </w:p>
        </w:tc>
        <w:tc>
          <w:tcPr>
            <w:tcW w:w="7632" w:type="dxa"/>
            <w:shd w:val="clear" w:color="auto" w:fill="F3F6F8"/>
            <w:tcMar>
              <w:top w:w="100" w:type="dxa"/>
              <w:left w:w="120" w:type="dxa"/>
              <w:bottom w:w="100" w:type="dxa"/>
              <w:right w:w="120" w:type="dxa"/>
            </w:tcMar>
            <w:vAlign w:val="center"/>
          </w:tcPr>
          <w:p w14:paraId="1BC9E1DF" w14:textId="77777777" w:rsidR="00C12C0F" w:rsidRDefault="00395FC0">
            <w:pPr>
              <w:spacing w:after="0"/>
              <w:rPr>
                <w:rFonts w:hint="eastAsia"/>
              </w:rPr>
            </w:pPr>
            <w:r>
              <w:rPr>
                <w:color w:val="1E3242"/>
                <w:sz w:val="17"/>
              </w:rPr>
              <w:t>Govern contracts, reference code, and product implementations as separate release concerns.</w:t>
            </w:r>
          </w:p>
        </w:tc>
      </w:tr>
      <w:tr w:rsidR="00C12C0F" w14:paraId="63D99E2B" w14:textId="77777777">
        <w:trPr>
          <w:jc w:val="center"/>
        </w:trPr>
        <w:tc>
          <w:tcPr>
            <w:tcW w:w="2088" w:type="dxa"/>
            <w:tcMar>
              <w:top w:w="100" w:type="dxa"/>
              <w:left w:w="120" w:type="dxa"/>
              <w:bottom w:w="100" w:type="dxa"/>
              <w:right w:w="120" w:type="dxa"/>
            </w:tcMar>
            <w:vAlign w:val="center"/>
          </w:tcPr>
          <w:p w14:paraId="1ABCEE39" w14:textId="77777777" w:rsidR="00C12C0F" w:rsidRDefault="00395FC0">
            <w:pPr>
              <w:spacing w:after="0"/>
              <w:rPr>
                <w:rFonts w:hint="eastAsia"/>
              </w:rPr>
            </w:pPr>
            <w:r>
              <w:rPr>
                <w:color w:val="1E3242"/>
                <w:sz w:val="17"/>
              </w:rPr>
              <w:t>Reproducibility</w:t>
            </w:r>
          </w:p>
        </w:tc>
        <w:tc>
          <w:tcPr>
            <w:tcW w:w="7632" w:type="dxa"/>
            <w:tcMar>
              <w:top w:w="100" w:type="dxa"/>
              <w:left w:w="120" w:type="dxa"/>
              <w:bottom w:w="100" w:type="dxa"/>
              <w:right w:w="120" w:type="dxa"/>
            </w:tcMar>
            <w:vAlign w:val="center"/>
          </w:tcPr>
          <w:p w14:paraId="05AA164D" w14:textId="77777777" w:rsidR="00C12C0F" w:rsidRDefault="00395FC0">
            <w:pPr>
              <w:spacing w:after="0"/>
              <w:rPr>
                <w:rFonts w:hint="eastAsia"/>
              </w:rPr>
            </w:pPr>
            <w:r>
              <w:rPr>
                <w:color w:val="1E3242"/>
                <w:sz w:val="17"/>
              </w:rPr>
              <w:t>Record algorithm version, configuration, cohort definition, execution context, and result provenance.</w:t>
            </w:r>
          </w:p>
        </w:tc>
      </w:tr>
      <w:tr w:rsidR="00C12C0F" w14:paraId="2895D809" w14:textId="77777777">
        <w:trPr>
          <w:jc w:val="center"/>
        </w:trPr>
        <w:tc>
          <w:tcPr>
            <w:tcW w:w="2088" w:type="dxa"/>
            <w:shd w:val="clear" w:color="auto" w:fill="F3F6F8"/>
            <w:tcMar>
              <w:top w:w="100" w:type="dxa"/>
              <w:left w:w="120" w:type="dxa"/>
              <w:bottom w:w="100" w:type="dxa"/>
              <w:right w:w="120" w:type="dxa"/>
            </w:tcMar>
            <w:vAlign w:val="center"/>
          </w:tcPr>
          <w:p w14:paraId="2334B7D7" w14:textId="77777777" w:rsidR="00C12C0F" w:rsidRDefault="00395FC0">
            <w:pPr>
              <w:spacing w:after="0"/>
              <w:rPr>
                <w:rFonts w:hint="eastAsia"/>
              </w:rPr>
            </w:pPr>
            <w:r>
              <w:rPr>
                <w:color w:val="1E3242"/>
                <w:sz w:val="17"/>
              </w:rPr>
              <w:t>Usability</w:t>
            </w:r>
          </w:p>
        </w:tc>
        <w:tc>
          <w:tcPr>
            <w:tcW w:w="7632" w:type="dxa"/>
            <w:shd w:val="clear" w:color="auto" w:fill="F3F6F8"/>
            <w:tcMar>
              <w:top w:w="100" w:type="dxa"/>
              <w:left w:w="120" w:type="dxa"/>
              <w:bottom w:w="100" w:type="dxa"/>
              <w:right w:w="120" w:type="dxa"/>
            </w:tcMar>
            <w:vAlign w:val="center"/>
          </w:tcPr>
          <w:p w14:paraId="2ADE2594" w14:textId="77777777" w:rsidR="00C12C0F" w:rsidRDefault="00395FC0">
            <w:pPr>
              <w:spacing w:after="0"/>
              <w:rPr>
                <w:rFonts w:hint="eastAsia"/>
              </w:rPr>
            </w:pPr>
            <w:r>
              <w:rPr>
                <w:color w:val="1E3242"/>
                <w:sz w:val="17"/>
              </w:rPr>
              <w:t>Present federated and site-level state clearly; distinguish incomplete, failed, and completed-with-partial-results outcomes.</w:t>
            </w:r>
          </w:p>
        </w:tc>
      </w:tr>
    </w:tbl>
    <w:p w14:paraId="3656B9AB" w14:textId="77777777" w:rsidR="00C12C0F" w:rsidRDefault="00C12C0F">
      <w:pPr>
        <w:spacing w:after="20"/>
        <w:rPr>
          <w:rFonts w:hint="eastAsia"/>
        </w:rPr>
      </w:pPr>
    </w:p>
    <w:p w14:paraId="671DEFD1" w14:textId="77777777" w:rsidR="00C12C0F" w:rsidRDefault="00395FC0">
      <w:pPr>
        <w:pStyle w:val="Heading1"/>
      </w:pPr>
      <w:r>
        <w:t>11. Governance and Lifecycle</w:t>
      </w:r>
    </w:p>
    <w:p w14:paraId="5CA45902" w14:textId="77777777" w:rsidR="00C12C0F" w:rsidRDefault="00395FC0">
      <w:pPr>
        <w:rPr>
          <w:rFonts w:hint="eastAsia"/>
        </w:rPr>
      </w:pPr>
      <w:r>
        <w:t>The architectural value of the contracts depends on disciplined governance. Contract ownership should be distinct from ownership of any central or local product implementation. Release decisions should consider compatibility, migration, validation assets, and operational impact across independently governed sites.</w:t>
      </w:r>
    </w:p>
    <w:tbl>
      <w:tblPr>
        <w:tblStyle w:val="TableGrid"/>
        <w:tblW w:w="0" w:type="auto"/>
        <w:jc w:val="center"/>
        <w:tblLook w:val="04A0" w:firstRow="1" w:lastRow="0" w:firstColumn="1" w:lastColumn="0" w:noHBand="0" w:noVBand="1"/>
      </w:tblPr>
      <w:tblGrid>
        <w:gridCol w:w="2232"/>
        <w:gridCol w:w="7488"/>
      </w:tblGrid>
      <w:tr w:rsidR="00C12C0F" w14:paraId="3DEFC0AC" w14:textId="77777777">
        <w:trPr>
          <w:tblHeader/>
          <w:jc w:val="center"/>
        </w:trPr>
        <w:tc>
          <w:tcPr>
            <w:tcW w:w="2232" w:type="dxa"/>
            <w:shd w:val="clear" w:color="auto" w:fill="183B56"/>
            <w:tcMar>
              <w:top w:w="100" w:type="dxa"/>
              <w:left w:w="120" w:type="dxa"/>
              <w:bottom w:w="100" w:type="dxa"/>
              <w:right w:w="120" w:type="dxa"/>
            </w:tcMar>
            <w:vAlign w:val="center"/>
          </w:tcPr>
          <w:p w14:paraId="649D72B0" w14:textId="77777777" w:rsidR="00C12C0F" w:rsidRDefault="00395FC0">
            <w:pPr>
              <w:rPr>
                <w:rFonts w:hint="eastAsia"/>
              </w:rPr>
            </w:pPr>
            <w:r>
              <w:rPr>
                <w:b/>
                <w:color w:val="FFFFFF"/>
                <w:sz w:val="18"/>
              </w:rPr>
              <w:t>Governance concern</w:t>
            </w:r>
          </w:p>
        </w:tc>
        <w:tc>
          <w:tcPr>
            <w:tcW w:w="7488" w:type="dxa"/>
            <w:shd w:val="clear" w:color="auto" w:fill="183B56"/>
            <w:tcMar>
              <w:top w:w="100" w:type="dxa"/>
              <w:left w:w="120" w:type="dxa"/>
              <w:bottom w:w="100" w:type="dxa"/>
              <w:right w:w="120" w:type="dxa"/>
            </w:tcMar>
            <w:vAlign w:val="center"/>
          </w:tcPr>
          <w:p w14:paraId="36A3B341" w14:textId="77777777" w:rsidR="00C12C0F" w:rsidRDefault="00395FC0">
            <w:pPr>
              <w:rPr>
                <w:rFonts w:hint="eastAsia"/>
              </w:rPr>
            </w:pPr>
            <w:r>
              <w:rPr>
                <w:b/>
                <w:color w:val="FFFFFF"/>
                <w:sz w:val="18"/>
              </w:rPr>
              <w:t>Recommended practice</w:t>
            </w:r>
          </w:p>
        </w:tc>
      </w:tr>
      <w:tr w:rsidR="00C12C0F" w14:paraId="2F7D06E3" w14:textId="77777777">
        <w:trPr>
          <w:jc w:val="center"/>
        </w:trPr>
        <w:tc>
          <w:tcPr>
            <w:tcW w:w="2232" w:type="dxa"/>
            <w:tcMar>
              <w:top w:w="100" w:type="dxa"/>
              <w:left w:w="120" w:type="dxa"/>
              <w:bottom w:w="100" w:type="dxa"/>
              <w:right w:w="120" w:type="dxa"/>
            </w:tcMar>
            <w:vAlign w:val="center"/>
          </w:tcPr>
          <w:p w14:paraId="409F606A" w14:textId="77777777" w:rsidR="00C12C0F" w:rsidRDefault="00395FC0">
            <w:pPr>
              <w:spacing w:after="0"/>
              <w:rPr>
                <w:rFonts w:hint="eastAsia"/>
              </w:rPr>
            </w:pPr>
            <w:r>
              <w:rPr>
                <w:color w:val="1E3242"/>
                <w:sz w:val="17"/>
              </w:rPr>
              <w:t>Ownership</w:t>
            </w:r>
          </w:p>
        </w:tc>
        <w:tc>
          <w:tcPr>
            <w:tcW w:w="7488" w:type="dxa"/>
            <w:tcMar>
              <w:top w:w="100" w:type="dxa"/>
              <w:left w:w="120" w:type="dxa"/>
              <w:bottom w:w="100" w:type="dxa"/>
              <w:right w:w="120" w:type="dxa"/>
            </w:tcMar>
            <w:vAlign w:val="center"/>
          </w:tcPr>
          <w:p w14:paraId="443E4077" w14:textId="77777777" w:rsidR="00C12C0F" w:rsidRDefault="00395FC0">
            <w:pPr>
              <w:spacing w:after="0"/>
              <w:rPr>
                <w:rFonts w:hint="eastAsia"/>
              </w:rPr>
            </w:pPr>
            <w:r>
              <w:rPr>
                <w:color w:val="1E3242"/>
                <w:sz w:val="17"/>
              </w:rPr>
              <w:t>Name accountable stewards for each contract family and for the reference architecture.</w:t>
            </w:r>
          </w:p>
        </w:tc>
      </w:tr>
      <w:tr w:rsidR="00C12C0F" w14:paraId="6F6FC52B" w14:textId="77777777">
        <w:trPr>
          <w:jc w:val="center"/>
        </w:trPr>
        <w:tc>
          <w:tcPr>
            <w:tcW w:w="2232" w:type="dxa"/>
            <w:shd w:val="clear" w:color="auto" w:fill="F3F6F8"/>
            <w:tcMar>
              <w:top w:w="100" w:type="dxa"/>
              <w:left w:w="120" w:type="dxa"/>
              <w:bottom w:w="100" w:type="dxa"/>
              <w:right w:w="120" w:type="dxa"/>
            </w:tcMar>
            <w:vAlign w:val="center"/>
          </w:tcPr>
          <w:p w14:paraId="4113D885" w14:textId="77777777" w:rsidR="00C12C0F" w:rsidRDefault="00395FC0">
            <w:pPr>
              <w:spacing w:after="0"/>
              <w:rPr>
                <w:rFonts w:hint="eastAsia"/>
              </w:rPr>
            </w:pPr>
            <w:r>
              <w:rPr>
                <w:color w:val="1E3242"/>
                <w:sz w:val="17"/>
              </w:rPr>
              <w:t>Versioning</w:t>
            </w:r>
          </w:p>
        </w:tc>
        <w:tc>
          <w:tcPr>
            <w:tcW w:w="7488" w:type="dxa"/>
            <w:shd w:val="clear" w:color="auto" w:fill="F3F6F8"/>
            <w:tcMar>
              <w:top w:w="100" w:type="dxa"/>
              <w:left w:w="120" w:type="dxa"/>
              <w:bottom w:w="100" w:type="dxa"/>
              <w:right w:w="120" w:type="dxa"/>
            </w:tcMar>
            <w:vAlign w:val="center"/>
          </w:tcPr>
          <w:p w14:paraId="0E9301B7" w14:textId="77777777" w:rsidR="00C12C0F" w:rsidRDefault="00395FC0">
            <w:pPr>
              <w:spacing w:after="0"/>
              <w:rPr>
                <w:rFonts w:hint="eastAsia"/>
              </w:rPr>
            </w:pPr>
            <w:r>
              <w:rPr>
                <w:color w:val="1E3242"/>
                <w:sz w:val="17"/>
              </w:rPr>
              <w:t>Use explicit semantic or equivalent versioning and publish compatibility expectations.</w:t>
            </w:r>
          </w:p>
        </w:tc>
      </w:tr>
      <w:tr w:rsidR="00C12C0F" w14:paraId="2A9B4BC3" w14:textId="77777777">
        <w:trPr>
          <w:jc w:val="center"/>
        </w:trPr>
        <w:tc>
          <w:tcPr>
            <w:tcW w:w="2232" w:type="dxa"/>
            <w:tcMar>
              <w:top w:w="100" w:type="dxa"/>
              <w:left w:w="120" w:type="dxa"/>
              <w:bottom w:w="100" w:type="dxa"/>
              <w:right w:w="120" w:type="dxa"/>
            </w:tcMar>
            <w:vAlign w:val="center"/>
          </w:tcPr>
          <w:p w14:paraId="63DBEFE5" w14:textId="77777777" w:rsidR="00C12C0F" w:rsidRDefault="00395FC0">
            <w:pPr>
              <w:spacing w:after="0"/>
              <w:rPr>
                <w:rFonts w:hint="eastAsia"/>
              </w:rPr>
            </w:pPr>
            <w:r>
              <w:rPr>
                <w:color w:val="1E3242"/>
                <w:sz w:val="17"/>
              </w:rPr>
              <w:t>Change control</w:t>
            </w:r>
          </w:p>
        </w:tc>
        <w:tc>
          <w:tcPr>
            <w:tcW w:w="7488" w:type="dxa"/>
            <w:tcMar>
              <w:top w:w="100" w:type="dxa"/>
              <w:left w:w="120" w:type="dxa"/>
              <w:bottom w:w="100" w:type="dxa"/>
              <w:right w:w="120" w:type="dxa"/>
            </w:tcMar>
            <w:vAlign w:val="center"/>
          </w:tcPr>
          <w:p w14:paraId="3791AF91" w14:textId="77777777" w:rsidR="00C12C0F" w:rsidRDefault="00395FC0">
            <w:pPr>
              <w:spacing w:after="0"/>
              <w:rPr>
                <w:rFonts w:hint="eastAsia"/>
              </w:rPr>
            </w:pPr>
            <w:r>
              <w:rPr>
                <w:color w:val="1E3242"/>
                <w:sz w:val="17"/>
              </w:rPr>
              <w:t>Review proposed additions, removals, and semantic changes with producer and consumer representatives.</w:t>
            </w:r>
          </w:p>
        </w:tc>
      </w:tr>
      <w:tr w:rsidR="00C12C0F" w14:paraId="4EDF7B33" w14:textId="77777777">
        <w:trPr>
          <w:jc w:val="center"/>
        </w:trPr>
        <w:tc>
          <w:tcPr>
            <w:tcW w:w="2232" w:type="dxa"/>
            <w:shd w:val="clear" w:color="auto" w:fill="F3F6F8"/>
            <w:tcMar>
              <w:top w:w="100" w:type="dxa"/>
              <w:left w:w="120" w:type="dxa"/>
              <w:bottom w:w="100" w:type="dxa"/>
              <w:right w:w="120" w:type="dxa"/>
            </w:tcMar>
            <w:vAlign w:val="center"/>
          </w:tcPr>
          <w:p w14:paraId="314B9169" w14:textId="77777777" w:rsidR="00C12C0F" w:rsidRDefault="00395FC0">
            <w:pPr>
              <w:spacing w:after="0"/>
              <w:rPr>
                <w:rFonts w:hint="eastAsia"/>
              </w:rPr>
            </w:pPr>
            <w:r>
              <w:rPr>
                <w:color w:val="1E3242"/>
                <w:sz w:val="17"/>
              </w:rPr>
              <w:t>Deprecation</w:t>
            </w:r>
          </w:p>
        </w:tc>
        <w:tc>
          <w:tcPr>
            <w:tcW w:w="7488" w:type="dxa"/>
            <w:shd w:val="clear" w:color="auto" w:fill="F3F6F8"/>
            <w:tcMar>
              <w:top w:w="100" w:type="dxa"/>
              <w:left w:w="120" w:type="dxa"/>
              <w:bottom w:w="100" w:type="dxa"/>
              <w:right w:w="120" w:type="dxa"/>
            </w:tcMar>
            <w:vAlign w:val="center"/>
          </w:tcPr>
          <w:p w14:paraId="0B35AA7F" w14:textId="77777777" w:rsidR="00C12C0F" w:rsidRDefault="00395FC0">
            <w:pPr>
              <w:spacing w:after="0"/>
              <w:rPr>
                <w:rFonts w:hint="eastAsia"/>
              </w:rPr>
            </w:pPr>
            <w:r>
              <w:rPr>
                <w:color w:val="1E3242"/>
                <w:sz w:val="17"/>
              </w:rPr>
              <w:t>Publish replacement paths and a defined support policy before removing contract elements.</w:t>
            </w:r>
          </w:p>
        </w:tc>
      </w:tr>
      <w:tr w:rsidR="00C12C0F" w14:paraId="5528FAA6" w14:textId="77777777">
        <w:trPr>
          <w:jc w:val="center"/>
        </w:trPr>
        <w:tc>
          <w:tcPr>
            <w:tcW w:w="2232" w:type="dxa"/>
            <w:tcMar>
              <w:top w:w="100" w:type="dxa"/>
              <w:left w:w="120" w:type="dxa"/>
              <w:bottom w:w="100" w:type="dxa"/>
              <w:right w:w="120" w:type="dxa"/>
            </w:tcMar>
            <w:vAlign w:val="center"/>
          </w:tcPr>
          <w:p w14:paraId="5983304D" w14:textId="77777777" w:rsidR="00C12C0F" w:rsidRDefault="00395FC0">
            <w:pPr>
              <w:spacing w:after="0"/>
              <w:rPr>
                <w:rFonts w:hint="eastAsia"/>
              </w:rPr>
            </w:pPr>
            <w:r>
              <w:rPr>
                <w:color w:val="1E3242"/>
                <w:sz w:val="17"/>
              </w:rPr>
              <w:t>Testing</w:t>
            </w:r>
          </w:p>
        </w:tc>
        <w:tc>
          <w:tcPr>
            <w:tcW w:w="7488" w:type="dxa"/>
            <w:tcMar>
              <w:top w:w="100" w:type="dxa"/>
              <w:left w:w="120" w:type="dxa"/>
              <w:bottom w:w="100" w:type="dxa"/>
              <w:right w:w="120" w:type="dxa"/>
            </w:tcMar>
            <w:vAlign w:val="center"/>
          </w:tcPr>
          <w:p w14:paraId="2F69F995" w14:textId="77777777" w:rsidR="00C12C0F" w:rsidRDefault="00395FC0">
            <w:pPr>
              <w:spacing w:after="0"/>
              <w:rPr>
                <w:rFonts w:hint="eastAsia"/>
              </w:rPr>
            </w:pPr>
            <w:r>
              <w:rPr>
                <w:color w:val="1E3242"/>
                <w:sz w:val="17"/>
              </w:rPr>
              <w:t>Maintain automated schema validation, reference payloads, and cross-implementation interoperability tests.</w:t>
            </w:r>
          </w:p>
        </w:tc>
      </w:tr>
      <w:tr w:rsidR="00C12C0F" w14:paraId="6C76C19C" w14:textId="77777777">
        <w:trPr>
          <w:jc w:val="center"/>
        </w:trPr>
        <w:tc>
          <w:tcPr>
            <w:tcW w:w="2232" w:type="dxa"/>
            <w:shd w:val="clear" w:color="auto" w:fill="F3F6F8"/>
            <w:tcMar>
              <w:top w:w="100" w:type="dxa"/>
              <w:left w:w="120" w:type="dxa"/>
              <w:bottom w:w="100" w:type="dxa"/>
              <w:right w:w="120" w:type="dxa"/>
            </w:tcMar>
            <w:vAlign w:val="center"/>
          </w:tcPr>
          <w:p w14:paraId="1E2E3074" w14:textId="77777777" w:rsidR="00C12C0F" w:rsidRDefault="00395FC0">
            <w:pPr>
              <w:spacing w:after="0"/>
              <w:rPr>
                <w:rFonts w:hint="eastAsia"/>
              </w:rPr>
            </w:pPr>
            <w:r>
              <w:rPr>
                <w:color w:val="1E3242"/>
                <w:sz w:val="17"/>
              </w:rPr>
              <w:t>Security review</w:t>
            </w:r>
          </w:p>
        </w:tc>
        <w:tc>
          <w:tcPr>
            <w:tcW w:w="7488" w:type="dxa"/>
            <w:shd w:val="clear" w:color="auto" w:fill="F3F6F8"/>
            <w:tcMar>
              <w:top w:w="100" w:type="dxa"/>
              <w:left w:w="120" w:type="dxa"/>
              <w:bottom w:w="100" w:type="dxa"/>
              <w:right w:w="120" w:type="dxa"/>
            </w:tcMar>
            <w:vAlign w:val="center"/>
          </w:tcPr>
          <w:p w14:paraId="6532FB8C" w14:textId="77777777" w:rsidR="00C12C0F" w:rsidRDefault="00395FC0">
            <w:pPr>
              <w:spacing w:after="0"/>
              <w:rPr>
                <w:rFonts w:hint="eastAsia"/>
              </w:rPr>
            </w:pPr>
            <w:r>
              <w:rPr>
                <w:color w:val="1E3242"/>
                <w:sz w:val="17"/>
              </w:rPr>
              <w:t>Review new job capabilities, payload fields, result types, and artifact mechanisms for security and privacy impact.</w:t>
            </w:r>
          </w:p>
        </w:tc>
      </w:tr>
      <w:tr w:rsidR="00C12C0F" w14:paraId="3A5C567E" w14:textId="77777777">
        <w:trPr>
          <w:jc w:val="center"/>
        </w:trPr>
        <w:tc>
          <w:tcPr>
            <w:tcW w:w="2232" w:type="dxa"/>
            <w:tcMar>
              <w:top w:w="100" w:type="dxa"/>
              <w:left w:w="120" w:type="dxa"/>
              <w:bottom w:w="100" w:type="dxa"/>
              <w:right w:w="120" w:type="dxa"/>
            </w:tcMar>
            <w:vAlign w:val="center"/>
          </w:tcPr>
          <w:p w14:paraId="3829360E" w14:textId="77777777" w:rsidR="00C12C0F" w:rsidRDefault="00395FC0">
            <w:pPr>
              <w:spacing w:after="0"/>
              <w:rPr>
                <w:rFonts w:hint="eastAsia"/>
              </w:rPr>
            </w:pPr>
            <w:r>
              <w:rPr>
                <w:color w:val="1E3242"/>
                <w:sz w:val="17"/>
              </w:rPr>
              <w:t>Documentation</w:t>
            </w:r>
          </w:p>
        </w:tc>
        <w:tc>
          <w:tcPr>
            <w:tcW w:w="7488" w:type="dxa"/>
            <w:tcMar>
              <w:top w:w="100" w:type="dxa"/>
              <w:left w:w="120" w:type="dxa"/>
              <w:bottom w:w="100" w:type="dxa"/>
              <w:right w:w="120" w:type="dxa"/>
            </w:tcMar>
            <w:vAlign w:val="center"/>
          </w:tcPr>
          <w:p w14:paraId="7D56AD81" w14:textId="77777777" w:rsidR="00C12C0F" w:rsidRDefault="00395FC0">
            <w:pPr>
              <w:spacing w:after="0"/>
              <w:rPr>
                <w:rFonts w:hint="eastAsia"/>
              </w:rPr>
            </w:pPr>
            <w:r>
              <w:rPr>
                <w:color w:val="1E3242"/>
                <w:sz w:val="17"/>
              </w:rPr>
              <w:t>Keep conceptual architecture, contract specifications, examples, and implementation guidance synchronized.</w:t>
            </w:r>
          </w:p>
        </w:tc>
      </w:tr>
      <w:tr w:rsidR="00C12C0F" w14:paraId="5743DBBF" w14:textId="77777777">
        <w:trPr>
          <w:jc w:val="center"/>
        </w:trPr>
        <w:tc>
          <w:tcPr>
            <w:tcW w:w="2232" w:type="dxa"/>
            <w:shd w:val="clear" w:color="auto" w:fill="F3F6F8"/>
            <w:tcMar>
              <w:top w:w="100" w:type="dxa"/>
              <w:left w:w="120" w:type="dxa"/>
              <w:bottom w:w="100" w:type="dxa"/>
              <w:right w:w="120" w:type="dxa"/>
            </w:tcMar>
            <w:vAlign w:val="center"/>
          </w:tcPr>
          <w:p w14:paraId="66EEE8F4" w14:textId="77777777" w:rsidR="00C12C0F" w:rsidRDefault="00395FC0">
            <w:pPr>
              <w:spacing w:after="0"/>
              <w:rPr>
                <w:rFonts w:hint="eastAsia"/>
              </w:rPr>
            </w:pPr>
            <w:r>
              <w:rPr>
                <w:color w:val="1E3242"/>
                <w:sz w:val="17"/>
              </w:rPr>
              <w:t>Provenance</w:t>
            </w:r>
          </w:p>
        </w:tc>
        <w:tc>
          <w:tcPr>
            <w:tcW w:w="7488" w:type="dxa"/>
            <w:shd w:val="clear" w:color="auto" w:fill="F3F6F8"/>
            <w:tcMar>
              <w:top w:w="100" w:type="dxa"/>
              <w:left w:w="120" w:type="dxa"/>
              <w:bottom w:w="100" w:type="dxa"/>
              <w:right w:w="120" w:type="dxa"/>
            </w:tcMar>
            <w:vAlign w:val="center"/>
          </w:tcPr>
          <w:p w14:paraId="3681627A" w14:textId="77777777" w:rsidR="00C12C0F" w:rsidRDefault="00395FC0">
            <w:pPr>
              <w:spacing w:after="0"/>
              <w:rPr>
                <w:rFonts w:hint="eastAsia"/>
              </w:rPr>
            </w:pPr>
            <w:r>
              <w:rPr>
                <w:color w:val="1E3242"/>
                <w:sz w:val="17"/>
              </w:rPr>
              <w:t>Record the contract version, component version, and algorithm version used for each job and result.</w:t>
            </w:r>
          </w:p>
        </w:tc>
      </w:tr>
    </w:tbl>
    <w:p w14:paraId="45FB0818" w14:textId="77777777" w:rsidR="00C12C0F" w:rsidRDefault="00C12C0F">
      <w:pPr>
        <w:spacing w:after="20"/>
        <w:rPr>
          <w:rFonts w:hint="eastAsia"/>
        </w:rPr>
      </w:pPr>
    </w:p>
    <w:p w14:paraId="5999D49B" w14:textId="77777777" w:rsidR="00C12C0F" w:rsidRDefault="00395FC0">
      <w:pPr>
        <w:pStyle w:val="Heading1"/>
      </w:pPr>
      <w:r>
        <w:t>12. Adoption Patterns</w:t>
      </w:r>
    </w:p>
    <w:tbl>
      <w:tblPr>
        <w:tblStyle w:val="TableGrid"/>
        <w:tblW w:w="0" w:type="auto"/>
        <w:jc w:val="center"/>
        <w:tblLook w:val="04A0" w:firstRow="1" w:lastRow="0" w:firstColumn="1" w:lastColumn="0" w:noHBand="0" w:noVBand="1"/>
      </w:tblPr>
      <w:tblGrid>
        <w:gridCol w:w="1440"/>
        <w:gridCol w:w="4896"/>
        <w:gridCol w:w="3384"/>
      </w:tblGrid>
      <w:tr w:rsidR="00C12C0F" w14:paraId="4F36BDF3" w14:textId="77777777">
        <w:trPr>
          <w:tblHeader/>
          <w:jc w:val="center"/>
        </w:trPr>
        <w:tc>
          <w:tcPr>
            <w:tcW w:w="1440" w:type="dxa"/>
            <w:shd w:val="clear" w:color="auto" w:fill="183B56"/>
            <w:tcMar>
              <w:top w:w="100" w:type="dxa"/>
              <w:left w:w="120" w:type="dxa"/>
              <w:bottom w:w="100" w:type="dxa"/>
              <w:right w:w="120" w:type="dxa"/>
            </w:tcMar>
            <w:vAlign w:val="center"/>
          </w:tcPr>
          <w:p w14:paraId="12CAA465" w14:textId="77777777" w:rsidR="00C12C0F" w:rsidRDefault="00395FC0">
            <w:pPr>
              <w:rPr>
                <w:rFonts w:hint="eastAsia"/>
              </w:rPr>
            </w:pPr>
            <w:r>
              <w:rPr>
                <w:b/>
                <w:color w:val="FFFFFF"/>
                <w:sz w:val="18"/>
              </w:rPr>
              <w:t>Pattern</w:t>
            </w:r>
          </w:p>
        </w:tc>
        <w:tc>
          <w:tcPr>
            <w:tcW w:w="4896" w:type="dxa"/>
            <w:shd w:val="clear" w:color="auto" w:fill="183B56"/>
            <w:tcMar>
              <w:top w:w="100" w:type="dxa"/>
              <w:left w:w="120" w:type="dxa"/>
              <w:bottom w:w="100" w:type="dxa"/>
              <w:right w:w="120" w:type="dxa"/>
            </w:tcMar>
            <w:vAlign w:val="center"/>
          </w:tcPr>
          <w:p w14:paraId="31FF54C8" w14:textId="77777777" w:rsidR="00C12C0F" w:rsidRDefault="00395FC0">
            <w:pPr>
              <w:rPr>
                <w:rFonts w:hint="eastAsia"/>
              </w:rPr>
            </w:pPr>
            <w:r>
              <w:rPr>
                <w:b/>
                <w:color w:val="FFFFFF"/>
                <w:sz w:val="18"/>
              </w:rPr>
              <w:t>Description</w:t>
            </w:r>
          </w:p>
        </w:tc>
        <w:tc>
          <w:tcPr>
            <w:tcW w:w="3384" w:type="dxa"/>
            <w:shd w:val="clear" w:color="auto" w:fill="183B56"/>
            <w:tcMar>
              <w:top w:w="100" w:type="dxa"/>
              <w:left w:w="120" w:type="dxa"/>
              <w:bottom w:w="100" w:type="dxa"/>
              <w:right w:w="120" w:type="dxa"/>
            </w:tcMar>
            <w:vAlign w:val="center"/>
          </w:tcPr>
          <w:p w14:paraId="5674D3B0" w14:textId="77777777" w:rsidR="00C12C0F" w:rsidRDefault="00395FC0">
            <w:pPr>
              <w:rPr>
                <w:rFonts w:hint="eastAsia"/>
              </w:rPr>
            </w:pPr>
            <w:r>
              <w:rPr>
                <w:b/>
                <w:color w:val="FFFFFF"/>
                <w:sz w:val="18"/>
              </w:rPr>
              <w:t>Best fit</w:t>
            </w:r>
          </w:p>
        </w:tc>
      </w:tr>
      <w:tr w:rsidR="00C12C0F" w14:paraId="49DBE88D" w14:textId="77777777">
        <w:trPr>
          <w:jc w:val="center"/>
        </w:trPr>
        <w:tc>
          <w:tcPr>
            <w:tcW w:w="1440" w:type="dxa"/>
            <w:tcMar>
              <w:top w:w="100" w:type="dxa"/>
              <w:left w:w="120" w:type="dxa"/>
              <w:bottom w:w="100" w:type="dxa"/>
              <w:right w:w="120" w:type="dxa"/>
            </w:tcMar>
            <w:vAlign w:val="center"/>
          </w:tcPr>
          <w:p w14:paraId="025F1EB0" w14:textId="77777777" w:rsidR="00C12C0F" w:rsidRDefault="00395FC0">
            <w:pPr>
              <w:spacing w:after="0"/>
              <w:rPr>
                <w:rFonts w:hint="eastAsia"/>
              </w:rPr>
            </w:pPr>
            <w:r>
              <w:rPr>
                <w:color w:val="1E3242"/>
                <w:sz w:val="17"/>
              </w:rPr>
              <w:t>Reuse</w:t>
            </w:r>
          </w:p>
        </w:tc>
        <w:tc>
          <w:tcPr>
            <w:tcW w:w="4896" w:type="dxa"/>
            <w:tcMar>
              <w:top w:w="100" w:type="dxa"/>
              <w:left w:w="120" w:type="dxa"/>
              <w:bottom w:w="100" w:type="dxa"/>
              <w:right w:w="120" w:type="dxa"/>
            </w:tcMar>
            <w:vAlign w:val="center"/>
          </w:tcPr>
          <w:p w14:paraId="4C23D736" w14:textId="77777777" w:rsidR="00C12C0F" w:rsidRDefault="00395FC0">
            <w:pPr>
              <w:spacing w:after="0"/>
              <w:rPr>
                <w:rFonts w:hint="eastAsia"/>
              </w:rPr>
            </w:pPr>
            <w:r>
              <w:rPr>
                <w:color w:val="1E3242"/>
                <w:sz w:val="17"/>
              </w:rPr>
              <w:t>Deploy one or more ACR open-source reference components with limited adaptation.</w:t>
            </w:r>
          </w:p>
        </w:tc>
        <w:tc>
          <w:tcPr>
            <w:tcW w:w="3384" w:type="dxa"/>
            <w:tcMar>
              <w:top w:w="100" w:type="dxa"/>
              <w:left w:w="120" w:type="dxa"/>
              <w:bottom w:w="100" w:type="dxa"/>
              <w:right w:w="120" w:type="dxa"/>
            </w:tcMar>
            <w:vAlign w:val="center"/>
          </w:tcPr>
          <w:p w14:paraId="37C7003D" w14:textId="77777777" w:rsidR="00C12C0F" w:rsidRDefault="00395FC0">
            <w:pPr>
              <w:spacing w:after="0"/>
              <w:rPr>
                <w:rFonts w:hint="eastAsia"/>
              </w:rPr>
            </w:pPr>
            <w:r>
              <w:rPr>
                <w:color w:val="1E3242"/>
                <w:sz w:val="17"/>
              </w:rPr>
              <w:t>Organizations seeking a faster implementation path.</w:t>
            </w:r>
          </w:p>
        </w:tc>
      </w:tr>
      <w:tr w:rsidR="00C12C0F" w14:paraId="7EF5554D" w14:textId="77777777">
        <w:trPr>
          <w:jc w:val="center"/>
        </w:trPr>
        <w:tc>
          <w:tcPr>
            <w:tcW w:w="1440" w:type="dxa"/>
            <w:shd w:val="clear" w:color="auto" w:fill="F3F6F8"/>
            <w:tcMar>
              <w:top w:w="100" w:type="dxa"/>
              <w:left w:w="120" w:type="dxa"/>
              <w:bottom w:w="100" w:type="dxa"/>
              <w:right w:w="120" w:type="dxa"/>
            </w:tcMar>
            <w:vAlign w:val="center"/>
          </w:tcPr>
          <w:p w14:paraId="7CDDE1E3" w14:textId="77777777" w:rsidR="00C12C0F" w:rsidRDefault="00395FC0">
            <w:pPr>
              <w:spacing w:after="0"/>
              <w:rPr>
                <w:rFonts w:hint="eastAsia"/>
              </w:rPr>
            </w:pPr>
            <w:r>
              <w:rPr>
                <w:color w:val="1E3242"/>
                <w:sz w:val="17"/>
              </w:rPr>
              <w:lastRenderedPageBreak/>
              <w:t>Extend</w:t>
            </w:r>
          </w:p>
        </w:tc>
        <w:tc>
          <w:tcPr>
            <w:tcW w:w="4896" w:type="dxa"/>
            <w:shd w:val="clear" w:color="auto" w:fill="F3F6F8"/>
            <w:tcMar>
              <w:top w:w="100" w:type="dxa"/>
              <w:left w:w="120" w:type="dxa"/>
              <w:bottom w:w="100" w:type="dxa"/>
              <w:right w:w="120" w:type="dxa"/>
            </w:tcMar>
            <w:vAlign w:val="center"/>
          </w:tcPr>
          <w:p w14:paraId="3040F057" w14:textId="77777777" w:rsidR="00C12C0F" w:rsidRDefault="00395FC0">
            <w:pPr>
              <w:spacing w:after="0"/>
              <w:rPr>
                <w:rFonts w:hint="eastAsia"/>
              </w:rPr>
            </w:pPr>
            <w:r>
              <w:rPr>
                <w:color w:val="1E3242"/>
                <w:sz w:val="17"/>
              </w:rPr>
              <w:t>Build adapters, new repositories, or new execution environments around the shared contracts.</w:t>
            </w:r>
          </w:p>
        </w:tc>
        <w:tc>
          <w:tcPr>
            <w:tcW w:w="3384" w:type="dxa"/>
            <w:shd w:val="clear" w:color="auto" w:fill="F3F6F8"/>
            <w:tcMar>
              <w:top w:w="100" w:type="dxa"/>
              <w:left w:w="120" w:type="dxa"/>
              <w:bottom w:w="100" w:type="dxa"/>
              <w:right w:w="120" w:type="dxa"/>
            </w:tcMar>
            <w:vAlign w:val="center"/>
          </w:tcPr>
          <w:p w14:paraId="4971ED75" w14:textId="77777777" w:rsidR="00C12C0F" w:rsidRDefault="00395FC0">
            <w:pPr>
              <w:spacing w:after="0"/>
              <w:rPr>
                <w:rFonts w:hint="eastAsia"/>
              </w:rPr>
            </w:pPr>
            <w:r>
              <w:rPr>
                <w:color w:val="1E3242"/>
                <w:sz w:val="17"/>
              </w:rPr>
              <w:t>Organizations with established local platforms.</w:t>
            </w:r>
          </w:p>
        </w:tc>
      </w:tr>
      <w:tr w:rsidR="00C12C0F" w14:paraId="3E58A2F3" w14:textId="77777777">
        <w:trPr>
          <w:jc w:val="center"/>
        </w:trPr>
        <w:tc>
          <w:tcPr>
            <w:tcW w:w="1440" w:type="dxa"/>
            <w:tcMar>
              <w:top w:w="100" w:type="dxa"/>
              <w:left w:w="120" w:type="dxa"/>
              <w:bottom w:w="100" w:type="dxa"/>
              <w:right w:w="120" w:type="dxa"/>
            </w:tcMar>
            <w:vAlign w:val="center"/>
          </w:tcPr>
          <w:p w14:paraId="7757CBFD" w14:textId="77777777" w:rsidR="00C12C0F" w:rsidRDefault="00395FC0">
            <w:pPr>
              <w:spacing w:after="0"/>
              <w:rPr>
                <w:rFonts w:hint="eastAsia"/>
              </w:rPr>
            </w:pPr>
            <w:r>
              <w:rPr>
                <w:color w:val="1E3242"/>
                <w:sz w:val="17"/>
              </w:rPr>
              <w:t>Replace</w:t>
            </w:r>
          </w:p>
        </w:tc>
        <w:tc>
          <w:tcPr>
            <w:tcW w:w="4896" w:type="dxa"/>
            <w:tcMar>
              <w:top w:w="100" w:type="dxa"/>
              <w:left w:w="120" w:type="dxa"/>
              <w:bottom w:w="100" w:type="dxa"/>
              <w:right w:w="120" w:type="dxa"/>
            </w:tcMar>
            <w:vAlign w:val="center"/>
          </w:tcPr>
          <w:p w14:paraId="657F7A7E" w14:textId="77777777" w:rsidR="00C12C0F" w:rsidRDefault="00395FC0">
            <w:pPr>
              <w:spacing w:after="0"/>
              <w:rPr>
                <w:rFonts w:hint="eastAsia"/>
              </w:rPr>
            </w:pPr>
            <w:r>
              <w:rPr>
                <w:color w:val="1E3242"/>
                <w:sz w:val="17"/>
              </w:rPr>
              <w:t>Substitute independently developed central or local components that honor the same contracts.</w:t>
            </w:r>
          </w:p>
        </w:tc>
        <w:tc>
          <w:tcPr>
            <w:tcW w:w="3384" w:type="dxa"/>
            <w:tcMar>
              <w:top w:w="100" w:type="dxa"/>
              <w:left w:w="120" w:type="dxa"/>
              <w:bottom w:w="100" w:type="dxa"/>
              <w:right w:w="120" w:type="dxa"/>
            </w:tcMar>
            <w:vAlign w:val="center"/>
          </w:tcPr>
          <w:p w14:paraId="56F91841" w14:textId="77777777" w:rsidR="00C12C0F" w:rsidRDefault="00395FC0">
            <w:pPr>
              <w:spacing w:after="0"/>
              <w:rPr>
                <w:rFonts w:hint="eastAsia"/>
              </w:rPr>
            </w:pPr>
            <w:r>
              <w:rPr>
                <w:color w:val="1E3242"/>
                <w:sz w:val="17"/>
              </w:rPr>
              <w:t>Vendors and institutions requiring product choice.</w:t>
            </w:r>
          </w:p>
        </w:tc>
      </w:tr>
      <w:tr w:rsidR="00C12C0F" w14:paraId="14DFBCCB" w14:textId="77777777">
        <w:trPr>
          <w:jc w:val="center"/>
        </w:trPr>
        <w:tc>
          <w:tcPr>
            <w:tcW w:w="1440" w:type="dxa"/>
            <w:shd w:val="clear" w:color="auto" w:fill="F3F6F8"/>
            <w:tcMar>
              <w:top w:w="100" w:type="dxa"/>
              <w:left w:w="120" w:type="dxa"/>
              <w:bottom w:w="100" w:type="dxa"/>
              <w:right w:w="120" w:type="dxa"/>
            </w:tcMar>
            <w:vAlign w:val="center"/>
          </w:tcPr>
          <w:p w14:paraId="022E7DA4" w14:textId="77777777" w:rsidR="00C12C0F" w:rsidRDefault="00395FC0">
            <w:pPr>
              <w:spacing w:after="0"/>
              <w:rPr>
                <w:rFonts w:hint="eastAsia"/>
              </w:rPr>
            </w:pPr>
            <w:r>
              <w:rPr>
                <w:color w:val="1E3242"/>
                <w:sz w:val="17"/>
              </w:rPr>
              <w:t>Implement independently</w:t>
            </w:r>
          </w:p>
        </w:tc>
        <w:tc>
          <w:tcPr>
            <w:tcW w:w="4896" w:type="dxa"/>
            <w:shd w:val="clear" w:color="auto" w:fill="F3F6F8"/>
            <w:tcMar>
              <w:top w:w="100" w:type="dxa"/>
              <w:left w:w="120" w:type="dxa"/>
              <w:bottom w:w="100" w:type="dxa"/>
              <w:right w:w="120" w:type="dxa"/>
            </w:tcMar>
            <w:vAlign w:val="center"/>
          </w:tcPr>
          <w:p w14:paraId="6E1241C4" w14:textId="77777777" w:rsidR="00C12C0F" w:rsidRDefault="00395FC0">
            <w:pPr>
              <w:spacing w:after="0"/>
              <w:rPr>
                <w:rFonts w:hint="eastAsia"/>
              </w:rPr>
            </w:pPr>
            <w:r>
              <w:rPr>
                <w:color w:val="1E3242"/>
                <w:sz w:val="17"/>
              </w:rPr>
              <w:t>Use the planes, roles, and contracts as the blueprint for a separate implementation.</w:t>
            </w:r>
          </w:p>
        </w:tc>
        <w:tc>
          <w:tcPr>
            <w:tcW w:w="3384" w:type="dxa"/>
            <w:shd w:val="clear" w:color="auto" w:fill="F3F6F8"/>
            <w:tcMar>
              <w:top w:w="100" w:type="dxa"/>
              <w:left w:w="120" w:type="dxa"/>
              <w:bottom w:w="100" w:type="dxa"/>
              <w:right w:w="120" w:type="dxa"/>
            </w:tcMar>
            <w:vAlign w:val="center"/>
          </w:tcPr>
          <w:p w14:paraId="2A0120D0" w14:textId="77777777" w:rsidR="00C12C0F" w:rsidRDefault="00395FC0">
            <w:pPr>
              <w:spacing w:after="0"/>
              <w:rPr>
                <w:rFonts w:hint="eastAsia"/>
              </w:rPr>
            </w:pPr>
            <w:r>
              <w:rPr>
                <w:color w:val="1E3242"/>
                <w:sz w:val="17"/>
              </w:rPr>
              <w:t>Consortia or programs standardizing interoperability without adopting ACR products.</w:t>
            </w:r>
          </w:p>
        </w:tc>
      </w:tr>
    </w:tbl>
    <w:p w14:paraId="049F31CB" w14:textId="77777777" w:rsidR="00C12C0F" w:rsidRDefault="00C12C0F">
      <w:pPr>
        <w:spacing w:after="20"/>
        <w:rPr>
          <w:rFonts w:hint="eastAsia"/>
        </w:rPr>
      </w:pPr>
    </w:p>
    <w:p w14:paraId="53128261" w14:textId="77777777" w:rsidR="00C12C0F" w:rsidRDefault="00C12C0F">
      <w:pPr>
        <w:spacing w:after="20"/>
        <w:rPr>
          <w:rFonts w:hint="eastAsia"/>
        </w:rPr>
      </w:pPr>
    </w:p>
    <w:p w14:paraId="67C0DB5C" w14:textId="77777777" w:rsidR="00F65720" w:rsidRDefault="00F65720">
      <w:pPr>
        <w:spacing w:after="200" w:line="276" w:lineRule="auto"/>
        <w:rPr>
          <w:rFonts w:asciiTheme="majorHAnsi" w:eastAsiaTheme="majorEastAsia" w:hAnsiTheme="majorHAnsi" w:cstheme="majorBidi"/>
          <w:b/>
          <w:bCs/>
          <w:color w:val="183B56"/>
          <w:sz w:val="36"/>
          <w:szCs w:val="28"/>
        </w:rPr>
      </w:pPr>
      <w:r>
        <w:br w:type="page"/>
      </w:r>
    </w:p>
    <w:p w14:paraId="21152650" w14:textId="3DAE6E0E" w:rsidR="00C12C0F" w:rsidRDefault="00395FC0">
      <w:pPr>
        <w:pStyle w:val="Heading1"/>
      </w:pPr>
      <w:r>
        <w:lastRenderedPageBreak/>
        <w:t>Appendix A. Terminology</w:t>
      </w:r>
    </w:p>
    <w:tbl>
      <w:tblPr>
        <w:tblStyle w:val="TableGrid"/>
        <w:tblW w:w="0" w:type="auto"/>
        <w:jc w:val="center"/>
        <w:tblLook w:val="04A0" w:firstRow="1" w:lastRow="0" w:firstColumn="1" w:lastColumn="0" w:noHBand="0" w:noVBand="1"/>
      </w:tblPr>
      <w:tblGrid>
        <w:gridCol w:w="2376"/>
        <w:gridCol w:w="7344"/>
      </w:tblGrid>
      <w:tr w:rsidR="00C12C0F" w14:paraId="71B366A7" w14:textId="77777777">
        <w:trPr>
          <w:tblHeader/>
          <w:jc w:val="center"/>
        </w:trPr>
        <w:tc>
          <w:tcPr>
            <w:tcW w:w="2376" w:type="dxa"/>
            <w:shd w:val="clear" w:color="auto" w:fill="183B56"/>
            <w:tcMar>
              <w:top w:w="100" w:type="dxa"/>
              <w:left w:w="120" w:type="dxa"/>
              <w:bottom w:w="100" w:type="dxa"/>
              <w:right w:w="120" w:type="dxa"/>
            </w:tcMar>
            <w:vAlign w:val="center"/>
          </w:tcPr>
          <w:p w14:paraId="0CEB4B25" w14:textId="77777777" w:rsidR="00C12C0F" w:rsidRDefault="00395FC0">
            <w:pPr>
              <w:rPr>
                <w:rFonts w:hint="eastAsia"/>
              </w:rPr>
            </w:pPr>
            <w:r>
              <w:rPr>
                <w:b/>
                <w:color w:val="FFFFFF"/>
                <w:sz w:val="18"/>
              </w:rPr>
              <w:t>Term</w:t>
            </w:r>
          </w:p>
        </w:tc>
        <w:tc>
          <w:tcPr>
            <w:tcW w:w="7344" w:type="dxa"/>
            <w:shd w:val="clear" w:color="auto" w:fill="183B56"/>
            <w:tcMar>
              <w:top w:w="100" w:type="dxa"/>
              <w:left w:w="120" w:type="dxa"/>
              <w:bottom w:w="100" w:type="dxa"/>
              <w:right w:w="120" w:type="dxa"/>
            </w:tcMar>
            <w:vAlign w:val="center"/>
          </w:tcPr>
          <w:p w14:paraId="3DA1D686" w14:textId="77777777" w:rsidR="00C12C0F" w:rsidRDefault="00395FC0">
            <w:pPr>
              <w:rPr>
                <w:rFonts w:hint="eastAsia"/>
              </w:rPr>
            </w:pPr>
            <w:r>
              <w:rPr>
                <w:b/>
                <w:color w:val="FFFFFF"/>
                <w:sz w:val="18"/>
              </w:rPr>
              <w:t>Definition</w:t>
            </w:r>
          </w:p>
        </w:tc>
      </w:tr>
      <w:tr w:rsidR="00C12C0F" w14:paraId="3AE424B2" w14:textId="77777777">
        <w:trPr>
          <w:jc w:val="center"/>
        </w:trPr>
        <w:tc>
          <w:tcPr>
            <w:tcW w:w="2376" w:type="dxa"/>
            <w:tcMar>
              <w:top w:w="100" w:type="dxa"/>
              <w:left w:w="120" w:type="dxa"/>
              <w:bottom w:w="100" w:type="dxa"/>
              <w:right w:w="120" w:type="dxa"/>
            </w:tcMar>
            <w:vAlign w:val="center"/>
          </w:tcPr>
          <w:p w14:paraId="59D2C7EC" w14:textId="77777777" w:rsidR="00C12C0F" w:rsidRDefault="00395FC0">
            <w:pPr>
              <w:spacing w:after="0"/>
              <w:rPr>
                <w:rFonts w:hint="eastAsia"/>
              </w:rPr>
            </w:pPr>
            <w:r>
              <w:rPr>
                <w:color w:val="1E3242"/>
                <w:sz w:val="17"/>
              </w:rPr>
              <w:t>Central federated orchestrator</w:t>
            </w:r>
          </w:p>
        </w:tc>
        <w:tc>
          <w:tcPr>
            <w:tcW w:w="7344" w:type="dxa"/>
            <w:tcMar>
              <w:top w:w="100" w:type="dxa"/>
              <w:left w:w="120" w:type="dxa"/>
              <w:bottom w:w="100" w:type="dxa"/>
              <w:right w:w="120" w:type="dxa"/>
            </w:tcMar>
            <w:vAlign w:val="center"/>
          </w:tcPr>
          <w:p w14:paraId="67FE7C34" w14:textId="77777777" w:rsidR="00C12C0F" w:rsidRDefault="00395FC0">
            <w:pPr>
              <w:spacing w:after="0"/>
              <w:rPr>
                <w:rFonts w:hint="eastAsia"/>
              </w:rPr>
            </w:pPr>
            <w:r>
              <w:rPr>
                <w:color w:val="1E3242"/>
                <w:sz w:val="17"/>
              </w:rPr>
              <w:t>A service that defines and coordinates work across participating sites and maintains federated job state.</w:t>
            </w:r>
          </w:p>
        </w:tc>
      </w:tr>
      <w:tr w:rsidR="00C12C0F" w14:paraId="58CE9BD3" w14:textId="77777777">
        <w:trPr>
          <w:jc w:val="center"/>
        </w:trPr>
        <w:tc>
          <w:tcPr>
            <w:tcW w:w="2376" w:type="dxa"/>
            <w:shd w:val="clear" w:color="auto" w:fill="F3F6F8"/>
            <w:tcMar>
              <w:top w:w="100" w:type="dxa"/>
              <w:left w:w="120" w:type="dxa"/>
              <w:bottom w:w="100" w:type="dxa"/>
              <w:right w:w="120" w:type="dxa"/>
            </w:tcMar>
            <w:vAlign w:val="center"/>
          </w:tcPr>
          <w:p w14:paraId="0370D20C" w14:textId="77777777" w:rsidR="00C12C0F" w:rsidRDefault="00395FC0">
            <w:pPr>
              <w:spacing w:after="0"/>
              <w:rPr>
                <w:rFonts w:hint="eastAsia"/>
              </w:rPr>
            </w:pPr>
            <w:r>
              <w:rPr>
                <w:color w:val="1E3242"/>
                <w:sz w:val="17"/>
              </w:rPr>
              <w:t>Participating site</w:t>
            </w:r>
          </w:p>
        </w:tc>
        <w:tc>
          <w:tcPr>
            <w:tcW w:w="7344" w:type="dxa"/>
            <w:shd w:val="clear" w:color="auto" w:fill="F3F6F8"/>
            <w:tcMar>
              <w:top w:w="100" w:type="dxa"/>
              <w:left w:w="120" w:type="dxa"/>
              <w:bottom w:w="100" w:type="dxa"/>
              <w:right w:w="120" w:type="dxa"/>
            </w:tcMar>
            <w:vAlign w:val="center"/>
          </w:tcPr>
          <w:p w14:paraId="785A3A05" w14:textId="77777777" w:rsidR="00C12C0F" w:rsidRDefault="00395FC0">
            <w:pPr>
              <w:spacing w:after="0"/>
              <w:rPr>
                <w:rFonts w:hint="eastAsia"/>
              </w:rPr>
            </w:pPr>
            <w:r>
              <w:rPr>
                <w:color w:val="1E3242"/>
                <w:sz w:val="17"/>
              </w:rPr>
              <w:t>An independently governed environment that holds data or compute resources and executes authorized site-specific work.</w:t>
            </w:r>
          </w:p>
        </w:tc>
      </w:tr>
      <w:tr w:rsidR="00C12C0F" w14:paraId="0E799FFB" w14:textId="77777777">
        <w:trPr>
          <w:jc w:val="center"/>
        </w:trPr>
        <w:tc>
          <w:tcPr>
            <w:tcW w:w="2376" w:type="dxa"/>
            <w:tcMar>
              <w:top w:w="100" w:type="dxa"/>
              <w:left w:w="120" w:type="dxa"/>
              <w:bottom w:w="100" w:type="dxa"/>
              <w:right w:w="120" w:type="dxa"/>
            </w:tcMar>
            <w:vAlign w:val="center"/>
          </w:tcPr>
          <w:p w14:paraId="7ECFE890" w14:textId="77777777" w:rsidR="00C12C0F" w:rsidRDefault="00395FC0">
            <w:pPr>
              <w:spacing w:after="0"/>
              <w:rPr>
                <w:rFonts w:hint="eastAsia"/>
              </w:rPr>
            </w:pPr>
            <w:r>
              <w:rPr>
                <w:color w:val="1E3242"/>
                <w:sz w:val="17"/>
              </w:rPr>
              <w:t>Site agent</w:t>
            </w:r>
          </w:p>
        </w:tc>
        <w:tc>
          <w:tcPr>
            <w:tcW w:w="7344" w:type="dxa"/>
            <w:tcMar>
              <w:top w:w="100" w:type="dxa"/>
              <w:left w:w="120" w:type="dxa"/>
              <w:bottom w:w="100" w:type="dxa"/>
              <w:right w:w="120" w:type="dxa"/>
            </w:tcMar>
            <w:vAlign w:val="center"/>
          </w:tcPr>
          <w:p w14:paraId="19A673EB" w14:textId="77777777" w:rsidR="00C12C0F" w:rsidRDefault="00395FC0">
            <w:pPr>
              <w:spacing w:after="0"/>
              <w:rPr>
                <w:rFonts w:hint="eastAsia"/>
              </w:rPr>
            </w:pPr>
            <w:r>
              <w:rPr>
                <w:color w:val="1E3242"/>
                <w:sz w:val="17"/>
              </w:rPr>
              <w:t>A trusted local component that mediates between the central orchestrator and local execution services.</w:t>
            </w:r>
          </w:p>
        </w:tc>
      </w:tr>
      <w:tr w:rsidR="00C12C0F" w14:paraId="5B02FD9B" w14:textId="77777777">
        <w:trPr>
          <w:jc w:val="center"/>
        </w:trPr>
        <w:tc>
          <w:tcPr>
            <w:tcW w:w="2376" w:type="dxa"/>
            <w:shd w:val="clear" w:color="auto" w:fill="F3F6F8"/>
            <w:tcMar>
              <w:top w:w="100" w:type="dxa"/>
              <w:left w:w="120" w:type="dxa"/>
              <w:bottom w:w="100" w:type="dxa"/>
              <w:right w:w="120" w:type="dxa"/>
            </w:tcMar>
            <w:vAlign w:val="center"/>
          </w:tcPr>
          <w:p w14:paraId="6A65C1AF" w14:textId="77777777" w:rsidR="00C12C0F" w:rsidRDefault="00395FC0">
            <w:pPr>
              <w:spacing w:after="0"/>
              <w:rPr>
                <w:rFonts w:hint="eastAsia"/>
              </w:rPr>
            </w:pPr>
            <w:r>
              <w:rPr>
                <w:color w:val="1E3242"/>
                <w:sz w:val="17"/>
              </w:rPr>
              <w:t>Federated job</w:t>
            </w:r>
          </w:p>
        </w:tc>
        <w:tc>
          <w:tcPr>
            <w:tcW w:w="7344" w:type="dxa"/>
            <w:shd w:val="clear" w:color="auto" w:fill="F3F6F8"/>
            <w:tcMar>
              <w:top w:w="100" w:type="dxa"/>
              <w:left w:w="120" w:type="dxa"/>
              <w:bottom w:w="100" w:type="dxa"/>
              <w:right w:w="120" w:type="dxa"/>
            </w:tcMar>
            <w:vAlign w:val="center"/>
          </w:tcPr>
          <w:p w14:paraId="4A473AB9" w14:textId="77777777" w:rsidR="00C12C0F" w:rsidRDefault="00395FC0">
            <w:pPr>
              <w:spacing w:after="0"/>
              <w:rPr>
                <w:rFonts w:hint="eastAsia"/>
              </w:rPr>
            </w:pPr>
            <w:r>
              <w:rPr>
                <w:color w:val="1E3242"/>
                <w:sz w:val="17"/>
              </w:rPr>
              <w:t>A centrally coordinated unit of work that may be decomposed into site-specific jobs.</w:t>
            </w:r>
          </w:p>
        </w:tc>
      </w:tr>
      <w:tr w:rsidR="00C12C0F" w14:paraId="25B22304" w14:textId="77777777">
        <w:trPr>
          <w:jc w:val="center"/>
        </w:trPr>
        <w:tc>
          <w:tcPr>
            <w:tcW w:w="2376" w:type="dxa"/>
            <w:tcMar>
              <w:top w:w="100" w:type="dxa"/>
              <w:left w:w="120" w:type="dxa"/>
              <w:bottom w:w="100" w:type="dxa"/>
              <w:right w:w="120" w:type="dxa"/>
            </w:tcMar>
            <w:vAlign w:val="center"/>
          </w:tcPr>
          <w:p w14:paraId="70BA3B38" w14:textId="77777777" w:rsidR="00C12C0F" w:rsidRDefault="00395FC0">
            <w:pPr>
              <w:spacing w:after="0"/>
              <w:rPr>
                <w:rFonts w:hint="eastAsia"/>
              </w:rPr>
            </w:pPr>
            <w:r>
              <w:rPr>
                <w:color w:val="1E3242"/>
                <w:sz w:val="17"/>
              </w:rPr>
              <w:t>Site job</w:t>
            </w:r>
          </w:p>
        </w:tc>
        <w:tc>
          <w:tcPr>
            <w:tcW w:w="7344" w:type="dxa"/>
            <w:tcMar>
              <w:top w:w="100" w:type="dxa"/>
              <w:left w:w="120" w:type="dxa"/>
              <w:bottom w:w="100" w:type="dxa"/>
              <w:right w:w="120" w:type="dxa"/>
            </w:tcMar>
            <w:vAlign w:val="center"/>
          </w:tcPr>
          <w:p w14:paraId="7C001AF5" w14:textId="77777777" w:rsidR="00C12C0F" w:rsidRDefault="00395FC0">
            <w:pPr>
              <w:spacing w:after="0"/>
              <w:rPr>
                <w:rFonts w:hint="eastAsia"/>
              </w:rPr>
            </w:pPr>
            <w:r>
              <w:rPr>
                <w:color w:val="1E3242"/>
                <w:sz w:val="17"/>
              </w:rPr>
              <w:t>The portion of a federated job addressed to one participating site.</w:t>
            </w:r>
          </w:p>
        </w:tc>
      </w:tr>
      <w:tr w:rsidR="00C12C0F" w14:paraId="5408AD74" w14:textId="77777777">
        <w:trPr>
          <w:jc w:val="center"/>
        </w:trPr>
        <w:tc>
          <w:tcPr>
            <w:tcW w:w="2376" w:type="dxa"/>
            <w:shd w:val="clear" w:color="auto" w:fill="F3F6F8"/>
            <w:tcMar>
              <w:top w:w="100" w:type="dxa"/>
              <w:left w:w="120" w:type="dxa"/>
              <w:bottom w:w="100" w:type="dxa"/>
              <w:right w:w="120" w:type="dxa"/>
            </w:tcMar>
            <w:vAlign w:val="center"/>
          </w:tcPr>
          <w:p w14:paraId="2A85EDD0" w14:textId="77777777" w:rsidR="00C12C0F" w:rsidRDefault="00395FC0">
            <w:pPr>
              <w:spacing w:after="0"/>
              <w:rPr>
                <w:rFonts w:hint="eastAsia"/>
              </w:rPr>
            </w:pPr>
            <w:r>
              <w:rPr>
                <w:color w:val="1E3242"/>
                <w:sz w:val="17"/>
              </w:rPr>
              <w:t>Contract</w:t>
            </w:r>
          </w:p>
        </w:tc>
        <w:tc>
          <w:tcPr>
            <w:tcW w:w="7344" w:type="dxa"/>
            <w:shd w:val="clear" w:color="auto" w:fill="F3F6F8"/>
            <w:tcMar>
              <w:top w:w="100" w:type="dxa"/>
              <w:left w:w="120" w:type="dxa"/>
              <w:bottom w:w="100" w:type="dxa"/>
              <w:right w:w="120" w:type="dxa"/>
            </w:tcMar>
            <w:vAlign w:val="center"/>
          </w:tcPr>
          <w:p w14:paraId="03051AA6" w14:textId="77777777" w:rsidR="00C12C0F" w:rsidRDefault="00395FC0">
            <w:pPr>
              <w:spacing w:after="0"/>
              <w:rPr>
                <w:rFonts w:hint="eastAsia"/>
              </w:rPr>
            </w:pPr>
            <w:r>
              <w:rPr>
                <w:color w:val="1E3242"/>
                <w:sz w:val="17"/>
              </w:rPr>
              <w:t>A machine-readable definition of the structure, semantics, behavior, and obligations at an interface.</w:t>
            </w:r>
          </w:p>
        </w:tc>
      </w:tr>
      <w:tr w:rsidR="00C12C0F" w14:paraId="641908C0" w14:textId="77777777">
        <w:trPr>
          <w:jc w:val="center"/>
        </w:trPr>
        <w:tc>
          <w:tcPr>
            <w:tcW w:w="2376" w:type="dxa"/>
            <w:tcMar>
              <w:top w:w="100" w:type="dxa"/>
              <w:left w:w="120" w:type="dxa"/>
              <w:bottom w:w="100" w:type="dxa"/>
              <w:right w:w="120" w:type="dxa"/>
            </w:tcMar>
            <w:vAlign w:val="center"/>
          </w:tcPr>
          <w:p w14:paraId="2C7EB4CD" w14:textId="77777777" w:rsidR="00C12C0F" w:rsidRDefault="00395FC0">
            <w:pPr>
              <w:spacing w:after="0"/>
              <w:rPr>
                <w:rFonts w:hint="eastAsia"/>
              </w:rPr>
            </w:pPr>
            <w:r>
              <w:rPr>
                <w:color w:val="1E3242"/>
                <w:sz w:val="17"/>
              </w:rPr>
              <w:t>Data plane</w:t>
            </w:r>
          </w:p>
        </w:tc>
        <w:tc>
          <w:tcPr>
            <w:tcW w:w="7344" w:type="dxa"/>
            <w:tcMar>
              <w:top w:w="100" w:type="dxa"/>
              <w:left w:w="120" w:type="dxa"/>
              <w:bottom w:w="100" w:type="dxa"/>
              <w:right w:w="120" w:type="dxa"/>
            </w:tcMar>
            <w:vAlign w:val="center"/>
          </w:tcPr>
          <w:p w14:paraId="1004BBF4" w14:textId="77777777" w:rsidR="00C12C0F" w:rsidRDefault="00395FC0">
            <w:pPr>
              <w:spacing w:after="0"/>
              <w:rPr>
                <w:rFonts w:hint="eastAsia"/>
              </w:rPr>
            </w:pPr>
            <w:r>
              <w:rPr>
                <w:color w:val="1E3242"/>
                <w:sz w:val="17"/>
              </w:rPr>
              <w:t>Capabilities that prepare, index, query, transform, and process biomedical data.</w:t>
            </w:r>
          </w:p>
        </w:tc>
      </w:tr>
      <w:tr w:rsidR="00C12C0F" w14:paraId="2816D1E6" w14:textId="77777777">
        <w:trPr>
          <w:jc w:val="center"/>
        </w:trPr>
        <w:tc>
          <w:tcPr>
            <w:tcW w:w="2376" w:type="dxa"/>
            <w:shd w:val="clear" w:color="auto" w:fill="F3F6F8"/>
            <w:tcMar>
              <w:top w:w="100" w:type="dxa"/>
              <w:left w:w="120" w:type="dxa"/>
              <w:bottom w:w="100" w:type="dxa"/>
              <w:right w:w="120" w:type="dxa"/>
            </w:tcMar>
            <w:vAlign w:val="center"/>
          </w:tcPr>
          <w:p w14:paraId="521E09E3" w14:textId="77777777" w:rsidR="00C12C0F" w:rsidRDefault="00395FC0">
            <w:pPr>
              <w:spacing w:after="0"/>
              <w:rPr>
                <w:rFonts w:hint="eastAsia"/>
              </w:rPr>
            </w:pPr>
            <w:r>
              <w:rPr>
                <w:color w:val="1E3242"/>
                <w:sz w:val="17"/>
              </w:rPr>
              <w:t>Control plane</w:t>
            </w:r>
          </w:p>
        </w:tc>
        <w:tc>
          <w:tcPr>
            <w:tcW w:w="7344" w:type="dxa"/>
            <w:shd w:val="clear" w:color="auto" w:fill="F3F6F8"/>
            <w:tcMar>
              <w:top w:w="100" w:type="dxa"/>
              <w:left w:w="120" w:type="dxa"/>
              <w:bottom w:w="100" w:type="dxa"/>
              <w:right w:w="120" w:type="dxa"/>
            </w:tcMar>
            <w:vAlign w:val="center"/>
          </w:tcPr>
          <w:p w14:paraId="5EB5497D" w14:textId="77777777" w:rsidR="00C12C0F" w:rsidRDefault="00395FC0">
            <w:pPr>
              <w:spacing w:after="0"/>
              <w:rPr>
                <w:rFonts w:hint="eastAsia"/>
              </w:rPr>
            </w:pPr>
            <w:r>
              <w:rPr>
                <w:color w:val="1E3242"/>
                <w:sz w:val="17"/>
              </w:rPr>
              <w:t>Capabilities that define, dispatch, monitor, and complete federated jobs.</w:t>
            </w:r>
          </w:p>
        </w:tc>
      </w:tr>
      <w:tr w:rsidR="00C12C0F" w14:paraId="07C5635D" w14:textId="77777777">
        <w:trPr>
          <w:jc w:val="center"/>
        </w:trPr>
        <w:tc>
          <w:tcPr>
            <w:tcW w:w="2376" w:type="dxa"/>
            <w:tcMar>
              <w:top w:w="100" w:type="dxa"/>
              <w:left w:w="120" w:type="dxa"/>
              <w:bottom w:w="100" w:type="dxa"/>
              <w:right w:w="120" w:type="dxa"/>
            </w:tcMar>
            <w:vAlign w:val="center"/>
          </w:tcPr>
          <w:p w14:paraId="15CF717C" w14:textId="77777777" w:rsidR="00C12C0F" w:rsidRDefault="00395FC0">
            <w:pPr>
              <w:spacing w:after="0"/>
              <w:rPr>
                <w:rFonts w:hint="eastAsia"/>
              </w:rPr>
            </w:pPr>
            <w:r>
              <w:rPr>
                <w:color w:val="1E3242"/>
                <w:sz w:val="17"/>
              </w:rPr>
              <w:t>Execution plane</w:t>
            </w:r>
          </w:p>
        </w:tc>
        <w:tc>
          <w:tcPr>
            <w:tcW w:w="7344" w:type="dxa"/>
            <w:tcMar>
              <w:top w:w="100" w:type="dxa"/>
              <w:left w:w="120" w:type="dxa"/>
              <w:bottom w:w="100" w:type="dxa"/>
              <w:right w:w="120" w:type="dxa"/>
            </w:tcMar>
            <w:vAlign w:val="center"/>
          </w:tcPr>
          <w:p w14:paraId="67015AC0" w14:textId="77777777" w:rsidR="00C12C0F" w:rsidRDefault="00395FC0">
            <w:pPr>
              <w:spacing w:after="0"/>
              <w:rPr>
                <w:rFonts w:hint="eastAsia"/>
              </w:rPr>
            </w:pPr>
            <w:r>
              <w:rPr>
                <w:color w:val="1E3242"/>
                <w:sz w:val="17"/>
              </w:rPr>
              <w:t>Capabilities that invoke and monitor approved algorithms within a participating environment.</w:t>
            </w:r>
          </w:p>
        </w:tc>
      </w:tr>
      <w:tr w:rsidR="00C12C0F" w14:paraId="0454848E" w14:textId="77777777">
        <w:trPr>
          <w:jc w:val="center"/>
        </w:trPr>
        <w:tc>
          <w:tcPr>
            <w:tcW w:w="2376" w:type="dxa"/>
            <w:shd w:val="clear" w:color="auto" w:fill="F3F6F8"/>
            <w:tcMar>
              <w:top w:w="100" w:type="dxa"/>
              <w:left w:w="120" w:type="dxa"/>
              <w:bottom w:w="100" w:type="dxa"/>
              <w:right w:w="120" w:type="dxa"/>
            </w:tcMar>
            <w:vAlign w:val="center"/>
          </w:tcPr>
          <w:p w14:paraId="2C43E5FB" w14:textId="77777777" w:rsidR="00C12C0F" w:rsidRDefault="00395FC0">
            <w:pPr>
              <w:spacing w:after="0"/>
              <w:rPr>
                <w:rFonts w:hint="eastAsia"/>
              </w:rPr>
            </w:pPr>
            <w:r>
              <w:rPr>
                <w:color w:val="1E3242"/>
                <w:sz w:val="17"/>
              </w:rPr>
              <w:t>Conformance</w:t>
            </w:r>
          </w:p>
        </w:tc>
        <w:tc>
          <w:tcPr>
            <w:tcW w:w="7344" w:type="dxa"/>
            <w:shd w:val="clear" w:color="auto" w:fill="F3F6F8"/>
            <w:tcMar>
              <w:top w:w="100" w:type="dxa"/>
              <w:left w:w="120" w:type="dxa"/>
              <w:bottom w:w="100" w:type="dxa"/>
              <w:right w:w="120" w:type="dxa"/>
            </w:tcMar>
            <w:vAlign w:val="center"/>
          </w:tcPr>
          <w:p w14:paraId="6DD17912" w14:textId="77777777" w:rsidR="00C12C0F" w:rsidRDefault="00395FC0">
            <w:pPr>
              <w:spacing w:after="0"/>
              <w:rPr>
                <w:rFonts w:hint="eastAsia"/>
              </w:rPr>
            </w:pPr>
            <w:r>
              <w:rPr>
                <w:color w:val="1E3242"/>
                <w:sz w:val="17"/>
              </w:rPr>
              <w:t>Demonstrated adherence to a defined contract, role, or profile.</w:t>
            </w:r>
          </w:p>
        </w:tc>
      </w:tr>
      <w:tr w:rsidR="00C12C0F" w14:paraId="532631FE" w14:textId="77777777">
        <w:trPr>
          <w:jc w:val="center"/>
        </w:trPr>
        <w:tc>
          <w:tcPr>
            <w:tcW w:w="2376" w:type="dxa"/>
            <w:tcMar>
              <w:top w:w="100" w:type="dxa"/>
              <w:left w:w="120" w:type="dxa"/>
              <w:bottom w:w="100" w:type="dxa"/>
              <w:right w:w="120" w:type="dxa"/>
            </w:tcMar>
            <w:vAlign w:val="center"/>
          </w:tcPr>
          <w:p w14:paraId="24297C74" w14:textId="77777777" w:rsidR="00C12C0F" w:rsidRDefault="00395FC0">
            <w:pPr>
              <w:spacing w:after="0"/>
              <w:rPr>
                <w:rFonts w:hint="eastAsia"/>
              </w:rPr>
            </w:pPr>
            <w:r>
              <w:rPr>
                <w:color w:val="1E3242"/>
                <w:sz w:val="17"/>
              </w:rPr>
              <w:t>Reference component</w:t>
            </w:r>
          </w:p>
        </w:tc>
        <w:tc>
          <w:tcPr>
            <w:tcW w:w="7344" w:type="dxa"/>
            <w:tcMar>
              <w:top w:w="100" w:type="dxa"/>
              <w:left w:w="120" w:type="dxa"/>
              <w:bottom w:w="100" w:type="dxa"/>
              <w:right w:w="120" w:type="dxa"/>
            </w:tcMar>
            <w:vAlign w:val="center"/>
          </w:tcPr>
          <w:p w14:paraId="7319BB95" w14:textId="77777777" w:rsidR="00C12C0F" w:rsidRDefault="00395FC0">
            <w:pPr>
              <w:spacing w:after="0"/>
              <w:rPr>
                <w:rFonts w:hint="eastAsia"/>
              </w:rPr>
            </w:pPr>
            <w:r>
              <w:rPr>
                <w:color w:val="1E3242"/>
                <w:sz w:val="17"/>
              </w:rPr>
              <w:t>Reusable code that demonstrates or implements a capability without defining the only valid implementation.</w:t>
            </w:r>
          </w:p>
        </w:tc>
      </w:tr>
      <w:tr w:rsidR="00C12C0F" w14:paraId="1743B898" w14:textId="77777777">
        <w:trPr>
          <w:jc w:val="center"/>
        </w:trPr>
        <w:tc>
          <w:tcPr>
            <w:tcW w:w="2376" w:type="dxa"/>
            <w:shd w:val="clear" w:color="auto" w:fill="F3F6F8"/>
            <w:tcMar>
              <w:top w:w="100" w:type="dxa"/>
              <w:left w:w="120" w:type="dxa"/>
              <w:bottom w:w="100" w:type="dxa"/>
              <w:right w:w="120" w:type="dxa"/>
            </w:tcMar>
            <w:vAlign w:val="center"/>
          </w:tcPr>
          <w:p w14:paraId="5464669E" w14:textId="77777777" w:rsidR="00C12C0F" w:rsidRDefault="00395FC0">
            <w:pPr>
              <w:spacing w:after="0"/>
              <w:rPr>
                <w:rFonts w:hint="eastAsia"/>
              </w:rPr>
            </w:pPr>
            <w:r>
              <w:rPr>
                <w:color w:val="1E3242"/>
                <w:sz w:val="17"/>
              </w:rPr>
              <w:t>Example implementation</w:t>
            </w:r>
          </w:p>
        </w:tc>
        <w:tc>
          <w:tcPr>
            <w:tcW w:w="7344" w:type="dxa"/>
            <w:shd w:val="clear" w:color="auto" w:fill="F3F6F8"/>
            <w:tcMar>
              <w:top w:w="100" w:type="dxa"/>
              <w:left w:w="120" w:type="dxa"/>
              <w:bottom w:w="100" w:type="dxa"/>
              <w:right w:w="120" w:type="dxa"/>
            </w:tcMar>
            <w:vAlign w:val="center"/>
          </w:tcPr>
          <w:p w14:paraId="0432764E" w14:textId="77777777" w:rsidR="00C12C0F" w:rsidRDefault="00395FC0">
            <w:pPr>
              <w:spacing w:after="0"/>
              <w:rPr>
                <w:rFonts w:hint="eastAsia"/>
              </w:rPr>
            </w:pPr>
            <w:r>
              <w:rPr>
                <w:color w:val="1E3242"/>
                <w:sz w:val="17"/>
              </w:rPr>
              <w:t>A product or deployment used to illustrate the architecture but not required for conformance.</w:t>
            </w:r>
          </w:p>
        </w:tc>
      </w:tr>
    </w:tbl>
    <w:p w14:paraId="62486C05" w14:textId="77777777" w:rsidR="00C12C0F" w:rsidRDefault="00C12C0F">
      <w:pPr>
        <w:spacing w:after="20"/>
        <w:rPr>
          <w:rFonts w:hint="eastAsia"/>
        </w:rPr>
      </w:pPr>
    </w:p>
    <w:p w14:paraId="4A92675D" w14:textId="77777777" w:rsidR="00C12C0F" w:rsidRDefault="00395FC0">
      <w:pPr>
        <w:pStyle w:val="Heading1"/>
      </w:pPr>
      <w:r>
        <w:t>Appendix B. Public References</w:t>
      </w:r>
    </w:p>
    <w:p w14:paraId="21CB429A" w14:textId="77777777" w:rsidR="00C12C0F" w:rsidRDefault="00395FC0">
      <w:pPr>
        <w:rPr>
          <w:rFonts w:hint="eastAsia"/>
        </w:rPr>
      </w:pPr>
      <w:r>
        <w:t>1. ARPA-H Biomedical Data Fabric Toolbox. Describes the program goal of connecting biomedical research data across disparate sources and advancing data collection, multi-source analysis, exploration, privacy-preserving access, and generalizability.</w:t>
      </w:r>
    </w:p>
    <w:p w14:paraId="2CB8BD89" w14:textId="77777777" w:rsidR="00C12C0F" w:rsidRDefault="00395FC0">
      <w:pPr>
        <w:rPr>
          <w:rFonts w:hint="eastAsia"/>
        </w:rPr>
      </w:pPr>
      <w:r>
        <w:t>https://arpa-h.gov/explore-funding/programs/arpa-h-bdf-toolbox</w:t>
      </w:r>
    </w:p>
    <w:p w14:paraId="2C892D64" w14:textId="7BFD0896" w:rsidR="00C12C0F" w:rsidRDefault="00395FC0">
      <w:pPr>
        <w:rPr>
          <w:rFonts w:hint="eastAsia"/>
        </w:rPr>
      </w:pPr>
      <w:r>
        <w:t>2. A</w:t>
      </w:r>
      <w:r w:rsidR="000D4899">
        <w:t xml:space="preserve">CR </w:t>
      </w:r>
      <w:r>
        <w:t>GitHub repository. Contains the BDF index workbook, sample clinical and imaging submissions, an end-to-end workflow PDF, and a project white paper.</w:t>
      </w:r>
    </w:p>
    <w:p w14:paraId="05A32FED" w14:textId="2D0114DE" w:rsidR="00C12C0F" w:rsidRDefault="00395FC0">
      <w:pPr>
        <w:rPr>
          <w:rFonts w:hint="eastAsia"/>
        </w:rPr>
      </w:pPr>
      <w:r>
        <w:t>https://github.com/</w:t>
      </w:r>
      <w:r w:rsidR="00103074">
        <w:t>ACRCode</w:t>
      </w:r>
      <w:r>
        <w:t>/ARPA-H-BDF</w:t>
      </w:r>
    </w:p>
    <w:p w14:paraId="77A81307" w14:textId="77777777" w:rsidR="00C12C0F" w:rsidRDefault="00395FC0">
      <w:pPr>
        <w:rPr>
          <w:rFonts w:hint="eastAsia"/>
        </w:rPr>
      </w:pPr>
      <w:r>
        <w:t>3. MIDRC/ACR Radiology Report De-identifier. Describes accepted CSV, XLSX, and JSON inputs and container and Windows executable usage.</w:t>
      </w:r>
    </w:p>
    <w:p w14:paraId="2D0DA259" w14:textId="77777777" w:rsidR="00C12C0F" w:rsidRDefault="00395FC0">
      <w:pPr>
        <w:rPr>
          <w:rFonts w:hint="eastAsia"/>
        </w:rPr>
      </w:pPr>
      <w:r>
        <w:t>https://devhub.acr.org/home/midrc-acr-radiology-report-deidentifier</w:t>
      </w:r>
    </w:p>
    <w:p w14:paraId="640BF29F" w14:textId="77777777" w:rsidR="00EE7210" w:rsidRDefault="00EE7210">
      <w:pPr>
        <w:rPr>
          <w:rFonts w:hint="eastAsia"/>
          <w:kern w:val="2"/>
          <w:szCs w:val="20"/>
          <w14:ligatures w14:val="standardContextual"/>
        </w:rPr>
      </w:pPr>
      <w:r>
        <w:t>4. ACR Developer Hub Federated Network Components. Documents the open-source federated network assets, including the C#/.NET Index-Creation, Federated-Central-Orchestration, Federated-data-contracts, and Federated Client Processing libraries.</w:t>
      </w:r>
    </w:p>
    <w:p w14:paraId="6995162F" w14:textId="77777777" w:rsidR="00EE7210" w:rsidRDefault="00EE7210">
      <w:pPr>
        <w:rPr>
          <w:rFonts w:hint="eastAsia"/>
          <w:kern w:val="2"/>
          <w:szCs w:val="20"/>
          <w14:ligatures w14:val="standardContextual"/>
        </w:rPr>
      </w:pPr>
      <w:hyperlink r:id="rId16" w:history="1">
        <w:r>
          <w:rPr>
            <w:rStyle w:val="Hyperlink"/>
          </w:rPr>
          <w:t>https://devhub.acr.org/home/federated-network-components</w:t>
        </w:r>
      </w:hyperlink>
    </w:p>
    <w:p w14:paraId="162C0839" w14:textId="77777777" w:rsidR="00EE7210" w:rsidRDefault="00EE7210">
      <w:pPr>
        <w:rPr>
          <w:rFonts w:hint="eastAsia"/>
        </w:rPr>
      </w:pPr>
    </w:p>
    <w:sectPr w:rsidR="00EE7210" w:rsidSect="00034616">
      <w:headerReference w:type="even" r:id="rId17"/>
      <w:headerReference w:type="default" r:id="rId18"/>
      <w:footerReference w:type="even" r:id="rId19"/>
      <w:footerReference w:type="default" r:id="rId20"/>
      <w:headerReference w:type="first" r:id="rId21"/>
      <w:footerReference w:type="first" r:id="rId22"/>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A98B1" w14:textId="77777777" w:rsidR="001C5C5A" w:rsidRDefault="001C5C5A">
      <w:pPr>
        <w:spacing w:after="0" w:line="240" w:lineRule="auto"/>
        <w:rPr>
          <w:rFonts w:hint="eastAsia"/>
        </w:rPr>
      </w:pPr>
      <w:r>
        <w:separator/>
      </w:r>
    </w:p>
  </w:endnote>
  <w:endnote w:type="continuationSeparator" w:id="0">
    <w:p w14:paraId="34EBB30A" w14:textId="77777777" w:rsidR="001C5C5A" w:rsidRDefault="001C5C5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D4EB" w14:textId="77777777" w:rsidR="00EE7210" w:rsidRDefault="00EE7210">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F17F1" w14:textId="77777777" w:rsidR="004A4BAA" w:rsidRDefault="004A4BAA">
    <w:pPr>
      <w:pStyle w:val="Footer"/>
      <w:jc w:val="center"/>
      <w:rPr>
        <w:rFonts w:hint="eastAsia"/>
      </w:rPr>
    </w:pPr>
    <w:r>
      <w:rPr>
        <w:color w:val="66788A"/>
        <w:sz w:val="16"/>
      </w:rPr>
      <w:t>Reference architecture | September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37C7B" w14:textId="77777777" w:rsidR="00EE7210" w:rsidRDefault="00EE7210">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94D11" w14:textId="77777777" w:rsidR="001C5C5A" w:rsidRDefault="001C5C5A">
      <w:pPr>
        <w:spacing w:after="0" w:line="240" w:lineRule="auto"/>
        <w:rPr>
          <w:rFonts w:hint="eastAsia"/>
        </w:rPr>
      </w:pPr>
      <w:r>
        <w:separator/>
      </w:r>
    </w:p>
  </w:footnote>
  <w:footnote w:type="continuationSeparator" w:id="0">
    <w:p w14:paraId="17E9970D" w14:textId="77777777" w:rsidR="001C5C5A" w:rsidRDefault="001C5C5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4038B" w14:textId="77777777" w:rsidR="00EE7210" w:rsidRDefault="00EE7210">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BA65" w14:textId="77777777" w:rsidR="004A4BAA" w:rsidRDefault="004A4BAA">
    <w:pPr>
      <w:pStyle w:val="Header"/>
      <w:jc w:val="right"/>
      <w:rPr>
        <w:rFonts w:hint="eastAsia"/>
      </w:rPr>
    </w:pPr>
    <w:r>
      <w:rPr>
        <w:color w:val="66788A"/>
        <w:sz w:val="16"/>
      </w:rPr>
      <w:t>ACR | Federated Biomedical Computation Reference Architecture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EEC3" w14:textId="77777777" w:rsidR="00EE7210" w:rsidRDefault="00EE7210">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F7C94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EE46CC"/>
    <w:multiLevelType w:val="hybridMultilevel"/>
    <w:tmpl w:val="FFFFFFFF"/>
    <w:lvl w:ilvl="0" w:tplc="0EF06F06">
      <w:start w:val="1"/>
      <w:numFmt w:val="bullet"/>
      <w:lvlText w:val=""/>
      <w:lvlJc w:val="left"/>
      <w:pPr>
        <w:ind w:left="360" w:hanging="360"/>
      </w:pPr>
      <w:rPr>
        <w:rFonts w:ascii="Symbol" w:hAnsi="Symbol" w:hint="default"/>
      </w:rPr>
    </w:lvl>
    <w:lvl w:ilvl="1" w:tplc="9E7A2BB8">
      <w:start w:val="1"/>
      <w:numFmt w:val="bullet"/>
      <w:lvlText w:val="o"/>
      <w:lvlJc w:val="left"/>
      <w:pPr>
        <w:ind w:left="1080" w:hanging="360"/>
      </w:pPr>
      <w:rPr>
        <w:rFonts w:ascii="Courier New" w:hAnsi="Courier New" w:hint="default"/>
      </w:rPr>
    </w:lvl>
    <w:lvl w:ilvl="2" w:tplc="86584D48">
      <w:start w:val="1"/>
      <w:numFmt w:val="bullet"/>
      <w:lvlText w:val=""/>
      <w:lvlJc w:val="left"/>
      <w:pPr>
        <w:ind w:left="1800" w:hanging="360"/>
      </w:pPr>
      <w:rPr>
        <w:rFonts w:ascii="Wingdings" w:hAnsi="Wingdings" w:hint="default"/>
      </w:rPr>
    </w:lvl>
    <w:lvl w:ilvl="3" w:tplc="1458D37A">
      <w:start w:val="1"/>
      <w:numFmt w:val="bullet"/>
      <w:lvlText w:val=""/>
      <w:lvlJc w:val="left"/>
      <w:pPr>
        <w:ind w:left="2520" w:hanging="360"/>
      </w:pPr>
      <w:rPr>
        <w:rFonts w:ascii="Symbol" w:hAnsi="Symbol" w:hint="default"/>
      </w:rPr>
    </w:lvl>
    <w:lvl w:ilvl="4" w:tplc="87A8D7D4">
      <w:start w:val="1"/>
      <w:numFmt w:val="bullet"/>
      <w:lvlText w:val="o"/>
      <w:lvlJc w:val="left"/>
      <w:pPr>
        <w:ind w:left="3240" w:hanging="360"/>
      </w:pPr>
      <w:rPr>
        <w:rFonts w:ascii="Courier New" w:hAnsi="Courier New" w:hint="default"/>
      </w:rPr>
    </w:lvl>
    <w:lvl w:ilvl="5" w:tplc="5E9E2F30">
      <w:start w:val="1"/>
      <w:numFmt w:val="bullet"/>
      <w:lvlText w:val=""/>
      <w:lvlJc w:val="left"/>
      <w:pPr>
        <w:ind w:left="3960" w:hanging="360"/>
      </w:pPr>
      <w:rPr>
        <w:rFonts w:ascii="Wingdings" w:hAnsi="Wingdings" w:hint="default"/>
      </w:rPr>
    </w:lvl>
    <w:lvl w:ilvl="6" w:tplc="ACB65AA0">
      <w:start w:val="1"/>
      <w:numFmt w:val="bullet"/>
      <w:lvlText w:val=""/>
      <w:lvlJc w:val="left"/>
      <w:pPr>
        <w:ind w:left="4680" w:hanging="360"/>
      </w:pPr>
      <w:rPr>
        <w:rFonts w:ascii="Symbol" w:hAnsi="Symbol" w:hint="default"/>
      </w:rPr>
    </w:lvl>
    <w:lvl w:ilvl="7" w:tplc="1690F27C">
      <w:start w:val="1"/>
      <w:numFmt w:val="bullet"/>
      <w:lvlText w:val="o"/>
      <w:lvlJc w:val="left"/>
      <w:pPr>
        <w:ind w:left="5400" w:hanging="360"/>
      </w:pPr>
      <w:rPr>
        <w:rFonts w:ascii="Courier New" w:hAnsi="Courier New" w:hint="default"/>
      </w:rPr>
    </w:lvl>
    <w:lvl w:ilvl="8" w:tplc="2FCC1DE0">
      <w:start w:val="1"/>
      <w:numFmt w:val="bullet"/>
      <w:lvlText w:val=""/>
      <w:lvlJc w:val="left"/>
      <w:pPr>
        <w:ind w:left="6120" w:hanging="360"/>
      </w:pPr>
      <w:rPr>
        <w:rFonts w:ascii="Wingdings" w:hAnsi="Wingdings" w:hint="default"/>
      </w:rPr>
    </w:lvl>
  </w:abstractNum>
  <w:num w:numId="1" w16cid:durableId="1238516212">
    <w:abstractNumId w:val="0"/>
  </w:num>
  <w:num w:numId="2" w16cid:durableId="1296905625">
    <w:abstractNumId w:val="2"/>
  </w:num>
  <w:num w:numId="3" w16cid:durableId="1539275313">
    <w:abstractNumId w:val="4"/>
  </w:num>
  <w:num w:numId="4" w16cid:durableId="1605267727">
    <w:abstractNumId w:val="9"/>
  </w:num>
  <w:num w:numId="5" w16cid:durableId="183523657">
    <w:abstractNumId w:val="1"/>
  </w:num>
  <w:num w:numId="6" w16cid:durableId="394662987">
    <w:abstractNumId w:val="8"/>
  </w:num>
  <w:num w:numId="7" w16cid:durableId="471826402">
    <w:abstractNumId w:val="5"/>
  </w:num>
  <w:num w:numId="8" w16cid:durableId="658536880">
    <w:abstractNumId w:val="3"/>
  </w:num>
  <w:num w:numId="9" w16cid:durableId="76481275">
    <w:abstractNumId w:val="7"/>
  </w:num>
  <w:num w:numId="10" w16cid:durableId="9770334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B12"/>
    <w:rsid w:val="00025139"/>
    <w:rsid w:val="0003242D"/>
    <w:rsid w:val="00034616"/>
    <w:rsid w:val="000423BD"/>
    <w:rsid w:val="0006063C"/>
    <w:rsid w:val="000D4899"/>
    <w:rsid w:val="000D4C63"/>
    <w:rsid w:val="00101379"/>
    <w:rsid w:val="00103074"/>
    <w:rsid w:val="0010659A"/>
    <w:rsid w:val="0015074B"/>
    <w:rsid w:val="001852BF"/>
    <w:rsid w:val="001C5C5A"/>
    <w:rsid w:val="001E3989"/>
    <w:rsid w:val="001F5C36"/>
    <w:rsid w:val="00215FA0"/>
    <w:rsid w:val="00225B78"/>
    <w:rsid w:val="00266345"/>
    <w:rsid w:val="0028017C"/>
    <w:rsid w:val="0028345F"/>
    <w:rsid w:val="0029639D"/>
    <w:rsid w:val="002A073A"/>
    <w:rsid w:val="002B6F04"/>
    <w:rsid w:val="002D055A"/>
    <w:rsid w:val="002E4E97"/>
    <w:rsid w:val="0030264B"/>
    <w:rsid w:val="00314E0B"/>
    <w:rsid w:val="00320CE9"/>
    <w:rsid w:val="00321447"/>
    <w:rsid w:val="00326933"/>
    <w:rsid w:val="00326F90"/>
    <w:rsid w:val="00337FB3"/>
    <w:rsid w:val="003445B9"/>
    <w:rsid w:val="00373E8B"/>
    <w:rsid w:val="00395845"/>
    <w:rsid w:val="00395FC0"/>
    <w:rsid w:val="003B3F74"/>
    <w:rsid w:val="003F6BC5"/>
    <w:rsid w:val="004012CC"/>
    <w:rsid w:val="00403A20"/>
    <w:rsid w:val="00407624"/>
    <w:rsid w:val="00420A7C"/>
    <w:rsid w:val="00420E61"/>
    <w:rsid w:val="00460FC1"/>
    <w:rsid w:val="004655E3"/>
    <w:rsid w:val="004A4BAA"/>
    <w:rsid w:val="004C747D"/>
    <w:rsid w:val="0050259F"/>
    <w:rsid w:val="0051154B"/>
    <w:rsid w:val="00520220"/>
    <w:rsid w:val="00525F08"/>
    <w:rsid w:val="00534E02"/>
    <w:rsid w:val="00543A53"/>
    <w:rsid w:val="005655B2"/>
    <w:rsid w:val="00566051"/>
    <w:rsid w:val="0057306A"/>
    <w:rsid w:val="00594E97"/>
    <w:rsid w:val="005A7869"/>
    <w:rsid w:val="005B635E"/>
    <w:rsid w:val="005E4D03"/>
    <w:rsid w:val="005F6992"/>
    <w:rsid w:val="006179B7"/>
    <w:rsid w:val="00620291"/>
    <w:rsid w:val="00632EF9"/>
    <w:rsid w:val="006463FE"/>
    <w:rsid w:val="006501BD"/>
    <w:rsid w:val="00673BE1"/>
    <w:rsid w:val="00684408"/>
    <w:rsid w:val="0069634E"/>
    <w:rsid w:val="006D0D89"/>
    <w:rsid w:val="006D1CA6"/>
    <w:rsid w:val="00700150"/>
    <w:rsid w:val="007249A9"/>
    <w:rsid w:val="00736683"/>
    <w:rsid w:val="00793040"/>
    <w:rsid w:val="007A2C9A"/>
    <w:rsid w:val="007D0259"/>
    <w:rsid w:val="007D1654"/>
    <w:rsid w:val="00810E26"/>
    <w:rsid w:val="008208DE"/>
    <w:rsid w:val="00831B0E"/>
    <w:rsid w:val="00831EB9"/>
    <w:rsid w:val="008506F5"/>
    <w:rsid w:val="008548AE"/>
    <w:rsid w:val="0087036A"/>
    <w:rsid w:val="008B0DAA"/>
    <w:rsid w:val="008C1EE0"/>
    <w:rsid w:val="008F52C1"/>
    <w:rsid w:val="0090300D"/>
    <w:rsid w:val="00926BCF"/>
    <w:rsid w:val="009661A2"/>
    <w:rsid w:val="00976E06"/>
    <w:rsid w:val="00A80270"/>
    <w:rsid w:val="00A87F4A"/>
    <w:rsid w:val="00A93DDB"/>
    <w:rsid w:val="00A95A00"/>
    <w:rsid w:val="00AA1D8D"/>
    <w:rsid w:val="00AB48E5"/>
    <w:rsid w:val="00AC23F5"/>
    <w:rsid w:val="00AE1E12"/>
    <w:rsid w:val="00B47730"/>
    <w:rsid w:val="00B65766"/>
    <w:rsid w:val="00BB1A54"/>
    <w:rsid w:val="00BC68A2"/>
    <w:rsid w:val="00BE4943"/>
    <w:rsid w:val="00C07415"/>
    <w:rsid w:val="00C12C0F"/>
    <w:rsid w:val="00C30266"/>
    <w:rsid w:val="00C44056"/>
    <w:rsid w:val="00C54FF2"/>
    <w:rsid w:val="00C570E5"/>
    <w:rsid w:val="00C90CD1"/>
    <w:rsid w:val="00CA5E33"/>
    <w:rsid w:val="00CB0664"/>
    <w:rsid w:val="00CC59E3"/>
    <w:rsid w:val="00CF0B3B"/>
    <w:rsid w:val="00D2000F"/>
    <w:rsid w:val="00D23151"/>
    <w:rsid w:val="00D539C4"/>
    <w:rsid w:val="00D53C14"/>
    <w:rsid w:val="00D76EA5"/>
    <w:rsid w:val="00D97C9C"/>
    <w:rsid w:val="00DE06F5"/>
    <w:rsid w:val="00E32BB0"/>
    <w:rsid w:val="00E42C73"/>
    <w:rsid w:val="00E4421A"/>
    <w:rsid w:val="00E461CF"/>
    <w:rsid w:val="00E52E0B"/>
    <w:rsid w:val="00E611BB"/>
    <w:rsid w:val="00E71147"/>
    <w:rsid w:val="00E81C51"/>
    <w:rsid w:val="00E90D2D"/>
    <w:rsid w:val="00EC2A36"/>
    <w:rsid w:val="00EE7210"/>
    <w:rsid w:val="00F61F04"/>
    <w:rsid w:val="00F65488"/>
    <w:rsid w:val="00F65720"/>
    <w:rsid w:val="00FA346B"/>
    <w:rsid w:val="00FA445E"/>
    <w:rsid w:val="00FC693F"/>
    <w:rsid w:val="00FF38BC"/>
    <w:rsid w:val="06229421"/>
    <w:rsid w:val="0D763107"/>
    <w:rsid w:val="0DADEDC5"/>
    <w:rsid w:val="10577996"/>
    <w:rsid w:val="154D6D6F"/>
    <w:rsid w:val="18CB0EDE"/>
    <w:rsid w:val="1D11DA5E"/>
    <w:rsid w:val="211AC7DE"/>
    <w:rsid w:val="22BC086D"/>
    <w:rsid w:val="28B7C134"/>
    <w:rsid w:val="31E5188E"/>
    <w:rsid w:val="3A487682"/>
    <w:rsid w:val="417E1CBF"/>
    <w:rsid w:val="428A0D97"/>
    <w:rsid w:val="435AB84F"/>
    <w:rsid w:val="46A60831"/>
    <w:rsid w:val="4A744926"/>
    <w:rsid w:val="4D6AA520"/>
    <w:rsid w:val="4F91B92B"/>
    <w:rsid w:val="552FCBF3"/>
    <w:rsid w:val="572B6A28"/>
    <w:rsid w:val="5BC67C6C"/>
    <w:rsid w:val="5FF69468"/>
    <w:rsid w:val="6101CDD3"/>
    <w:rsid w:val="6B4E1C91"/>
    <w:rsid w:val="6C95029F"/>
    <w:rsid w:val="6D72A8A4"/>
    <w:rsid w:val="6FD4E44C"/>
    <w:rsid w:val="70088B55"/>
    <w:rsid w:val="7176EF31"/>
    <w:rsid w:val="733C4B4C"/>
    <w:rsid w:val="75498099"/>
    <w:rsid w:val="77B74EFF"/>
    <w:rsid w:val="7A1C0EA3"/>
    <w:rsid w:val="7A5AA641"/>
    <w:rsid w:val="7A661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4CBC35A-E227-401F-8476-291CA2D3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63744"/>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83B56"/>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47D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83B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i/>
      <w:iCs/>
      <w:color w:val="66788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10"/>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EE7210"/>
    <w:rPr>
      <w:color w:val="0000FF"/>
      <w:u w:val="single"/>
    </w:rPr>
  </w:style>
  <w:style w:type="character" w:styleId="FollowedHyperlink">
    <w:name w:val="FollowedHyperlink"/>
    <w:basedOn w:val="DefaultParagraphFont"/>
    <w:uiPriority w:val="99"/>
    <w:semiHidden/>
    <w:unhideWhenUsed/>
    <w:rsid w:val="00926BC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evhub.acr.org/home/federated-network-components"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devhub.acr.org/home/federated-network-component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evhub.acr.org/home/federated-network-component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hub.acr.org/home/federated-network-component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hub.acr.org/home/midrc-acr-radiology-report-deidentifier" TargetMode="External"/><Relationship Id="rId23" Type="http://schemas.openxmlformats.org/officeDocument/2006/relationships/fontTable" Target="fontTable.xml"/><Relationship Id="rId10" Type="http://schemas.openxmlformats.org/officeDocument/2006/relationships/hyperlink" Target="https://github.com/ACRCode/ARPA-H-BDF"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vhub.acr.org/home/federated-network-components" TargetMode="External"/><Relationship Id="rId14" Type="http://schemas.openxmlformats.org/officeDocument/2006/relationships/hyperlink" Target="https://devhub.acr.org/home/federated-network-components"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A2541-A6C3-4C13-85B3-3A8CC1925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3282</Words>
  <Characters>20284</Characters>
  <Application>Microsoft Office Word</Application>
  <DocSecurity>0</DocSecurity>
  <Lines>520</Lines>
  <Paragraphs>274</Paragraphs>
  <ScaleCrop>false</ScaleCrop>
  <Manager/>
  <Company/>
  <LinksUpToDate>false</LinksUpToDate>
  <CharactersWithSpaces>23292</CharactersWithSpaces>
  <SharedDoc>false</SharedDoc>
  <HyperlinkBase/>
  <HLinks>
    <vt:vector size="96" baseType="variant">
      <vt:variant>
        <vt:i4>4653085</vt:i4>
      </vt:variant>
      <vt:variant>
        <vt:i4>21</vt:i4>
      </vt:variant>
      <vt:variant>
        <vt:i4>0</vt:i4>
      </vt:variant>
      <vt:variant>
        <vt:i4>5</vt:i4>
      </vt:variant>
      <vt:variant>
        <vt:lpwstr>https://devhub.acr.org/home/federated-network-components</vt:lpwstr>
      </vt:variant>
      <vt:variant>
        <vt:lpwstr/>
      </vt:variant>
      <vt:variant>
        <vt:i4>7864375</vt:i4>
      </vt:variant>
      <vt:variant>
        <vt:i4>18</vt:i4>
      </vt:variant>
      <vt:variant>
        <vt:i4>0</vt:i4>
      </vt:variant>
      <vt:variant>
        <vt:i4>5</vt:i4>
      </vt:variant>
      <vt:variant>
        <vt:lpwstr>https://devhub.acr.org/home/midrc-acr-radiology-report-deidentifier</vt:lpwstr>
      </vt:variant>
      <vt:variant>
        <vt:lpwstr/>
      </vt:variant>
      <vt:variant>
        <vt:i4>4653085</vt:i4>
      </vt:variant>
      <vt:variant>
        <vt:i4>15</vt:i4>
      </vt:variant>
      <vt:variant>
        <vt:i4>0</vt:i4>
      </vt:variant>
      <vt:variant>
        <vt:i4>5</vt:i4>
      </vt:variant>
      <vt:variant>
        <vt:lpwstr>https://devhub.acr.org/home/federated-network-components</vt:lpwstr>
      </vt:variant>
      <vt:variant>
        <vt:lpwstr/>
      </vt:variant>
      <vt:variant>
        <vt:i4>4653085</vt:i4>
      </vt:variant>
      <vt:variant>
        <vt:i4>12</vt:i4>
      </vt:variant>
      <vt:variant>
        <vt:i4>0</vt:i4>
      </vt:variant>
      <vt:variant>
        <vt:i4>5</vt:i4>
      </vt:variant>
      <vt:variant>
        <vt:lpwstr>https://devhub.acr.org/home/federated-network-components</vt:lpwstr>
      </vt:variant>
      <vt:variant>
        <vt:lpwstr/>
      </vt:variant>
      <vt:variant>
        <vt:i4>4653085</vt:i4>
      </vt:variant>
      <vt:variant>
        <vt:i4>9</vt:i4>
      </vt:variant>
      <vt:variant>
        <vt:i4>0</vt:i4>
      </vt:variant>
      <vt:variant>
        <vt:i4>5</vt:i4>
      </vt:variant>
      <vt:variant>
        <vt:lpwstr>https://devhub.acr.org/home/federated-network-components</vt:lpwstr>
      </vt:variant>
      <vt:variant>
        <vt:lpwstr/>
      </vt:variant>
      <vt:variant>
        <vt:i4>4653085</vt:i4>
      </vt:variant>
      <vt:variant>
        <vt:i4>6</vt:i4>
      </vt:variant>
      <vt:variant>
        <vt:i4>0</vt:i4>
      </vt:variant>
      <vt:variant>
        <vt:i4>5</vt:i4>
      </vt:variant>
      <vt:variant>
        <vt:lpwstr>https://devhub.acr.org/home/federated-network-components</vt:lpwstr>
      </vt:variant>
      <vt:variant>
        <vt:lpwstr/>
      </vt:variant>
      <vt:variant>
        <vt:i4>1048602</vt:i4>
      </vt:variant>
      <vt:variant>
        <vt:i4>3</vt:i4>
      </vt:variant>
      <vt:variant>
        <vt:i4>0</vt:i4>
      </vt:variant>
      <vt:variant>
        <vt:i4>5</vt:i4>
      </vt:variant>
      <vt:variant>
        <vt:lpwstr>https://github.com/ACRCode/ARPA-H-BDF</vt:lpwstr>
      </vt:variant>
      <vt:variant>
        <vt:lpwstr/>
      </vt:variant>
      <vt:variant>
        <vt:i4>4653085</vt:i4>
      </vt:variant>
      <vt:variant>
        <vt:i4>0</vt:i4>
      </vt:variant>
      <vt:variant>
        <vt:i4>0</vt:i4>
      </vt:variant>
      <vt:variant>
        <vt:i4>5</vt:i4>
      </vt:variant>
      <vt:variant>
        <vt:lpwstr>https://devhub.acr.org/home/federated-network-components</vt:lpwstr>
      </vt:variant>
      <vt:variant>
        <vt:lpwstr/>
      </vt:variant>
      <vt:variant>
        <vt:i4>4653085</vt:i4>
      </vt:variant>
      <vt:variant>
        <vt:i4>21</vt:i4>
      </vt:variant>
      <vt:variant>
        <vt:i4>0</vt:i4>
      </vt:variant>
      <vt:variant>
        <vt:i4>5</vt:i4>
      </vt:variant>
      <vt:variant>
        <vt:lpwstr>https://devhub.acr.org/home/federated-network-components</vt:lpwstr>
      </vt:variant>
      <vt:variant>
        <vt:lpwstr/>
      </vt:variant>
      <vt:variant>
        <vt:i4>7864375</vt:i4>
      </vt:variant>
      <vt:variant>
        <vt:i4>18</vt:i4>
      </vt:variant>
      <vt:variant>
        <vt:i4>0</vt:i4>
      </vt:variant>
      <vt:variant>
        <vt:i4>5</vt:i4>
      </vt:variant>
      <vt:variant>
        <vt:lpwstr>https://devhub.acr.org/home/midrc-acr-radiology-report-deidentifier</vt:lpwstr>
      </vt:variant>
      <vt:variant>
        <vt:lpwstr/>
      </vt:variant>
      <vt:variant>
        <vt:i4>4653085</vt:i4>
      </vt:variant>
      <vt:variant>
        <vt:i4>15</vt:i4>
      </vt:variant>
      <vt:variant>
        <vt:i4>0</vt:i4>
      </vt:variant>
      <vt:variant>
        <vt:i4>5</vt:i4>
      </vt:variant>
      <vt:variant>
        <vt:lpwstr>https://devhub.acr.org/home/federated-network-components</vt:lpwstr>
      </vt:variant>
      <vt:variant>
        <vt:lpwstr/>
      </vt:variant>
      <vt:variant>
        <vt:i4>4653085</vt:i4>
      </vt:variant>
      <vt:variant>
        <vt:i4>12</vt:i4>
      </vt:variant>
      <vt:variant>
        <vt:i4>0</vt:i4>
      </vt:variant>
      <vt:variant>
        <vt:i4>5</vt:i4>
      </vt:variant>
      <vt:variant>
        <vt:lpwstr>https://devhub.acr.org/home/federated-network-components</vt:lpwstr>
      </vt:variant>
      <vt:variant>
        <vt:lpwstr/>
      </vt:variant>
      <vt:variant>
        <vt:i4>4653085</vt:i4>
      </vt:variant>
      <vt:variant>
        <vt:i4>9</vt:i4>
      </vt:variant>
      <vt:variant>
        <vt:i4>0</vt:i4>
      </vt:variant>
      <vt:variant>
        <vt:i4>5</vt:i4>
      </vt:variant>
      <vt:variant>
        <vt:lpwstr>https://devhub.acr.org/home/federated-network-components</vt:lpwstr>
      </vt:variant>
      <vt:variant>
        <vt:lpwstr/>
      </vt:variant>
      <vt:variant>
        <vt:i4>4653085</vt:i4>
      </vt:variant>
      <vt:variant>
        <vt:i4>6</vt:i4>
      </vt:variant>
      <vt:variant>
        <vt:i4>0</vt:i4>
      </vt:variant>
      <vt:variant>
        <vt:i4>5</vt:i4>
      </vt:variant>
      <vt:variant>
        <vt:lpwstr>https://devhub.acr.org/home/federated-network-components</vt:lpwstr>
      </vt:variant>
      <vt:variant>
        <vt:lpwstr/>
      </vt:variant>
      <vt:variant>
        <vt:i4>1048602</vt:i4>
      </vt:variant>
      <vt:variant>
        <vt:i4>3</vt:i4>
      </vt:variant>
      <vt:variant>
        <vt:i4>0</vt:i4>
      </vt:variant>
      <vt:variant>
        <vt:i4>5</vt:i4>
      </vt:variant>
      <vt:variant>
        <vt:lpwstr>https://github.com/ACRCode/ARPA-H-BDF</vt:lpwstr>
      </vt:variant>
      <vt:variant>
        <vt:lpwstr/>
      </vt:variant>
      <vt:variant>
        <vt:i4>4653085</vt:i4>
      </vt:variant>
      <vt:variant>
        <vt:i4>0</vt:i4>
      </vt:variant>
      <vt:variant>
        <vt:i4>0</vt:i4>
      </vt:variant>
      <vt:variant>
        <vt:i4>5</vt:i4>
      </vt:variant>
      <vt:variant>
        <vt:lpwstr>https://devhub.acr.org/home/federated-network-components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Federated Biomedical Computation Reference Architecture</dc:title>
  <dc:subject>Contract-driven reference architecture for federated biomedical data discovery and computation</dc:subject>
  <dc:creator>Tilkin, Mike</dc:creator>
  <cp:keywords>federated computation, biomedical data, reference architecture, API contracts, DICOM, orchestration</cp:keywords>
  <dc:description>generated by python-docx</dc:description>
  <cp:lastModifiedBy>Tilkin, Mike</cp:lastModifiedBy>
  <cp:revision>2</cp:revision>
  <dcterms:created xsi:type="dcterms:W3CDTF">2026-10-07T15:19:00Z</dcterms:created>
  <dcterms:modified xsi:type="dcterms:W3CDTF">2026-10-07T15:19:00Z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7a5e534-988f-43d1-a700-c5eaa344c527_Enabled">
    <vt:lpwstr>true</vt:lpwstr>
  </property>
  <property fmtid="{D5CDD505-2E9C-101B-9397-08002B2CF9AE}" pid="3" name="MSIP_Label_c7a5e534-988f-43d1-a700-c5eaa344c527_SetDate">
    <vt:lpwstr>2026-09-24T17:55:01Z</vt:lpwstr>
  </property>
  <property fmtid="{D5CDD505-2E9C-101B-9397-08002B2CF9AE}" pid="4" name="MSIP_Label_c7a5e534-988f-43d1-a700-c5eaa344c527_Method">
    <vt:lpwstr>Standard</vt:lpwstr>
  </property>
  <property fmtid="{D5CDD505-2E9C-101B-9397-08002B2CF9AE}" pid="5" name="MSIP_Label_c7a5e534-988f-43d1-a700-c5eaa344c527_Name">
    <vt:lpwstr>General-Unrestricted</vt:lpwstr>
  </property>
  <property fmtid="{D5CDD505-2E9C-101B-9397-08002B2CF9AE}" pid="6" name="MSIP_Label_c7a5e534-988f-43d1-a700-c5eaa344c527_SiteId">
    <vt:lpwstr>0b63ae10-46b1-4199-b40c-cf498ce75dc4</vt:lpwstr>
  </property>
  <property fmtid="{D5CDD505-2E9C-101B-9397-08002B2CF9AE}" pid="7" name="MSIP_Label_c7a5e534-988f-43d1-a700-c5eaa344c527_ActionId">
    <vt:lpwstr>1bcc4e3c-71e2-4c78-ba36-ae670c68baf0</vt:lpwstr>
  </property>
  <property fmtid="{D5CDD505-2E9C-101B-9397-08002B2CF9AE}" pid="8" name="MSIP_Label_c7a5e534-988f-43d1-a700-c5eaa344c527_ContentBits">
    <vt:lpwstr>0</vt:lpwstr>
  </property>
  <property fmtid="{D5CDD505-2E9C-101B-9397-08002B2CF9AE}" pid="9" name="MSIP_Label_c7a5e534-988f-43d1-a700-c5eaa344c527_Tag">
    <vt:lpwstr>10, 3, 0, 2</vt:lpwstr>
  </property>
</Properties>
</file>