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CF0A1E" w:rsidRDefault="00CF0A1E" w:rsidP="004929D8">
      <w:pPr>
        <w:tabs>
          <w:tab w:val="left" w:pos="90"/>
        </w:tabs>
        <w:spacing w:before="63"/>
        <w:jc w:val="center"/>
        <w:rPr>
          <w:b/>
          <w:w w:val="105"/>
          <w:sz w:val="32"/>
          <w:szCs w:val="20"/>
        </w:rPr>
      </w:pPr>
      <w:r>
        <w:rPr>
          <w:noProof/>
        </w:rPr>
        <w:drawing>
          <wp:inline distT="0" distB="0" distL="0" distR="0" wp14:anchorId="52115DE0" wp14:editId="7F4B3D20">
            <wp:extent cx="456392" cy="454346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75" cy="49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FF" w:rsidRPr="004929D8" w:rsidRDefault="0037654F" w:rsidP="004929D8">
      <w:pPr>
        <w:tabs>
          <w:tab w:val="left" w:pos="90"/>
        </w:tabs>
        <w:spacing w:before="63"/>
        <w:jc w:val="center"/>
        <w:rPr>
          <w:b/>
          <w:w w:val="105"/>
          <w:sz w:val="32"/>
          <w:szCs w:val="20"/>
        </w:rPr>
      </w:pPr>
      <w:r w:rsidRPr="004929D8">
        <w:rPr>
          <w:b/>
          <w:w w:val="105"/>
          <w:sz w:val="32"/>
          <w:szCs w:val="20"/>
        </w:rPr>
        <w:t>Lung‐RADS</w:t>
      </w:r>
      <w:r w:rsidR="00205628">
        <w:rPr>
          <w:b/>
          <w:w w:val="105"/>
          <w:sz w:val="32"/>
          <w:szCs w:val="20"/>
        </w:rPr>
        <w:t>®</w:t>
      </w:r>
      <w:r w:rsidRPr="004929D8">
        <w:rPr>
          <w:b/>
          <w:w w:val="105"/>
          <w:sz w:val="32"/>
          <w:szCs w:val="20"/>
        </w:rPr>
        <w:t xml:space="preserve"> Version 1.</w:t>
      </w:r>
      <w:r w:rsidR="002063CE" w:rsidRPr="004929D8">
        <w:rPr>
          <w:b/>
          <w:w w:val="105"/>
          <w:sz w:val="32"/>
          <w:szCs w:val="20"/>
        </w:rPr>
        <w:t>1</w:t>
      </w:r>
    </w:p>
    <w:p w:rsidR="002C5F66" w:rsidRPr="005D7F44" w:rsidRDefault="0037654F" w:rsidP="00F53871">
      <w:pPr>
        <w:spacing w:before="63"/>
        <w:jc w:val="center"/>
        <w:rPr>
          <w:b/>
          <w:sz w:val="24"/>
          <w:szCs w:val="20"/>
        </w:rPr>
      </w:pPr>
      <w:r w:rsidRPr="004929D8">
        <w:rPr>
          <w:b/>
          <w:w w:val="105"/>
          <w:sz w:val="24"/>
          <w:szCs w:val="20"/>
        </w:rPr>
        <w:t xml:space="preserve">Assessment Categories Release date: </w:t>
      </w:r>
      <w:r w:rsidR="002063CE" w:rsidRPr="005D7F44">
        <w:rPr>
          <w:b/>
          <w:w w:val="105"/>
          <w:sz w:val="24"/>
          <w:szCs w:val="20"/>
        </w:rPr>
        <w:t>2019</w:t>
      </w:r>
    </w:p>
    <w:tbl>
      <w:tblPr>
        <w:tblW w:w="10350" w:type="dxa"/>
        <w:tblInd w:w="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810"/>
        <w:gridCol w:w="3330"/>
        <w:gridCol w:w="2340"/>
        <w:gridCol w:w="990"/>
        <w:gridCol w:w="990"/>
      </w:tblGrid>
      <w:tr w:rsidR="00FA0AC0" w:rsidRPr="002A0131" w:rsidTr="00C42CA9">
        <w:trPr>
          <w:trHeight w:val="444"/>
        </w:trPr>
        <w:tc>
          <w:tcPr>
            <w:tcW w:w="1890" w:type="dxa"/>
            <w:shd w:val="clear" w:color="auto" w:fill="323E4F"/>
            <w:vAlign w:val="center"/>
          </w:tcPr>
          <w:p w:rsidR="00FA0AC0" w:rsidRPr="002A0131" w:rsidRDefault="00FA0AC0" w:rsidP="00C42CA9">
            <w:pPr>
              <w:pStyle w:val="TableParagraph"/>
              <w:ind w:left="87" w:right="60"/>
              <w:jc w:val="center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Category</w:t>
            </w:r>
          </w:p>
          <w:p w:rsidR="00FA0AC0" w:rsidRPr="002A0131" w:rsidRDefault="00FA0AC0" w:rsidP="00C42CA9">
            <w:pPr>
              <w:pStyle w:val="TableParagraph"/>
              <w:ind w:left="87" w:right="60"/>
              <w:jc w:val="center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Descriptor</w:t>
            </w:r>
          </w:p>
        </w:tc>
        <w:tc>
          <w:tcPr>
            <w:tcW w:w="810" w:type="dxa"/>
            <w:shd w:val="clear" w:color="auto" w:fill="323E4F"/>
            <w:vAlign w:val="center"/>
          </w:tcPr>
          <w:p w:rsidR="00FA0AC0" w:rsidRPr="002A0131" w:rsidRDefault="00FA0AC0" w:rsidP="00C42CA9">
            <w:pPr>
              <w:pStyle w:val="TableParagraph"/>
              <w:ind w:left="47" w:right="21"/>
              <w:jc w:val="center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Lung-RADS</w:t>
            </w:r>
          </w:p>
          <w:p w:rsidR="00FA0AC0" w:rsidRPr="002A0131" w:rsidRDefault="00FA0AC0" w:rsidP="00C42CA9">
            <w:pPr>
              <w:pStyle w:val="TableParagraph"/>
              <w:ind w:left="47" w:right="21"/>
              <w:jc w:val="center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Score</w:t>
            </w:r>
          </w:p>
        </w:tc>
        <w:tc>
          <w:tcPr>
            <w:tcW w:w="333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323E4F"/>
            <w:vAlign w:val="center"/>
          </w:tcPr>
          <w:p w:rsidR="00FA0AC0" w:rsidRPr="002A0131" w:rsidRDefault="00FA0AC0" w:rsidP="00C42CA9">
            <w:pPr>
              <w:pStyle w:val="TableParagraph"/>
              <w:ind w:left="-11" w:right="-5"/>
              <w:jc w:val="center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Findings</w:t>
            </w:r>
          </w:p>
        </w:tc>
        <w:tc>
          <w:tcPr>
            <w:tcW w:w="2340" w:type="dxa"/>
            <w:tcBorders>
              <w:left w:val="single" w:sz="8" w:space="0" w:color="000000"/>
            </w:tcBorders>
            <w:shd w:val="clear" w:color="auto" w:fill="323E4F"/>
            <w:vAlign w:val="center"/>
          </w:tcPr>
          <w:p w:rsidR="00FA0AC0" w:rsidRPr="002A0131" w:rsidRDefault="00FA0AC0" w:rsidP="00C42CA9">
            <w:pPr>
              <w:pStyle w:val="TableParagraph"/>
              <w:ind w:left="62" w:right="26"/>
              <w:jc w:val="center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Management</w:t>
            </w:r>
          </w:p>
        </w:tc>
        <w:tc>
          <w:tcPr>
            <w:tcW w:w="990" w:type="dxa"/>
            <w:tcBorders>
              <w:left w:val="single" w:sz="8" w:space="0" w:color="000000"/>
            </w:tcBorders>
            <w:shd w:val="clear" w:color="auto" w:fill="323E4F"/>
            <w:vAlign w:val="center"/>
          </w:tcPr>
          <w:p w:rsidR="00FA0AC0" w:rsidRPr="002A0131" w:rsidRDefault="00FA0AC0" w:rsidP="00C42CA9">
            <w:pPr>
              <w:pStyle w:val="TableParagraph"/>
              <w:ind w:left="62" w:right="26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Risk</w:t>
            </w:r>
            <w:r w:rsidRPr="002A0131">
              <w:rPr>
                <w:rFonts w:ascii="Arial" w:hAnsi="Arial" w:cs="Arial"/>
                <w:b/>
                <w:sz w:val="16"/>
              </w:rPr>
              <w:t xml:space="preserve"> of Malignancy</w:t>
            </w:r>
          </w:p>
        </w:tc>
        <w:tc>
          <w:tcPr>
            <w:tcW w:w="990" w:type="dxa"/>
            <w:tcBorders>
              <w:left w:val="single" w:sz="8" w:space="0" w:color="000000"/>
            </w:tcBorders>
            <w:shd w:val="clear" w:color="auto" w:fill="323E4F"/>
            <w:vAlign w:val="center"/>
          </w:tcPr>
          <w:p w:rsidR="00FA0AC0" w:rsidRPr="002A0131" w:rsidRDefault="00FA0AC0" w:rsidP="00C42CA9">
            <w:pPr>
              <w:pStyle w:val="TableParagraph"/>
              <w:ind w:left="62" w:right="26"/>
              <w:jc w:val="center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Est. Population Prevalence</w:t>
            </w:r>
          </w:p>
        </w:tc>
      </w:tr>
      <w:tr w:rsidR="00FA0AC0" w:rsidRPr="002A0131" w:rsidTr="00C42CA9">
        <w:trPr>
          <w:trHeight w:val="258"/>
        </w:trPr>
        <w:tc>
          <w:tcPr>
            <w:tcW w:w="1890" w:type="dxa"/>
            <w:vMerge w:val="restart"/>
            <w:tcBorders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FA0AC0" w:rsidRPr="002A0131" w:rsidRDefault="00FA0AC0" w:rsidP="00C42CA9">
            <w:pPr>
              <w:pStyle w:val="TableParagraph"/>
              <w:ind w:left="47"/>
              <w:jc w:val="center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Incomplete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  <w:vAlign w:val="center"/>
          </w:tcPr>
          <w:p w:rsidR="00FA0AC0" w:rsidRPr="002A0131" w:rsidRDefault="00FA0AC0" w:rsidP="00C42CA9">
            <w:pPr>
              <w:pStyle w:val="TableParagraph"/>
              <w:ind w:left="34"/>
              <w:jc w:val="center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0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FA0AC0" w:rsidRPr="002A0131" w:rsidRDefault="00FA0AC0" w:rsidP="00C42CA9">
            <w:pPr>
              <w:pStyle w:val="TableParagraph"/>
              <w:ind w:left="21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Prior chest CT examination(s) being located for comparison</w:t>
            </w:r>
          </w:p>
        </w:tc>
        <w:tc>
          <w:tcPr>
            <w:tcW w:w="2340" w:type="dxa"/>
            <w:vMerge w:val="restart"/>
            <w:tcBorders>
              <w:left w:val="single" w:sz="8" w:space="0" w:color="000000"/>
            </w:tcBorders>
          </w:tcPr>
          <w:p w:rsidR="00FA0AC0" w:rsidRPr="00DD26C6" w:rsidRDefault="00FA0AC0" w:rsidP="00C42CA9">
            <w:pPr>
              <w:pStyle w:val="TableParagraph"/>
              <w:ind w:left="61" w:firstLine="53"/>
              <w:rPr>
                <w:rFonts w:ascii="Arial" w:hAnsi="Arial" w:cs="Arial"/>
                <w:sz w:val="16"/>
                <w:szCs w:val="12"/>
              </w:rPr>
            </w:pPr>
            <w:r w:rsidRPr="00DD26C6">
              <w:rPr>
                <w:rFonts w:ascii="Arial" w:hAnsi="Arial" w:cs="Arial"/>
                <w:sz w:val="16"/>
                <w:szCs w:val="12"/>
              </w:rPr>
              <w:t>Additional lung cancer screening CT images and/or comparison to prior chest CT examinations is needed</w:t>
            </w:r>
          </w:p>
        </w:tc>
        <w:tc>
          <w:tcPr>
            <w:tcW w:w="990" w:type="dxa"/>
            <w:vMerge w:val="restart"/>
            <w:tcBorders>
              <w:left w:val="single" w:sz="8" w:space="0" w:color="000000"/>
            </w:tcBorders>
            <w:vAlign w:val="center"/>
          </w:tcPr>
          <w:p w:rsidR="00FA0AC0" w:rsidRPr="00DD26C6" w:rsidRDefault="00FA0AC0" w:rsidP="00C42CA9">
            <w:pPr>
              <w:pStyle w:val="TableParagraph"/>
              <w:ind w:left="61" w:firstLine="53"/>
              <w:rPr>
                <w:rFonts w:ascii="Arial" w:hAnsi="Arial" w:cs="Arial"/>
                <w:sz w:val="16"/>
                <w:szCs w:val="12"/>
              </w:rPr>
            </w:pPr>
            <w:r w:rsidRPr="002A0131">
              <w:rPr>
                <w:rFonts w:ascii="Arial" w:hAnsi="Arial" w:cs="Arial"/>
                <w:sz w:val="16"/>
                <w:szCs w:val="12"/>
              </w:rPr>
              <w:t>n/a</w:t>
            </w:r>
          </w:p>
        </w:tc>
        <w:tc>
          <w:tcPr>
            <w:tcW w:w="990" w:type="dxa"/>
            <w:vMerge w:val="restart"/>
            <w:tcBorders>
              <w:left w:val="single" w:sz="8" w:space="0" w:color="000000"/>
            </w:tcBorders>
            <w:vAlign w:val="center"/>
          </w:tcPr>
          <w:p w:rsidR="00FA0AC0" w:rsidRPr="00DD26C6" w:rsidRDefault="00FA0AC0" w:rsidP="00C42CA9">
            <w:pPr>
              <w:pStyle w:val="TableParagraph"/>
              <w:ind w:left="61" w:firstLine="53"/>
              <w:rPr>
                <w:rFonts w:ascii="Arial" w:hAnsi="Arial" w:cs="Arial"/>
                <w:sz w:val="16"/>
                <w:szCs w:val="12"/>
              </w:rPr>
            </w:pPr>
            <w:r w:rsidRPr="002A0131">
              <w:rPr>
                <w:rFonts w:ascii="Arial" w:hAnsi="Arial" w:cs="Arial"/>
                <w:sz w:val="16"/>
                <w:szCs w:val="12"/>
              </w:rPr>
              <w:t>1%</w:t>
            </w:r>
          </w:p>
        </w:tc>
      </w:tr>
      <w:tr w:rsidR="00FA0AC0" w:rsidRPr="002A0131" w:rsidTr="00C42CA9">
        <w:trPr>
          <w:trHeight w:val="159"/>
        </w:trPr>
        <w:tc>
          <w:tcPr>
            <w:tcW w:w="1890" w:type="dxa"/>
            <w:vMerge/>
            <w:tcBorders>
              <w:top w:val="nil"/>
              <w:right w:val="single" w:sz="8" w:space="0" w:color="000000"/>
            </w:tcBorders>
            <w:shd w:val="clear" w:color="auto" w:fill="D9D9D9" w:themeFill="background1" w:themeFillShade="D9"/>
          </w:tcPr>
          <w:p w:rsidR="00FA0AC0" w:rsidRPr="002A0131" w:rsidRDefault="00FA0AC0" w:rsidP="00C42CA9">
            <w:pPr>
              <w:jc w:val="center"/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FA0AC0" w:rsidRPr="002A0131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3330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FA0AC0" w:rsidRPr="002A0131" w:rsidRDefault="00FA0AC0" w:rsidP="00C42CA9">
            <w:pPr>
              <w:pStyle w:val="TableParagraph"/>
              <w:ind w:left="21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Part or all of lungs cannot be evaluated</w:t>
            </w:r>
          </w:p>
        </w:tc>
        <w:tc>
          <w:tcPr>
            <w:tcW w:w="2340" w:type="dxa"/>
            <w:vMerge/>
            <w:tcBorders>
              <w:top w:val="nil"/>
              <w:left w:val="single" w:sz="8" w:space="0" w:color="000000"/>
            </w:tcBorders>
          </w:tcPr>
          <w:p w:rsidR="00FA0AC0" w:rsidRPr="00DD26C6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</w:tcPr>
          <w:p w:rsidR="00FA0AC0" w:rsidRPr="00DD26C6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  <w:vAlign w:val="center"/>
          </w:tcPr>
          <w:p w:rsidR="00FA0AC0" w:rsidRPr="00DD26C6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</w:tr>
      <w:tr w:rsidR="002E52D8" w:rsidRPr="002A0131" w:rsidTr="00C42CA9">
        <w:trPr>
          <w:trHeight w:val="193"/>
        </w:trPr>
        <w:tc>
          <w:tcPr>
            <w:tcW w:w="1890" w:type="dxa"/>
            <w:vMerge w:val="restart"/>
            <w:shd w:val="clear" w:color="auto" w:fill="B4C6E7"/>
            <w:vAlign w:val="center"/>
          </w:tcPr>
          <w:p w:rsidR="002E52D8" w:rsidRPr="002A0131" w:rsidRDefault="002E52D8" w:rsidP="00C42CA9">
            <w:pPr>
              <w:pStyle w:val="TableParagraph"/>
              <w:ind w:left="108"/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Negative</w:t>
            </w:r>
          </w:p>
          <w:p w:rsidR="002E52D8" w:rsidRPr="002A0131" w:rsidRDefault="002E52D8" w:rsidP="00C42CA9">
            <w:pPr>
              <w:pStyle w:val="TableParagraph"/>
              <w:ind w:left="108"/>
              <w:jc w:val="center"/>
              <w:rPr>
                <w:rFonts w:ascii="Arial" w:hAnsi="Arial" w:cs="Arial"/>
                <w:sz w:val="16"/>
                <w:szCs w:val="12"/>
              </w:rPr>
            </w:pPr>
          </w:p>
          <w:p w:rsidR="002E52D8" w:rsidRPr="002A0131" w:rsidRDefault="002E52D8" w:rsidP="00C42CA9">
            <w:pPr>
              <w:pStyle w:val="TableParagraph"/>
              <w:ind w:left="108"/>
              <w:jc w:val="center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sz w:val="16"/>
                <w:szCs w:val="12"/>
              </w:rPr>
              <w:t>No nodules and definitely benign nodules</w:t>
            </w:r>
          </w:p>
        </w:tc>
        <w:tc>
          <w:tcPr>
            <w:tcW w:w="810" w:type="dxa"/>
            <w:vMerge w:val="restart"/>
            <w:shd w:val="clear" w:color="auto" w:fill="B4C6E7"/>
            <w:vAlign w:val="center"/>
          </w:tcPr>
          <w:p w:rsidR="002E52D8" w:rsidRPr="002A0131" w:rsidRDefault="002E52D8" w:rsidP="00C42CA9">
            <w:pPr>
              <w:pStyle w:val="TableParagraph"/>
              <w:ind w:left="35"/>
              <w:jc w:val="center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1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52D8" w:rsidRPr="002A0131" w:rsidRDefault="002E52D8" w:rsidP="00C42CA9">
            <w:pPr>
              <w:pStyle w:val="TableParagraph"/>
              <w:ind w:left="22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No lung nodules</w:t>
            </w:r>
          </w:p>
        </w:tc>
        <w:tc>
          <w:tcPr>
            <w:tcW w:w="2340" w:type="dxa"/>
            <w:vMerge w:val="restart"/>
            <w:tcBorders>
              <w:left w:val="single" w:sz="8" w:space="0" w:color="000000"/>
            </w:tcBorders>
            <w:vAlign w:val="center"/>
          </w:tcPr>
          <w:p w:rsidR="002E52D8" w:rsidRPr="00DD26C6" w:rsidRDefault="002E52D8" w:rsidP="00C42CA9">
            <w:pPr>
              <w:pStyle w:val="TableParagraph"/>
              <w:ind w:right="449"/>
              <w:jc w:val="center"/>
              <w:rPr>
                <w:rFonts w:ascii="Arial" w:hAnsi="Arial" w:cs="Arial"/>
                <w:sz w:val="16"/>
              </w:rPr>
            </w:pPr>
            <w:r w:rsidRPr="00DD26C6">
              <w:rPr>
                <w:rFonts w:ascii="Arial" w:hAnsi="Arial" w:cs="Arial"/>
                <w:sz w:val="16"/>
              </w:rPr>
              <w:t>Continue annual screening with LDCT in 12 months</w:t>
            </w:r>
          </w:p>
        </w:tc>
        <w:tc>
          <w:tcPr>
            <w:tcW w:w="990" w:type="dxa"/>
            <w:vMerge w:val="restart"/>
            <w:tcBorders>
              <w:left w:val="single" w:sz="8" w:space="0" w:color="000000"/>
            </w:tcBorders>
            <w:vAlign w:val="center"/>
          </w:tcPr>
          <w:p w:rsidR="002E52D8" w:rsidRPr="00DD26C6" w:rsidRDefault="002E52D8" w:rsidP="00C42CA9">
            <w:pPr>
              <w:pStyle w:val="TableParagraph"/>
              <w:ind w:right="449"/>
              <w:jc w:val="center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  <w:szCs w:val="12"/>
              </w:rPr>
              <w:t>&lt; 1%</w:t>
            </w:r>
          </w:p>
        </w:tc>
        <w:tc>
          <w:tcPr>
            <w:tcW w:w="990" w:type="dxa"/>
            <w:vMerge w:val="restart"/>
            <w:tcBorders>
              <w:left w:val="single" w:sz="8" w:space="0" w:color="000000"/>
            </w:tcBorders>
            <w:vAlign w:val="center"/>
          </w:tcPr>
          <w:p w:rsidR="002E52D8" w:rsidRPr="00DD26C6" w:rsidRDefault="002E52D8" w:rsidP="00C42CA9">
            <w:pPr>
              <w:pStyle w:val="TableParagraph"/>
              <w:ind w:right="449"/>
              <w:jc w:val="center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90%</w:t>
            </w:r>
          </w:p>
        </w:tc>
      </w:tr>
      <w:tr w:rsidR="002E52D8" w:rsidRPr="002A0131" w:rsidTr="00D07032">
        <w:trPr>
          <w:trHeight w:val="263"/>
        </w:trPr>
        <w:tc>
          <w:tcPr>
            <w:tcW w:w="1890" w:type="dxa"/>
            <w:vMerge/>
            <w:tcBorders>
              <w:top w:val="nil"/>
            </w:tcBorders>
            <w:shd w:val="clear" w:color="auto" w:fill="B4C6E7"/>
          </w:tcPr>
          <w:p w:rsidR="002E52D8" w:rsidRPr="002A0131" w:rsidRDefault="002E52D8" w:rsidP="00C42CA9">
            <w:pPr>
              <w:jc w:val="center"/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810" w:type="dxa"/>
            <w:vMerge/>
            <w:shd w:val="clear" w:color="auto" w:fill="B4C6E7"/>
          </w:tcPr>
          <w:p w:rsidR="002E52D8" w:rsidRPr="002A0131" w:rsidRDefault="002E52D8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2E52D8" w:rsidRPr="002A0131" w:rsidRDefault="002E52D8" w:rsidP="00C42CA9">
            <w:pPr>
              <w:pStyle w:val="TableParagraph"/>
              <w:ind w:left="22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Nodule(s) with specific calcifications: complete, central, popcorn, concentric</w:t>
            </w:r>
          </w:p>
          <w:p w:rsidR="002E52D8" w:rsidRPr="002A0131" w:rsidRDefault="002E52D8" w:rsidP="00C42CA9">
            <w:pPr>
              <w:pStyle w:val="TableParagraph"/>
              <w:ind w:left="22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rings and fat containing nodules</w:t>
            </w:r>
          </w:p>
        </w:tc>
        <w:tc>
          <w:tcPr>
            <w:tcW w:w="2340" w:type="dxa"/>
            <w:vMerge/>
            <w:tcBorders>
              <w:left w:val="single" w:sz="8" w:space="0" w:color="000000"/>
            </w:tcBorders>
          </w:tcPr>
          <w:p w:rsidR="002E52D8" w:rsidRPr="00DD26C6" w:rsidRDefault="002E52D8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</w:tcPr>
          <w:p w:rsidR="002E52D8" w:rsidRPr="00DD26C6" w:rsidRDefault="002E52D8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  <w:vAlign w:val="center"/>
          </w:tcPr>
          <w:p w:rsidR="002E52D8" w:rsidRPr="00DD26C6" w:rsidRDefault="002E52D8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</w:tr>
      <w:tr w:rsidR="002E52D8" w:rsidRPr="002A0131" w:rsidTr="00D07032">
        <w:trPr>
          <w:trHeight w:val="402"/>
        </w:trPr>
        <w:tc>
          <w:tcPr>
            <w:tcW w:w="1890" w:type="dxa"/>
            <w:vMerge w:val="restart"/>
            <w:shd w:val="clear" w:color="auto" w:fill="70AD47"/>
            <w:vAlign w:val="center"/>
          </w:tcPr>
          <w:p w:rsidR="002E52D8" w:rsidRPr="002A0131" w:rsidRDefault="002E52D8" w:rsidP="00C42CA9">
            <w:pPr>
              <w:pStyle w:val="TableParagraph"/>
              <w:ind w:right="-16"/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Benign Appearance or Behavior</w:t>
            </w:r>
          </w:p>
          <w:p w:rsidR="002E52D8" w:rsidRDefault="002E52D8" w:rsidP="00C42CA9">
            <w:pPr>
              <w:pStyle w:val="TableParagraph"/>
              <w:ind w:right="-16"/>
              <w:jc w:val="center"/>
              <w:rPr>
                <w:rFonts w:ascii="Arial" w:hAnsi="Arial" w:cs="Arial"/>
                <w:sz w:val="16"/>
                <w:szCs w:val="12"/>
              </w:rPr>
            </w:pPr>
          </w:p>
          <w:p w:rsidR="002E52D8" w:rsidRPr="002A0131" w:rsidRDefault="002E52D8" w:rsidP="00C42CA9">
            <w:pPr>
              <w:pStyle w:val="TableParagraph"/>
              <w:ind w:right="-16"/>
              <w:jc w:val="center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sz w:val="16"/>
                <w:szCs w:val="12"/>
              </w:rPr>
              <w:t>Nodules with a very low likelihood of becoming a clinically active cancer due to size or lack of growth</w:t>
            </w:r>
          </w:p>
        </w:tc>
        <w:tc>
          <w:tcPr>
            <w:tcW w:w="810" w:type="dxa"/>
            <w:vMerge w:val="restart"/>
            <w:tcBorders>
              <w:right w:val="single" w:sz="12" w:space="0" w:color="000000"/>
            </w:tcBorders>
            <w:shd w:val="clear" w:color="auto" w:fill="70AD47"/>
            <w:vAlign w:val="center"/>
          </w:tcPr>
          <w:p w:rsidR="002E52D8" w:rsidRPr="002A0131" w:rsidRDefault="002E52D8" w:rsidP="00C42CA9">
            <w:pPr>
              <w:pStyle w:val="TableParagraph"/>
              <w:jc w:val="center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2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:rsidR="002E52D8" w:rsidRPr="00E03ADF" w:rsidRDefault="002E52D8" w:rsidP="00E02D15">
            <w:pPr>
              <w:pStyle w:val="TableParagraph"/>
              <w:ind w:left="22"/>
              <w:rPr>
                <w:rFonts w:ascii="Arial" w:hAnsi="Arial" w:cs="Arial"/>
                <w:b/>
                <w:sz w:val="16"/>
                <w:highlight w:val="yellow"/>
              </w:rPr>
            </w:pPr>
            <w:r w:rsidRPr="00E03ADF">
              <w:rPr>
                <w:rFonts w:ascii="Arial" w:hAnsi="Arial" w:cs="Arial"/>
                <w:b/>
                <w:sz w:val="16"/>
                <w:highlight w:val="yellow"/>
              </w:rPr>
              <w:t xml:space="preserve">Perifissural nodule(s) </w:t>
            </w:r>
            <w:r w:rsidRPr="00E03ADF">
              <w:rPr>
                <w:rFonts w:ascii="Arial" w:hAnsi="Arial" w:cs="Arial"/>
                <w:i/>
                <w:sz w:val="16"/>
                <w:highlight w:val="yellow"/>
              </w:rPr>
              <w:t>(See Footnote 11)</w:t>
            </w:r>
          </w:p>
          <w:p w:rsidR="002E52D8" w:rsidRPr="004025D1" w:rsidRDefault="002E52D8" w:rsidP="004025D1">
            <w:pPr>
              <w:pStyle w:val="TableParagraph"/>
              <w:ind w:left="350"/>
              <w:rPr>
                <w:rFonts w:ascii="Arial" w:hAnsi="Arial" w:cs="Arial"/>
                <w:sz w:val="16"/>
              </w:rPr>
            </w:pPr>
            <w:r w:rsidRPr="00E03ADF">
              <w:rPr>
                <w:rFonts w:ascii="Arial" w:hAnsi="Arial" w:cs="Arial"/>
                <w:sz w:val="16"/>
                <w:highlight w:val="yellow"/>
              </w:rPr>
              <w:t>&lt; 10 mm</w:t>
            </w:r>
            <w:r w:rsidRPr="00E03ADF">
              <w:rPr>
                <w:rFonts w:ascii="Arial" w:hAnsi="Arial" w:cs="Arial"/>
                <w:sz w:val="16"/>
              </w:rPr>
              <w:t xml:space="preserve"> </w:t>
            </w:r>
            <w:r w:rsidRPr="00FE06DB">
              <w:rPr>
                <w:rFonts w:ascii="Arial" w:hAnsi="Arial" w:cs="Arial"/>
                <w:color w:val="FF0000"/>
                <w:sz w:val="16"/>
              </w:rPr>
              <w:t>(523.6mm</w:t>
            </w:r>
            <w:r w:rsidRPr="00FE06DB">
              <w:rPr>
                <w:rFonts w:ascii="Arial" w:hAnsi="Arial" w:cs="Arial"/>
                <w:color w:val="FF0000"/>
                <w:sz w:val="16"/>
                <w:vertAlign w:val="superscript"/>
              </w:rPr>
              <w:t>3</w:t>
            </w:r>
            <w:r w:rsidRPr="00FE06DB">
              <w:rPr>
                <w:rFonts w:ascii="Arial" w:hAnsi="Arial" w:cs="Arial"/>
                <w:color w:val="FF0000"/>
                <w:sz w:val="16"/>
              </w:rPr>
              <w:t>)</w:t>
            </w:r>
          </w:p>
        </w:tc>
        <w:tc>
          <w:tcPr>
            <w:tcW w:w="2340" w:type="dxa"/>
            <w:vMerge/>
            <w:tcBorders>
              <w:left w:val="single" w:sz="8" w:space="0" w:color="000000"/>
            </w:tcBorders>
          </w:tcPr>
          <w:p w:rsidR="002E52D8" w:rsidRPr="004025D1" w:rsidRDefault="002E52D8" w:rsidP="00E02D1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  <w:vAlign w:val="center"/>
          </w:tcPr>
          <w:p w:rsidR="002E52D8" w:rsidRPr="004025D1" w:rsidRDefault="002E52D8" w:rsidP="00E02D1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  <w:vAlign w:val="center"/>
          </w:tcPr>
          <w:p w:rsidR="002E52D8" w:rsidRPr="004025D1" w:rsidRDefault="002E52D8" w:rsidP="00E02D1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52D8" w:rsidRPr="002A0131" w:rsidTr="00A81A40">
        <w:trPr>
          <w:trHeight w:val="539"/>
        </w:trPr>
        <w:tc>
          <w:tcPr>
            <w:tcW w:w="1890" w:type="dxa"/>
            <w:vMerge/>
            <w:shd w:val="clear" w:color="auto" w:fill="70AD47"/>
            <w:vAlign w:val="center"/>
          </w:tcPr>
          <w:p w:rsidR="002E52D8" w:rsidRPr="002A0131" w:rsidRDefault="002E52D8" w:rsidP="00C42CA9">
            <w:pPr>
              <w:pStyle w:val="TableParagraph"/>
              <w:ind w:right="-16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810" w:type="dxa"/>
            <w:vMerge/>
            <w:shd w:val="clear" w:color="auto" w:fill="70AD47"/>
            <w:vAlign w:val="center"/>
          </w:tcPr>
          <w:p w:rsidR="002E52D8" w:rsidRPr="002A0131" w:rsidRDefault="002E52D8" w:rsidP="00C42CA9">
            <w:pPr>
              <w:pStyle w:val="TableParagraph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330" w:type="dxa"/>
            <w:tcBorders>
              <w:top w:val="single" w:sz="6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</w:tcPr>
          <w:p w:rsidR="002E52D8" w:rsidRPr="002A0131" w:rsidRDefault="002E52D8" w:rsidP="00C42CA9">
            <w:pPr>
              <w:pStyle w:val="TableParagraph"/>
              <w:ind w:left="22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Solid nodule(s):</w:t>
            </w:r>
          </w:p>
          <w:p w:rsidR="002E52D8" w:rsidRPr="00235BDB" w:rsidRDefault="002E52D8" w:rsidP="00235BDB">
            <w:pPr>
              <w:pStyle w:val="TableParagraph"/>
              <w:ind w:left="294" w:right="1160" w:firstLine="27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&lt; 6 mm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 w:rsidRPr="00FE06DB">
              <w:rPr>
                <w:rFonts w:ascii="Arial" w:hAnsi="Arial" w:cs="Arial"/>
                <w:color w:val="FF0000"/>
                <w:sz w:val="16"/>
              </w:rPr>
              <w:t>(&lt; 113.1 mm</w:t>
            </w:r>
            <w:r w:rsidRPr="00FE06DB">
              <w:rPr>
                <w:rFonts w:ascii="Arial" w:hAnsi="Arial" w:cs="Arial"/>
                <w:color w:val="FF0000"/>
                <w:sz w:val="16"/>
                <w:vertAlign w:val="superscript"/>
              </w:rPr>
              <w:t>3</w:t>
            </w:r>
            <w:r w:rsidRPr="00FE06DB">
              <w:rPr>
                <w:rFonts w:ascii="Arial" w:hAnsi="Arial" w:cs="Arial"/>
                <w:color w:val="FF0000"/>
                <w:sz w:val="16"/>
              </w:rPr>
              <w:t>)</w:t>
            </w:r>
          </w:p>
          <w:p w:rsidR="002E52D8" w:rsidRPr="00235BDB" w:rsidRDefault="002E52D8" w:rsidP="00C42CA9">
            <w:pPr>
              <w:pStyle w:val="TableParagraph"/>
              <w:ind w:left="294" w:right="620" w:firstLine="27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new &lt; 4</w:t>
            </w:r>
            <w:r w:rsidRPr="002A0131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2A0131">
              <w:rPr>
                <w:rFonts w:ascii="Arial" w:hAnsi="Arial" w:cs="Arial"/>
                <w:sz w:val="16"/>
              </w:rPr>
              <w:t>mm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 w:rsidRPr="00FE06DB">
              <w:rPr>
                <w:rFonts w:ascii="Arial" w:hAnsi="Arial" w:cs="Arial"/>
                <w:color w:val="FF0000"/>
                <w:sz w:val="16"/>
              </w:rPr>
              <w:t>(&lt; 33.5 mm</w:t>
            </w:r>
            <w:r w:rsidRPr="00FE06DB">
              <w:rPr>
                <w:rFonts w:ascii="Arial" w:hAnsi="Arial" w:cs="Arial"/>
                <w:color w:val="FF0000"/>
                <w:sz w:val="16"/>
                <w:vertAlign w:val="superscript"/>
              </w:rPr>
              <w:t>3</w:t>
            </w:r>
            <w:r w:rsidRPr="00FE06DB">
              <w:rPr>
                <w:rFonts w:ascii="Arial" w:hAnsi="Arial" w:cs="Arial"/>
                <w:color w:val="FF0000"/>
                <w:sz w:val="16"/>
              </w:rPr>
              <w:t>)</w:t>
            </w:r>
          </w:p>
        </w:tc>
        <w:tc>
          <w:tcPr>
            <w:tcW w:w="2340" w:type="dxa"/>
            <w:vMerge/>
            <w:tcBorders>
              <w:left w:val="single" w:sz="8" w:space="0" w:color="000000"/>
            </w:tcBorders>
          </w:tcPr>
          <w:p w:rsidR="002E52D8" w:rsidRPr="00DD26C6" w:rsidRDefault="002E52D8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  <w:vAlign w:val="center"/>
          </w:tcPr>
          <w:p w:rsidR="002E52D8" w:rsidRPr="00DD26C6" w:rsidRDefault="002E52D8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  <w:vAlign w:val="center"/>
          </w:tcPr>
          <w:p w:rsidR="002E52D8" w:rsidRPr="00DD26C6" w:rsidRDefault="002E52D8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</w:tr>
      <w:tr w:rsidR="002E52D8" w:rsidRPr="002A0131" w:rsidTr="004E48D7">
        <w:trPr>
          <w:trHeight w:val="349"/>
        </w:trPr>
        <w:tc>
          <w:tcPr>
            <w:tcW w:w="1890" w:type="dxa"/>
            <w:vMerge/>
            <w:shd w:val="clear" w:color="auto" w:fill="70AD47"/>
          </w:tcPr>
          <w:p w:rsidR="002E52D8" w:rsidRPr="002A0131" w:rsidRDefault="002E52D8" w:rsidP="00C42CA9">
            <w:pPr>
              <w:jc w:val="center"/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810" w:type="dxa"/>
            <w:vMerge/>
            <w:shd w:val="clear" w:color="auto" w:fill="70AD47"/>
          </w:tcPr>
          <w:p w:rsidR="002E52D8" w:rsidRPr="002A0131" w:rsidRDefault="002E52D8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33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</w:tcPr>
          <w:p w:rsidR="002E52D8" w:rsidRPr="002A0131" w:rsidRDefault="002E52D8" w:rsidP="00C42CA9">
            <w:pPr>
              <w:pStyle w:val="TableParagraph"/>
              <w:ind w:left="22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Part solid nodule(s):</w:t>
            </w:r>
          </w:p>
          <w:p w:rsidR="002E52D8" w:rsidRPr="002A0131" w:rsidRDefault="002E52D8" w:rsidP="00C42CA9">
            <w:pPr>
              <w:pStyle w:val="TableParagraph"/>
              <w:ind w:left="294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&lt; 6 mm total diameter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 w:rsidRPr="00FE06DB">
              <w:rPr>
                <w:rFonts w:ascii="Arial" w:hAnsi="Arial" w:cs="Arial"/>
                <w:color w:val="FF0000"/>
                <w:sz w:val="16"/>
              </w:rPr>
              <w:t>(&lt; 113.1 mm</w:t>
            </w:r>
            <w:r w:rsidRPr="00FE06DB">
              <w:rPr>
                <w:rFonts w:ascii="Arial" w:hAnsi="Arial" w:cs="Arial"/>
                <w:color w:val="FF0000"/>
                <w:sz w:val="16"/>
                <w:vertAlign w:val="superscript"/>
              </w:rPr>
              <w:t>3</w:t>
            </w:r>
            <w:r w:rsidRPr="00FE06DB">
              <w:rPr>
                <w:rFonts w:ascii="Arial" w:hAnsi="Arial" w:cs="Arial"/>
                <w:color w:val="FF0000"/>
                <w:sz w:val="16"/>
              </w:rPr>
              <w:t xml:space="preserve">) </w:t>
            </w:r>
            <w:r w:rsidRPr="002A0131">
              <w:rPr>
                <w:rFonts w:ascii="Arial" w:hAnsi="Arial" w:cs="Arial"/>
                <w:sz w:val="16"/>
              </w:rPr>
              <w:t>on baseline screening</w:t>
            </w:r>
          </w:p>
        </w:tc>
        <w:tc>
          <w:tcPr>
            <w:tcW w:w="2340" w:type="dxa"/>
            <w:vMerge/>
            <w:tcBorders>
              <w:left w:val="single" w:sz="8" w:space="0" w:color="000000"/>
            </w:tcBorders>
          </w:tcPr>
          <w:p w:rsidR="002E52D8" w:rsidRPr="00DD26C6" w:rsidRDefault="002E52D8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</w:tcPr>
          <w:p w:rsidR="002E52D8" w:rsidRPr="00DD26C6" w:rsidRDefault="002E52D8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  <w:vAlign w:val="center"/>
          </w:tcPr>
          <w:p w:rsidR="002E52D8" w:rsidRPr="00DD26C6" w:rsidRDefault="002E52D8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</w:tr>
      <w:tr w:rsidR="002E52D8" w:rsidRPr="002A0131" w:rsidTr="004E48D7">
        <w:trPr>
          <w:trHeight w:val="539"/>
        </w:trPr>
        <w:tc>
          <w:tcPr>
            <w:tcW w:w="1890" w:type="dxa"/>
            <w:vMerge/>
            <w:shd w:val="clear" w:color="auto" w:fill="70AD47"/>
          </w:tcPr>
          <w:p w:rsidR="002E52D8" w:rsidRPr="002A0131" w:rsidRDefault="002E52D8" w:rsidP="00C42CA9">
            <w:pPr>
              <w:jc w:val="center"/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810" w:type="dxa"/>
            <w:vMerge/>
            <w:shd w:val="clear" w:color="auto" w:fill="70AD47"/>
          </w:tcPr>
          <w:p w:rsidR="002E52D8" w:rsidRPr="002A0131" w:rsidRDefault="002E52D8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3330" w:type="dxa"/>
            <w:tcBorders>
              <w:top w:val="single" w:sz="2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2E52D8" w:rsidRPr="002A0131" w:rsidRDefault="002E52D8" w:rsidP="00C42CA9">
            <w:pPr>
              <w:pStyle w:val="TableParagraph"/>
              <w:ind w:left="22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Non solid nodule(s) (GGN):</w:t>
            </w:r>
          </w:p>
          <w:p w:rsidR="002E52D8" w:rsidRPr="002A0131" w:rsidRDefault="002E52D8" w:rsidP="00C42CA9">
            <w:pPr>
              <w:pStyle w:val="TableParagraph"/>
              <w:ind w:left="267"/>
              <w:rPr>
                <w:rFonts w:ascii="Arial" w:hAnsi="Arial" w:cs="Arial"/>
                <w:sz w:val="16"/>
              </w:rPr>
            </w:pPr>
            <w:r w:rsidRPr="00D914E5">
              <w:rPr>
                <w:rFonts w:ascii="Arial" w:hAnsi="Arial" w:cs="Arial"/>
                <w:sz w:val="16"/>
                <w:highlight w:val="yellow"/>
              </w:rPr>
              <w:t>&lt;30 mm</w:t>
            </w:r>
            <w:r w:rsidRPr="00D914E5">
              <w:rPr>
                <w:rFonts w:ascii="Arial" w:hAnsi="Arial" w:cs="Arial"/>
                <w:sz w:val="16"/>
              </w:rPr>
              <w:t xml:space="preserve"> </w:t>
            </w:r>
            <w:r w:rsidRPr="00FE06DB">
              <w:rPr>
                <w:rFonts w:ascii="Arial" w:hAnsi="Arial" w:cs="Arial"/>
                <w:color w:val="FF0000"/>
                <w:sz w:val="16"/>
              </w:rPr>
              <w:t>(&lt;14137.2 mm</w:t>
            </w:r>
            <w:r w:rsidRPr="00FE06DB">
              <w:rPr>
                <w:rFonts w:ascii="Arial" w:hAnsi="Arial" w:cs="Arial"/>
                <w:color w:val="FF0000"/>
                <w:sz w:val="16"/>
                <w:vertAlign w:val="superscript"/>
              </w:rPr>
              <w:t>3</w:t>
            </w:r>
            <w:r w:rsidRPr="00FE06DB">
              <w:rPr>
                <w:rFonts w:ascii="Arial" w:hAnsi="Arial" w:cs="Arial"/>
                <w:color w:val="FF0000"/>
                <w:sz w:val="16"/>
              </w:rPr>
              <w:t xml:space="preserve">) </w:t>
            </w:r>
            <w:r w:rsidRPr="002A0131">
              <w:rPr>
                <w:rFonts w:ascii="Arial" w:hAnsi="Arial" w:cs="Arial"/>
                <w:b/>
                <w:sz w:val="16"/>
              </w:rPr>
              <w:t>OR</w:t>
            </w:r>
          </w:p>
          <w:p w:rsidR="002E52D8" w:rsidRPr="002A0131" w:rsidRDefault="002E52D8" w:rsidP="00C42CA9">
            <w:pPr>
              <w:pStyle w:val="TableParagraph"/>
              <w:ind w:left="269"/>
              <w:rPr>
                <w:rFonts w:ascii="Arial" w:hAnsi="Arial" w:cs="Arial"/>
                <w:b/>
                <w:sz w:val="16"/>
              </w:rPr>
            </w:pPr>
            <w:r w:rsidRPr="00D914E5">
              <w:rPr>
                <w:rFonts w:ascii="Arial" w:hAnsi="Arial" w:cs="Arial"/>
                <w:sz w:val="16"/>
                <w:highlight w:val="yellow"/>
              </w:rPr>
              <w:t>≥ 30 mm</w:t>
            </w:r>
            <w:r w:rsidRPr="00D914E5">
              <w:rPr>
                <w:rFonts w:ascii="Arial" w:hAnsi="Arial" w:cs="Arial"/>
                <w:sz w:val="16"/>
              </w:rPr>
              <w:t xml:space="preserve"> </w:t>
            </w:r>
            <w:r w:rsidRPr="00FE06DB">
              <w:rPr>
                <w:rFonts w:ascii="Arial" w:hAnsi="Arial" w:cs="Arial"/>
                <w:color w:val="FF0000"/>
                <w:sz w:val="16"/>
              </w:rPr>
              <w:t>(≥ 14137.2 mm</w:t>
            </w:r>
            <w:r w:rsidRPr="00FE06DB">
              <w:rPr>
                <w:rFonts w:ascii="Arial" w:hAnsi="Arial" w:cs="Arial"/>
                <w:color w:val="FF0000"/>
                <w:sz w:val="16"/>
                <w:vertAlign w:val="superscript"/>
              </w:rPr>
              <w:t>3</w:t>
            </w:r>
            <w:r w:rsidRPr="00FE06DB">
              <w:rPr>
                <w:rFonts w:ascii="Arial" w:hAnsi="Arial" w:cs="Arial"/>
                <w:color w:val="FF0000"/>
                <w:sz w:val="16"/>
              </w:rPr>
              <w:t xml:space="preserve">) </w:t>
            </w:r>
            <w:r w:rsidRPr="002A0131">
              <w:rPr>
                <w:rFonts w:ascii="Arial" w:hAnsi="Arial" w:cs="Arial"/>
                <w:sz w:val="16"/>
              </w:rPr>
              <w:t>and unchanged or slowly growing</w:t>
            </w:r>
          </w:p>
        </w:tc>
        <w:tc>
          <w:tcPr>
            <w:tcW w:w="2340" w:type="dxa"/>
            <w:vMerge/>
            <w:tcBorders>
              <w:left w:val="single" w:sz="8" w:space="0" w:color="000000"/>
            </w:tcBorders>
          </w:tcPr>
          <w:p w:rsidR="002E52D8" w:rsidRPr="00DD26C6" w:rsidRDefault="002E52D8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</w:tcPr>
          <w:p w:rsidR="002E52D8" w:rsidRPr="00DD26C6" w:rsidRDefault="002E52D8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  <w:vAlign w:val="center"/>
          </w:tcPr>
          <w:p w:rsidR="002E52D8" w:rsidRPr="00DD26C6" w:rsidRDefault="002E52D8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</w:tr>
      <w:tr w:rsidR="002E52D8" w:rsidRPr="002A0131" w:rsidTr="004E48D7">
        <w:trPr>
          <w:trHeight w:val="185"/>
        </w:trPr>
        <w:tc>
          <w:tcPr>
            <w:tcW w:w="1890" w:type="dxa"/>
            <w:vMerge/>
            <w:shd w:val="clear" w:color="auto" w:fill="70AD47"/>
          </w:tcPr>
          <w:p w:rsidR="002E52D8" w:rsidRPr="002A0131" w:rsidRDefault="002E52D8" w:rsidP="00C42CA9">
            <w:pPr>
              <w:jc w:val="center"/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810" w:type="dxa"/>
            <w:vMerge/>
            <w:shd w:val="clear" w:color="auto" w:fill="70AD47"/>
          </w:tcPr>
          <w:p w:rsidR="002E52D8" w:rsidRPr="002A0131" w:rsidRDefault="002E52D8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2E52D8" w:rsidRPr="002A0131" w:rsidRDefault="002E52D8" w:rsidP="00C42CA9">
            <w:pPr>
              <w:pStyle w:val="TableParagraph"/>
              <w:ind w:left="23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Category 3 or 4 nodules unchanged for ≥ 3 months</w:t>
            </w:r>
          </w:p>
        </w:tc>
        <w:tc>
          <w:tcPr>
            <w:tcW w:w="2340" w:type="dxa"/>
            <w:vMerge/>
            <w:tcBorders>
              <w:left w:val="single" w:sz="8" w:space="0" w:color="000000"/>
            </w:tcBorders>
          </w:tcPr>
          <w:p w:rsidR="002E52D8" w:rsidRPr="00DD26C6" w:rsidRDefault="002E52D8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</w:tcPr>
          <w:p w:rsidR="002E52D8" w:rsidRPr="00DD26C6" w:rsidRDefault="002E52D8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  <w:vAlign w:val="center"/>
          </w:tcPr>
          <w:p w:rsidR="002E52D8" w:rsidRPr="00DD26C6" w:rsidRDefault="002E52D8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</w:tr>
      <w:tr w:rsidR="00FA0AC0" w:rsidRPr="002A0131" w:rsidTr="00C42CA9">
        <w:trPr>
          <w:trHeight w:val="672"/>
        </w:trPr>
        <w:tc>
          <w:tcPr>
            <w:tcW w:w="1890" w:type="dxa"/>
            <w:vMerge w:val="restart"/>
            <w:shd w:val="clear" w:color="auto" w:fill="FFFF00"/>
            <w:vAlign w:val="center"/>
          </w:tcPr>
          <w:p w:rsidR="00FA0AC0" w:rsidRDefault="00FA0AC0" w:rsidP="00C42CA9">
            <w:pPr>
              <w:pStyle w:val="TableParagraph"/>
              <w:ind w:right="60"/>
              <w:jc w:val="center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Probably Benign</w:t>
            </w:r>
          </w:p>
          <w:p w:rsidR="00FA0AC0" w:rsidRPr="002A0131" w:rsidRDefault="00FA0AC0" w:rsidP="00C42CA9">
            <w:pPr>
              <w:pStyle w:val="TableParagraph"/>
              <w:ind w:right="60"/>
              <w:jc w:val="center"/>
              <w:rPr>
                <w:rFonts w:ascii="Arial" w:hAnsi="Arial" w:cs="Arial"/>
                <w:b/>
                <w:sz w:val="16"/>
              </w:rPr>
            </w:pPr>
          </w:p>
          <w:p w:rsidR="00FA0AC0" w:rsidRPr="002A0131" w:rsidRDefault="00FA0AC0" w:rsidP="00C42CA9">
            <w:pPr>
              <w:pStyle w:val="TableParagraph"/>
              <w:ind w:right="60"/>
              <w:jc w:val="center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sz w:val="16"/>
                <w:szCs w:val="12"/>
              </w:rPr>
              <w:t xml:space="preserve">Probably benign finding(s) </w:t>
            </w:r>
            <w:r w:rsidRPr="002A0131">
              <w:rPr>
                <w:rFonts w:ascii="Cambria Math" w:hAnsi="Cambria Math" w:cs="Cambria Math"/>
                <w:sz w:val="16"/>
                <w:szCs w:val="12"/>
              </w:rPr>
              <w:t>‐</w:t>
            </w:r>
            <w:r w:rsidRPr="002A0131">
              <w:rPr>
                <w:rFonts w:ascii="Arial" w:hAnsi="Arial" w:cs="Arial"/>
                <w:sz w:val="16"/>
                <w:szCs w:val="12"/>
              </w:rPr>
              <w:t xml:space="preserve"> short term follow up suggested; includes nodules with a low likelihood of becoming a clinically active cancer</w:t>
            </w:r>
          </w:p>
        </w:tc>
        <w:tc>
          <w:tcPr>
            <w:tcW w:w="810" w:type="dxa"/>
            <w:vMerge w:val="restart"/>
            <w:shd w:val="clear" w:color="auto" w:fill="FFFF00"/>
            <w:vAlign w:val="center"/>
          </w:tcPr>
          <w:p w:rsidR="00FA0AC0" w:rsidRPr="002A0131" w:rsidRDefault="00FA0AC0" w:rsidP="00C42CA9">
            <w:pPr>
              <w:pStyle w:val="TableParagraph"/>
              <w:jc w:val="center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3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</w:tcPr>
          <w:p w:rsidR="00FA0AC0" w:rsidRPr="002A0131" w:rsidRDefault="00FA0AC0" w:rsidP="00C42CA9">
            <w:pPr>
              <w:pStyle w:val="TableParagraph"/>
              <w:ind w:left="23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Solid nodule(s):</w:t>
            </w:r>
          </w:p>
          <w:p w:rsidR="00FA0AC0" w:rsidRPr="002A0131" w:rsidRDefault="00FA0AC0" w:rsidP="00C42CA9">
            <w:pPr>
              <w:pStyle w:val="TableParagraph"/>
              <w:ind w:left="240" w:right="78" w:firstLine="19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 xml:space="preserve">≥ 6 to &lt; 8 mm </w:t>
            </w:r>
            <w:r w:rsidR="00235BDB" w:rsidRPr="00FE06DB">
              <w:rPr>
                <w:rFonts w:ascii="Arial" w:hAnsi="Arial" w:cs="Arial"/>
                <w:color w:val="FF0000"/>
                <w:sz w:val="16"/>
              </w:rPr>
              <w:t xml:space="preserve">(≥ 113.1 to </w:t>
            </w:r>
            <w:r w:rsidR="00004BFB" w:rsidRPr="00FE06DB">
              <w:rPr>
                <w:rFonts w:ascii="Arial" w:hAnsi="Arial" w:cs="Arial"/>
                <w:color w:val="FF0000"/>
                <w:sz w:val="16"/>
              </w:rPr>
              <w:t xml:space="preserve">&lt; 268.1 </w:t>
            </w:r>
            <w:r w:rsidR="00235BDB" w:rsidRPr="00FE06DB">
              <w:rPr>
                <w:rFonts w:ascii="Arial" w:hAnsi="Arial" w:cs="Arial"/>
                <w:color w:val="FF0000"/>
                <w:sz w:val="16"/>
              </w:rPr>
              <w:t>mm</w:t>
            </w:r>
            <w:r w:rsidR="00235BDB" w:rsidRPr="00FE06DB">
              <w:rPr>
                <w:rFonts w:ascii="Arial" w:hAnsi="Arial" w:cs="Arial"/>
                <w:color w:val="FF0000"/>
                <w:sz w:val="16"/>
                <w:vertAlign w:val="superscript"/>
              </w:rPr>
              <w:t>3</w:t>
            </w:r>
            <w:r w:rsidR="00235BDB" w:rsidRPr="00FE06DB">
              <w:rPr>
                <w:rFonts w:ascii="Arial" w:hAnsi="Arial" w:cs="Arial"/>
                <w:color w:val="FF0000"/>
                <w:sz w:val="16"/>
              </w:rPr>
              <w:t>)</w:t>
            </w:r>
            <w:r w:rsidR="00F3566D" w:rsidRPr="00FE06DB">
              <w:rPr>
                <w:rFonts w:ascii="Arial" w:hAnsi="Arial" w:cs="Arial"/>
                <w:color w:val="FF0000"/>
                <w:sz w:val="16"/>
              </w:rPr>
              <w:t xml:space="preserve"> </w:t>
            </w:r>
            <w:r w:rsidRPr="002A0131">
              <w:rPr>
                <w:rFonts w:ascii="Arial" w:hAnsi="Arial" w:cs="Arial"/>
                <w:sz w:val="16"/>
              </w:rPr>
              <w:t xml:space="preserve">at baseline </w:t>
            </w:r>
            <w:r w:rsidRPr="002A0131">
              <w:rPr>
                <w:rFonts w:ascii="Arial" w:hAnsi="Arial" w:cs="Arial"/>
                <w:b/>
                <w:sz w:val="16"/>
              </w:rPr>
              <w:t>OR</w:t>
            </w:r>
            <w:r w:rsidRPr="002A0131">
              <w:rPr>
                <w:rFonts w:ascii="Arial" w:hAnsi="Arial" w:cs="Arial"/>
                <w:sz w:val="16"/>
              </w:rPr>
              <w:t xml:space="preserve"> </w:t>
            </w:r>
          </w:p>
          <w:p w:rsidR="00FA0AC0" w:rsidRPr="00630098" w:rsidRDefault="00FA0AC0" w:rsidP="006F67E5">
            <w:pPr>
              <w:pStyle w:val="TableParagraph"/>
              <w:ind w:left="240" w:right="-10" w:firstLine="28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new 4 mm to &lt; 6 mm</w:t>
            </w:r>
            <w:r w:rsidR="00235BDB">
              <w:rPr>
                <w:rFonts w:ascii="Arial" w:hAnsi="Arial" w:cs="Arial"/>
                <w:sz w:val="16"/>
              </w:rPr>
              <w:t xml:space="preserve"> </w:t>
            </w:r>
            <w:r w:rsidR="00235BDB" w:rsidRPr="00FE06DB">
              <w:rPr>
                <w:rFonts w:ascii="Arial" w:hAnsi="Arial" w:cs="Arial"/>
                <w:color w:val="FF0000"/>
                <w:sz w:val="16"/>
              </w:rPr>
              <w:t>(</w:t>
            </w:r>
            <w:r w:rsidR="006F67E5" w:rsidRPr="00FE06DB">
              <w:rPr>
                <w:rFonts w:ascii="Arial" w:hAnsi="Arial" w:cs="Arial"/>
                <w:color w:val="FF0000"/>
                <w:sz w:val="16"/>
              </w:rPr>
              <w:t xml:space="preserve">33.5 </w:t>
            </w:r>
            <w:r w:rsidR="00235BDB" w:rsidRPr="00FE06DB">
              <w:rPr>
                <w:rFonts w:ascii="Arial" w:hAnsi="Arial" w:cs="Arial"/>
                <w:color w:val="FF0000"/>
                <w:sz w:val="16"/>
              </w:rPr>
              <w:t xml:space="preserve">to &lt; </w:t>
            </w:r>
            <w:r w:rsidR="006F67E5" w:rsidRPr="00FE06DB">
              <w:rPr>
                <w:rFonts w:ascii="Arial" w:hAnsi="Arial" w:cs="Arial"/>
                <w:color w:val="FF0000"/>
                <w:sz w:val="16"/>
              </w:rPr>
              <w:t>113.1</w:t>
            </w:r>
            <w:r w:rsidR="00235BDB" w:rsidRPr="00FE06DB">
              <w:rPr>
                <w:rFonts w:ascii="Arial" w:hAnsi="Arial" w:cs="Arial"/>
                <w:color w:val="FF0000"/>
                <w:sz w:val="16"/>
              </w:rPr>
              <w:t>mm</w:t>
            </w:r>
            <w:r w:rsidR="00235BDB" w:rsidRPr="00FE06DB">
              <w:rPr>
                <w:rFonts w:ascii="Arial" w:hAnsi="Arial" w:cs="Arial"/>
                <w:color w:val="FF0000"/>
                <w:sz w:val="16"/>
                <w:vertAlign w:val="superscript"/>
              </w:rPr>
              <w:t>3</w:t>
            </w:r>
            <w:r w:rsidR="00235BDB" w:rsidRPr="00FE06DB">
              <w:rPr>
                <w:rFonts w:ascii="Arial" w:hAnsi="Arial" w:cs="Arial"/>
                <w:color w:val="FF0000"/>
                <w:sz w:val="16"/>
              </w:rPr>
              <w:t>)</w:t>
            </w:r>
          </w:p>
        </w:tc>
        <w:tc>
          <w:tcPr>
            <w:tcW w:w="2340" w:type="dxa"/>
            <w:vMerge w:val="restart"/>
            <w:tcBorders>
              <w:left w:val="single" w:sz="8" w:space="0" w:color="000000"/>
            </w:tcBorders>
            <w:vAlign w:val="center"/>
          </w:tcPr>
          <w:p w:rsidR="00FA0AC0" w:rsidRPr="00DD26C6" w:rsidRDefault="00FA0AC0" w:rsidP="00C42CA9">
            <w:pPr>
              <w:pStyle w:val="TableParagraph"/>
              <w:ind w:right="26"/>
              <w:jc w:val="center"/>
              <w:rPr>
                <w:rFonts w:ascii="Arial" w:hAnsi="Arial" w:cs="Arial"/>
                <w:sz w:val="16"/>
              </w:rPr>
            </w:pPr>
            <w:r w:rsidRPr="00DD26C6">
              <w:rPr>
                <w:rFonts w:ascii="Arial" w:hAnsi="Arial" w:cs="Arial"/>
                <w:sz w:val="16"/>
              </w:rPr>
              <w:t>6 month LDCT</w:t>
            </w:r>
          </w:p>
        </w:tc>
        <w:tc>
          <w:tcPr>
            <w:tcW w:w="990" w:type="dxa"/>
            <w:vMerge w:val="restart"/>
            <w:tcBorders>
              <w:left w:val="single" w:sz="8" w:space="0" w:color="000000"/>
            </w:tcBorders>
            <w:vAlign w:val="center"/>
          </w:tcPr>
          <w:p w:rsidR="00FA0AC0" w:rsidRPr="00DD26C6" w:rsidRDefault="00FA0AC0" w:rsidP="00C42CA9">
            <w:pPr>
              <w:pStyle w:val="TableParagraph"/>
              <w:ind w:right="26"/>
              <w:jc w:val="center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1</w:t>
            </w:r>
            <w:r w:rsidRPr="002A0131">
              <w:rPr>
                <w:rFonts w:ascii="Cambria Math" w:hAnsi="Cambria Math" w:cs="Cambria Math"/>
                <w:sz w:val="16"/>
              </w:rPr>
              <w:t>‐</w:t>
            </w:r>
            <w:r w:rsidRPr="002A0131">
              <w:rPr>
                <w:rFonts w:ascii="Arial" w:hAnsi="Arial" w:cs="Arial"/>
                <w:sz w:val="16"/>
              </w:rPr>
              <w:t>2%</w:t>
            </w:r>
          </w:p>
        </w:tc>
        <w:tc>
          <w:tcPr>
            <w:tcW w:w="990" w:type="dxa"/>
            <w:vMerge w:val="restart"/>
            <w:tcBorders>
              <w:left w:val="single" w:sz="8" w:space="0" w:color="000000"/>
            </w:tcBorders>
            <w:vAlign w:val="center"/>
          </w:tcPr>
          <w:p w:rsidR="00FA0AC0" w:rsidRPr="00DD26C6" w:rsidRDefault="00FA0AC0" w:rsidP="00C42CA9">
            <w:pPr>
              <w:pStyle w:val="TableParagraph"/>
              <w:ind w:right="26"/>
              <w:jc w:val="center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5%</w:t>
            </w:r>
          </w:p>
        </w:tc>
      </w:tr>
      <w:tr w:rsidR="00FA0AC0" w:rsidRPr="002A0131" w:rsidTr="00C42CA9">
        <w:trPr>
          <w:trHeight w:val="708"/>
        </w:trPr>
        <w:tc>
          <w:tcPr>
            <w:tcW w:w="1890" w:type="dxa"/>
            <w:vMerge/>
            <w:tcBorders>
              <w:top w:val="nil"/>
            </w:tcBorders>
            <w:shd w:val="clear" w:color="auto" w:fill="FFFF00"/>
          </w:tcPr>
          <w:p w:rsidR="00FA0AC0" w:rsidRPr="002A0131" w:rsidRDefault="00FA0AC0" w:rsidP="00C42CA9">
            <w:pPr>
              <w:jc w:val="center"/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810" w:type="dxa"/>
            <w:vMerge/>
            <w:shd w:val="clear" w:color="auto" w:fill="FFFF00"/>
          </w:tcPr>
          <w:p w:rsidR="00FA0AC0" w:rsidRPr="002A0131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3330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FA0AC0" w:rsidRPr="002A0131" w:rsidRDefault="00FA0AC0" w:rsidP="00C42CA9">
            <w:pPr>
              <w:pStyle w:val="TableParagraph"/>
              <w:ind w:left="22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Part solid nodule(s)</w:t>
            </w:r>
          </w:p>
          <w:p w:rsidR="00FA0AC0" w:rsidRPr="002A0131" w:rsidRDefault="00FA0AC0" w:rsidP="00C42CA9">
            <w:pPr>
              <w:pStyle w:val="TableParagraph"/>
              <w:ind w:left="269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≥ 6 mm total diameter</w:t>
            </w:r>
            <w:r w:rsidR="00235BDB">
              <w:rPr>
                <w:rFonts w:ascii="Arial" w:hAnsi="Arial" w:cs="Arial"/>
                <w:sz w:val="16"/>
              </w:rPr>
              <w:t xml:space="preserve"> </w:t>
            </w:r>
            <w:r w:rsidR="00235BDB" w:rsidRPr="00FE06DB">
              <w:rPr>
                <w:rFonts w:ascii="Arial" w:hAnsi="Arial" w:cs="Arial"/>
                <w:color w:val="FF0000"/>
                <w:sz w:val="16"/>
              </w:rPr>
              <w:t>(</w:t>
            </w:r>
            <w:r w:rsidR="005623B0" w:rsidRPr="00FE06DB">
              <w:rPr>
                <w:rFonts w:ascii="Arial" w:hAnsi="Arial" w:cs="Arial"/>
                <w:color w:val="FF0000"/>
                <w:sz w:val="16"/>
              </w:rPr>
              <w:t>≥ 113.1 mm</w:t>
            </w:r>
            <w:r w:rsidR="005623B0" w:rsidRPr="00FE06DB">
              <w:rPr>
                <w:rFonts w:ascii="Arial" w:hAnsi="Arial" w:cs="Arial"/>
                <w:color w:val="FF0000"/>
                <w:sz w:val="16"/>
                <w:vertAlign w:val="superscript"/>
              </w:rPr>
              <w:t>3</w:t>
            </w:r>
            <w:r w:rsidR="005623B0" w:rsidRPr="00FE06DB">
              <w:rPr>
                <w:rFonts w:ascii="Arial" w:hAnsi="Arial" w:cs="Arial"/>
                <w:color w:val="FF0000"/>
                <w:sz w:val="16"/>
              </w:rPr>
              <w:t>)</w:t>
            </w:r>
            <w:r w:rsidRPr="002A0131">
              <w:rPr>
                <w:rFonts w:ascii="Arial" w:hAnsi="Arial" w:cs="Arial"/>
                <w:sz w:val="16"/>
              </w:rPr>
              <w:t xml:space="preserve"> with solid component &lt; 6 mm</w:t>
            </w:r>
            <w:r w:rsidR="00893F0D">
              <w:rPr>
                <w:rFonts w:ascii="Arial" w:hAnsi="Arial" w:cs="Arial"/>
                <w:sz w:val="16"/>
              </w:rPr>
              <w:t xml:space="preserve"> </w:t>
            </w:r>
            <w:r w:rsidR="00893F0D" w:rsidRPr="00FE06DB">
              <w:rPr>
                <w:rFonts w:ascii="Arial" w:hAnsi="Arial" w:cs="Arial"/>
                <w:color w:val="FF0000"/>
                <w:sz w:val="16"/>
              </w:rPr>
              <w:t xml:space="preserve">(&lt; </w:t>
            </w:r>
            <w:r w:rsidR="005623B0" w:rsidRPr="00FE06DB">
              <w:rPr>
                <w:rFonts w:ascii="Arial" w:hAnsi="Arial" w:cs="Arial"/>
                <w:color w:val="FF0000"/>
                <w:sz w:val="16"/>
              </w:rPr>
              <w:t>113.1 mm</w:t>
            </w:r>
            <w:r w:rsidR="005623B0" w:rsidRPr="00FE06DB">
              <w:rPr>
                <w:rFonts w:ascii="Arial" w:hAnsi="Arial" w:cs="Arial"/>
                <w:color w:val="FF0000"/>
                <w:sz w:val="16"/>
                <w:vertAlign w:val="superscript"/>
              </w:rPr>
              <w:t>3</w:t>
            </w:r>
            <w:r w:rsidR="005623B0" w:rsidRPr="00FE06DB">
              <w:rPr>
                <w:rFonts w:ascii="Arial" w:hAnsi="Arial" w:cs="Arial"/>
                <w:color w:val="FF0000"/>
                <w:sz w:val="16"/>
              </w:rPr>
              <w:t>)</w:t>
            </w:r>
            <w:r w:rsidRPr="00FE06DB">
              <w:rPr>
                <w:rFonts w:ascii="Arial" w:hAnsi="Arial" w:cs="Arial"/>
                <w:color w:val="FF0000"/>
                <w:sz w:val="16"/>
              </w:rPr>
              <w:t xml:space="preserve"> </w:t>
            </w:r>
            <w:r w:rsidRPr="002A0131">
              <w:rPr>
                <w:rFonts w:ascii="Arial" w:hAnsi="Arial" w:cs="Arial"/>
                <w:b/>
                <w:sz w:val="16"/>
              </w:rPr>
              <w:t>OR</w:t>
            </w:r>
            <w:r w:rsidRPr="002A0131">
              <w:rPr>
                <w:rFonts w:ascii="Arial" w:hAnsi="Arial" w:cs="Arial"/>
                <w:sz w:val="16"/>
              </w:rPr>
              <w:t xml:space="preserve"> </w:t>
            </w:r>
          </w:p>
          <w:p w:rsidR="00FA0AC0" w:rsidRPr="00630098" w:rsidRDefault="00FA0AC0" w:rsidP="00C42CA9">
            <w:pPr>
              <w:pStyle w:val="TableParagraph"/>
              <w:ind w:left="259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new &lt; 6 mm total diameter</w:t>
            </w:r>
            <w:r w:rsidR="005623B0">
              <w:rPr>
                <w:rFonts w:ascii="Arial" w:hAnsi="Arial" w:cs="Arial"/>
                <w:sz w:val="16"/>
              </w:rPr>
              <w:t xml:space="preserve"> </w:t>
            </w:r>
            <w:r w:rsidR="005623B0" w:rsidRPr="00FE06DB">
              <w:rPr>
                <w:rFonts w:ascii="Arial" w:hAnsi="Arial" w:cs="Arial"/>
                <w:color w:val="FF0000"/>
                <w:sz w:val="16"/>
              </w:rPr>
              <w:t>(&lt; 113.1 mm</w:t>
            </w:r>
            <w:r w:rsidR="005623B0" w:rsidRPr="00FE06DB">
              <w:rPr>
                <w:rFonts w:ascii="Arial" w:hAnsi="Arial" w:cs="Arial"/>
                <w:color w:val="FF0000"/>
                <w:sz w:val="16"/>
                <w:vertAlign w:val="superscript"/>
              </w:rPr>
              <w:t>3</w:t>
            </w:r>
            <w:r w:rsidR="005623B0" w:rsidRPr="00FE06DB">
              <w:rPr>
                <w:rFonts w:ascii="Arial" w:hAnsi="Arial" w:cs="Arial"/>
                <w:color w:val="FF0000"/>
                <w:sz w:val="16"/>
              </w:rPr>
              <w:t>)</w:t>
            </w:r>
          </w:p>
        </w:tc>
        <w:tc>
          <w:tcPr>
            <w:tcW w:w="2340" w:type="dxa"/>
            <w:vMerge/>
            <w:tcBorders>
              <w:top w:val="nil"/>
              <w:left w:val="single" w:sz="8" w:space="0" w:color="000000"/>
            </w:tcBorders>
          </w:tcPr>
          <w:p w:rsidR="00FA0AC0" w:rsidRPr="00DD26C6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</w:tcPr>
          <w:p w:rsidR="00FA0AC0" w:rsidRPr="00DD26C6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  <w:vAlign w:val="center"/>
          </w:tcPr>
          <w:p w:rsidR="00FA0AC0" w:rsidRPr="00DD26C6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</w:tr>
      <w:tr w:rsidR="00FA0AC0" w:rsidRPr="002A0131" w:rsidTr="00C42CA9">
        <w:trPr>
          <w:trHeight w:val="492"/>
        </w:trPr>
        <w:tc>
          <w:tcPr>
            <w:tcW w:w="1890" w:type="dxa"/>
            <w:vMerge/>
            <w:tcBorders>
              <w:top w:val="nil"/>
            </w:tcBorders>
            <w:shd w:val="clear" w:color="auto" w:fill="FFFF00"/>
          </w:tcPr>
          <w:p w:rsidR="00FA0AC0" w:rsidRPr="002A0131" w:rsidRDefault="00FA0AC0" w:rsidP="00C42CA9">
            <w:pPr>
              <w:jc w:val="center"/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810" w:type="dxa"/>
            <w:vMerge/>
            <w:shd w:val="clear" w:color="auto" w:fill="FFFF00"/>
          </w:tcPr>
          <w:p w:rsidR="00FA0AC0" w:rsidRPr="002A0131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3330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FA0AC0" w:rsidRPr="002A0131" w:rsidRDefault="00FA0AC0" w:rsidP="00C42CA9">
            <w:pPr>
              <w:pStyle w:val="TableParagraph"/>
              <w:ind w:left="23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 xml:space="preserve">Non solid nodule(s) </w:t>
            </w:r>
          </w:p>
          <w:p w:rsidR="00FA0AC0" w:rsidRPr="002A0131" w:rsidRDefault="00FA0AC0" w:rsidP="003E5109">
            <w:pPr>
              <w:pStyle w:val="TableParagraph"/>
              <w:ind w:left="259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 xml:space="preserve">(GGN) </w:t>
            </w:r>
            <w:r w:rsidRPr="00D914E5">
              <w:rPr>
                <w:rFonts w:ascii="Arial" w:hAnsi="Arial" w:cs="Arial"/>
                <w:sz w:val="16"/>
                <w:highlight w:val="yellow"/>
              </w:rPr>
              <w:t xml:space="preserve">≥ </w:t>
            </w:r>
            <w:r w:rsidR="003E5109" w:rsidRPr="00D914E5">
              <w:rPr>
                <w:rFonts w:ascii="Arial" w:hAnsi="Arial" w:cs="Arial"/>
                <w:sz w:val="16"/>
                <w:highlight w:val="yellow"/>
              </w:rPr>
              <w:t>3</w:t>
            </w:r>
            <w:r w:rsidRPr="00D914E5">
              <w:rPr>
                <w:rFonts w:ascii="Arial" w:hAnsi="Arial" w:cs="Arial"/>
                <w:sz w:val="16"/>
                <w:highlight w:val="yellow"/>
              </w:rPr>
              <w:t>0 mm</w:t>
            </w:r>
            <w:r w:rsidR="00F3566D" w:rsidRPr="00D914E5">
              <w:rPr>
                <w:rFonts w:ascii="Arial" w:hAnsi="Arial" w:cs="Arial"/>
                <w:sz w:val="16"/>
              </w:rPr>
              <w:t xml:space="preserve"> </w:t>
            </w:r>
            <w:r w:rsidR="00F3566D" w:rsidRPr="00FE06DB">
              <w:rPr>
                <w:rFonts w:ascii="Arial" w:hAnsi="Arial" w:cs="Arial"/>
                <w:color w:val="FF0000"/>
                <w:sz w:val="16"/>
              </w:rPr>
              <w:t>(≥</w:t>
            </w:r>
            <w:r w:rsidR="004F65F2" w:rsidRPr="00FE06DB">
              <w:rPr>
                <w:rFonts w:ascii="Arial" w:hAnsi="Arial" w:cs="Arial"/>
                <w:color w:val="FF0000"/>
                <w:sz w:val="16"/>
              </w:rPr>
              <w:t xml:space="preserve"> </w:t>
            </w:r>
            <w:r w:rsidR="00F3566D" w:rsidRPr="00FE06DB">
              <w:rPr>
                <w:rFonts w:ascii="Arial" w:hAnsi="Arial" w:cs="Arial"/>
                <w:color w:val="FF0000"/>
                <w:sz w:val="16"/>
              </w:rPr>
              <w:t>14137.2 mm</w:t>
            </w:r>
            <w:r w:rsidR="00F3566D" w:rsidRPr="00FE06DB">
              <w:rPr>
                <w:rFonts w:ascii="Arial" w:hAnsi="Arial" w:cs="Arial"/>
                <w:color w:val="FF0000"/>
                <w:sz w:val="16"/>
                <w:vertAlign w:val="superscript"/>
              </w:rPr>
              <w:t>3</w:t>
            </w:r>
            <w:r w:rsidR="004F65F2">
              <w:rPr>
                <w:rFonts w:ascii="Arial" w:hAnsi="Arial" w:cs="Arial"/>
                <w:sz w:val="16"/>
              </w:rPr>
              <w:t>)</w:t>
            </w:r>
            <w:r w:rsidRPr="002A0131">
              <w:rPr>
                <w:rFonts w:ascii="Arial" w:hAnsi="Arial" w:cs="Arial"/>
                <w:sz w:val="16"/>
              </w:rPr>
              <w:t xml:space="preserve"> on baseline CT or new</w:t>
            </w:r>
          </w:p>
        </w:tc>
        <w:tc>
          <w:tcPr>
            <w:tcW w:w="2340" w:type="dxa"/>
            <w:vMerge/>
            <w:tcBorders>
              <w:top w:val="nil"/>
              <w:left w:val="single" w:sz="8" w:space="0" w:color="000000"/>
            </w:tcBorders>
          </w:tcPr>
          <w:p w:rsidR="00FA0AC0" w:rsidRPr="00DD26C6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</w:tcPr>
          <w:p w:rsidR="00FA0AC0" w:rsidRPr="00DD26C6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  <w:vAlign w:val="center"/>
          </w:tcPr>
          <w:p w:rsidR="00FA0AC0" w:rsidRPr="00DD26C6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</w:tr>
      <w:tr w:rsidR="00FA0AC0" w:rsidRPr="002A0131" w:rsidTr="00C42CA9">
        <w:trPr>
          <w:trHeight w:val="728"/>
        </w:trPr>
        <w:tc>
          <w:tcPr>
            <w:tcW w:w="1890" w:type="dxa"/>
            <w:vMerge w:val="restart"/>
            <w:shd w:val="clear" w:color="auto" w:fill="ED7D31"/>
            <w:vAlign w:val="center"/>
          </w:tcPr>
          <w:p w:rsidR="00FA0AC0" w:rsidRDefault="00FA0AC0" w:rsidP="00C42CA9">
            <w:pPr>
              <w:pStyle w:val="TableParagraph"/>
              <w:jc w:val="center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Suspicious</w:t>
            </w:r>
          </w:p>
          <w:p w:rsidR="00FA0AC0" w:rsidRPr="002A0131" w:rsidRDefault="00FA0AC0" w:rsidP="00C42CA9">
            <w:pPr>
              <w:pStyle w:val="TableParagraph"/>
              <w:jc w:val="center"/>
              <w:rPr>
                <w:rFonts w:ascii="Arial" w:hAnsi="Arial" w:cs="Arial"/>
                <w:b/>
                <w:sz w:val="16"/>
              </w:rPr>
            </w:pPr>
          </w:p>
          <w:p w:rsidR="00FA0AC0" w:rsidRPr="002A0131" w:rsidRDefault="00FA0AC0" w:rsidP="00C42CA9">
            <w:pPr>
              <w:pStyle w:val="TableParagraph"/>
              <w:jc w:val="center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sz w:val="16"/>
                <w:szCs w:val="12"/>
              </w:rPr>
              <w:t>Findings for which additional diagnostic testing is recommended</w:t>
            </w:r>
          </w:p>
        </w:tc>
        <w:tc>
          <w:tcPr>
            <w:tcW w:w="810" w:type="dxa"/>
            <w:vMerge w:val="restart"/>
            <w:shd w:val="clear" w:color="auto" w:fill="ED7D31"/>
            <w:vAlign w:val="center"/>
          </w:tcPr>
          <w:p w:rsidR="00FA0AC0" w:rsidRPr="002A0131" w:rsidRDefault="00FA0AC0" w:rsidP="00C42CA9">
            <w:pPr>
              <w:pStyle w:val="TableParagraph"/>
              <w:ind w:right="13"/>
              <w:jc w:val="center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4A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0AC0" w:rsidRPr="002A0131" w:rsidRDefault="00FA0AC0" w:rsidP="00C42CA9">
            <w:pPr>
              <w:pStyle w:val="TableParagraph"/>
              <w:ind w:left="23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Solid nodule(s):</w:t>
            </w:r>
          </w:p>
          <w:p w:rsidR="00FA0AC0" w:rsidRPr="002A0131" w:rsidRDefault="00FA0AC0" w:rsidP="00C42CA9">
            <w:pPr>
              <w:pStyle w:val="TableParagraph"/>
              <w:ind w:left="288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≥ 8 to &lt; 15 mm</w:t>
            </w:r>
            <w:r w:rsidR="00004BFB">
              <w:rPr>
                <w:rFonts w:ascii="Arial" w:hAnsi="Arial" w:cs="Arial"/>
                <w:sz w:val="16"/>
              </w:rPr>
              <w:t xml:space="preserve"> </w:t>
            </w:r>
            <w:r w:rsidR="00004BFB" w:rsidRPr="00FE06DB">
              <w:rPr>
                <w:rFonts w:ascii="Arial" w:hAnsi="Arial" w:cs="Arial"/>
                <w:color w:val="FF0000"/>
                <w:sz w:val="16"/>
              </w:rPr>
              <w:t>(</w:t>
            </w:r>
            <w:r w:rsidR="00F3566D" w:rsidRPr="00FE06DB">
              <w:rPr>
                <w:rFonts w:ascii="Arial" w:hAnsi="Arial" w:cs="Arial"/>
                <w:color w:val="FF0000"/>
                <w:sz w:val="16"/>
              </w:rPr>
              <w:t>≥ 268.1 to &lt; 1767.1 mm</w:t>
            </w:r>
            <w:r w:rsidR="00F3566D" w:rsidRPr="00FE06DB">
              <w:rPr>
                <w:rFonts w:ascii="Arial" w:hAnsi="Arial" w:cs="Arial"/>
                <w:color w:val="FF0000"/>
                <w:sz w:val="16"/>
                <w:vertAlign w:val="superscript"/>
              </w:rPr>
              <w:t>3</w:t>
            </w:r>
            <w:r w:rsidR="00F3566D" w:rsidRPr="00FE06DB">
              <w:rPr>
                <w:rFonts w:ascii="Arial" w:hAnsi="Arial" w:cs="Arial"/>
                <w:color w:val="FF0000"/>
                <w:sz w:val="16"/>
              </w:rPr>
              <w:t>)</w:t>
            </w:r>
            <w:r w:rsidRPr="00FE06DB">
              <w:rPr>
                <w:rFonts w:ascii="Arial" w:hAnsi="Arial" w:cs="Arial"/>
                <w:color w:val="FF0000"/>
                <w:sz w:val="16"/>
              </w:rPr>
              <w:t xml:space="preserve">  </w:t>
            </w:r>
            <w:r w:rsidRPr="002A0131">
              <w:rPr>
                <w:rFonts w:ascii="Arial" w:hAnsi="Arial" w:cs="Arial"/>
                <w:sz w:val="16"/>
              </w:rPr>
              <w:t xml:space="preserve">at baseline </w:t>
            </w:r>
            <w:r w:rsidRPr="002A0131">
              <w:rPr>
                <w:rFonts w:ascii="Arial" w:hAnsi="Arial" w:cs="Arial"/>
                <w:b/>
                <w:sz w:val="16"/>
              </w:rPr>
              <w:t>OR</w:t>
            </w:r>
            <w:r w:rsidRPr="002A0131">
              <w:rPr>
                <w:rFonts w:ascii="Arial" w:hAnsi="Arial" w:cs="Arial"/>
                <w:sz w:val="16"/>
              </w:rPr>
              <w:t xml:space="preserve"> </w:t>
            </w:r>
          </w:p>
          <w:p w:rsidR="00FA0AC0" w:rsidRPr="002A0131" w:rsidRDefault="00FA0AC0" w:rsidP="00C42CA9">
            <w:pPr>
              <w:pStyle w:val="TableParagraph"/>
              <w:ind w:left="288" w:right="85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 xml:space="preserve">growing &lt; 8 mm </w:t>
            </w:r>
            <w:r w:rsidR="00F3566D" w:rsidRPr="00FE06DB">
              <w:rPr>
                <w:rFonts w:ascii="Arial" w:hAnsi="Arial" w:cs="Arial"/>
                <w:color w:val="FF0000"/>
                <w:sz w:val="16"/>
              </w:rPr>
              <w:t>(&lt; 268.1 mm</w:t>
            </w:r>
            <w:r w:rsidR="00F3566D" w:rsidRPr="00FE06DB">
              <w:rPr>
                <w:rFonts w:ascii="Arial" w:hAnsi="Arial" w:cs="Arial"/>
                <w:color w:val="FF0000"/>
                <w:sz w:val="16"/>
                <w:vertAlign w:val="superscript"/>
              </w:rPr>
              <w:t>3</w:t>
            </w:r>
            <w:r w:rsidR="00F3566D" w:rsidRPr="00FE06DB">
              <w:rPr>
                <w:rFonts w:ascii="Arial" w:hAnsi="Arial" w:cs="Arial"/>
                <w:color w:val="FF0000"/>
                <w:sz w:val="16"/>
              </w:rPr>
              <w:t xml:space="preserve">) </w:t>
            </w:r>
            <w:r w:rsidRPr="00F3566D">
              <w:rPr>
                <w:rFonts w:ascii="Arial" w:hAnsi="Arial" w:cs="Arial"/>
                <w:b/>
                <w:sz w:val="16"/>
              </w:rPr>
              <w:t>OR</w:t>
            </w:r>
          </w:p>
          <w:p w:rsidR="00FA0AC0" w:rsidRPr="00630098" w:rsidRDefault="00FA0AC0" w:rsidP="005623B0">
            <w:pPr>
              <w:pStyle w:val="TableParagraph"/>
              <w:ind w:left="294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new 6 to &lt; 8 mm</w:t>
            </w:r>
            <w:r w:rsidR="005623B0">
              <w:rPr>
                <w:rFonts w:ascii="Arial" w:hAnsi="Arial" w:cs="Arial"/>
                <w:sz w:val="16"/>
              </w:rPr>
              <w:t xml:space="preserve"> </w:t>
            </w:r>
            <w:r w:rsidR="005623B0" w:rsidRPr="00FE06DB">
              <w:rPr>
                <w:rFonts w:ascii="Arial" w:hAnsi="Arial" w:cs="Arial"/>
                <w:color w:val="FF0000"/>
                <w:sz w:val="16"/>
              </w:rPr>
              <w:t xml:space="preserve">(113.1 to </w:t>
            </w:r>
            <w:r w:rsidR="00F3566D" w:rsidRPr="00FE06DB">
              <w:rPr>
                <w:rFonts w:ascii="Arial" w:hAnsi="Arial" w:cs="Arial"/>
                <w:color w:val="FF0000"/>
                <w:sz w:val="16"/>
              </w:rPr>
              <w:t xml:space="preserve">&lt; 268.1 </w:t>
            </w:r>
            <w:r w:rsidR="005623B0" w:rsidRPr="00FE06DB">
              <w:rPr>
                <w:rFonts w:ascii="Arial" w:hAnsi="Arial" w:cs="Arial"/>
                <w:color w:val="FF0000"/>
                <w:sz w:val="16"/>
              </w:rPr>
              <w:t>mm</w:t>
            </w:r>
            <w:r w:rsidR="005623B0" w:rsidRPr="00FE06DB">
              <w:rPr>
                <w:rFonts w:ascii="Arial" w:hAnsi="Arial" w:cs="Arial"/>
                <w:color w:val="FF0000"/>
                <w:sz w:val="16"/>
                <w:vertAlign w:val="superscript"/>
              </w:rPr>
              <w:t>3</w:t>
            </w:r>
            <w:r w:rsidR="005623B0" w:rsidRPr="00FE06DB">
              <w:rPr>
                <w:rFonts w:ascii="Arial" w:hAnsi="Arial" w:cs="Arial"/>
                <w:color w:val="FF0000"/>
                <w:sz w:val="16"/>
              </w:rPr>
              <w:t>)</w:t>
            </w:r>
          </w:p>
        </w:tc>
        <w:tc>
          <w:tcPr>
            <w:tcW w:w="2340" w:type="dxa"/>
            <w:vMerge w:val="restart"/>
            <w:tcBorders>
              <w:left w:val="single" w:sz="8" w:space="0" w:color="000000"/>
            </w:tcBorders>
            <w:vAlign w:val="center"/>
          </w:tcPr>
          <w:p w:rsidR="00FA0AC0" w:rsidRPr="00DD26C6" w:rsidRDefault="00FA0AC0" w:rsidP="00C42CA9">
            <w:pPr>
              <w:pStyle w:val="TableParagraph"/>
              <w:jc w:val="center"/>
              <w:rPr>
                <w:rFonts w:ascii="Arial" w:hAnsi="Arial" w:cs="Arial"/>
                <w:sz w:val="16"/>
              </w:rPr>
            </w:pPr>
            <w:r w:rsidRPr="00DD26C6">
              <w:rPr>
                <w:rFonts w:ascii="Arial" w:hAnsi="Arial" w:cs="Arial"/>
                <w:sz w:val="16"/>
              </w:rPr>
              <w:t>3 month LDCT; PET/CT may be used when there is a ≥ 8 mm</w:t>
            </w:r>
            <w:r w:rsidR="00F3566D">
              <w:rPr>
                <w:rFonts w:ascii="Arial" w:hAnsi="Arial" w:cs="Arial"/>
                <w:sz w:val="16"/>
              </w:rPr>
              <w:t xml:space="preserve"> (≥ </w:t>
            </w:r>
            <w:r w:rsidR="00F3566D" w:rsidRPr="00BE306F">
              <w:rPr>
                <w:rFonts w:ascii="Arial" w:hAnsi="Arial" w:cs="Arial"/>
                <w:sz w:val="16"/>
              </w:rPr>
              <w:t>268.1 mm</w:t>
            </w:r>
            <w:r w:rsidR="00F3566D" w:rsidRPr="00BE306F">
              <w:rPr>
                <w:rFonts w:ascii="Arial" w:hAnsi="Arial" w:cs="Arial"/>
                <w:sz w:val="16"/>
                <w:vertAlign w:val="superscript"/>
              </w:rPr>
              <w:t>3</w:t>
            </w:r>
            <w:r w:rsidR="00F3566D">
              <w:rPr>
                <w:rFonts w:ascii="Arial" w:hAnsi="Arial" w:cs="Arial"/>
                <w:sz w:val="16"/>
              </w:rPr>
              <w:t>)</w:t>
            </w:r>
            <w:r w:rsidRPr="00DD26C6">
              <w:rPr>
                <w:rFonts w:ascii="Arial" w:hAnsi="Arial" w:cs="Arial"/>
                <w:sz w:val="16"/>
              </w:rPr>
              <w:t xml:space="preserve"> solid component</w:t>
            </w:r>
          </w:p>
        </w:tc>
        <w:tc>
          <w:tcPr>
            <w:tcW w:w="990" w:type="dxa"/>
            <w:vMerge w:val="restart"/>
            <w:tcBorders>
              <w:left w:val="single" w:sz="8" w:space="0" w:color="000000"/>
            </w:tcBorders>
            <w:vAlign w:val="center"/>
          </w:tcPr>
          <w:p w:rsidR="00FA0AC0" w:rsidRPr="00DD26C6" w:rsidRDefault="00FA0AC0" w:rsidP="00C42CA9">
            <w:pPr>
              <w:pStyle w:val="TableParagraph"/>
              <w:jc w:val="center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5</w:t>
            </w:r>
            <w:r w:rsidRPr="002A0131">
              <w:rPr>
                <w:rFonts w:ascii="Cambria Math" w:hAnsi="Cambria Math" w:cs="Cambria Math"/>
                <w:sz w:val="16"/>
              </w:rPr>
              <w:t>‐</w:t>
            </w:r>
            <w:r w:rsidRPr="002A0131">
              <w:rPr>
                <w:rFonts w:ascii="Arial" w:hAnsi="Arial" w:cs="Arial"/>
                <w:sz w:val="16"/>
              </w:rPr>
              <w:t>15%</w:t>
            </w:r>
          </w:p>
        </w:tc>
        <w:tc>
          <w:tcPr>
            <w:tcW w:w="990" w:type="dxa"/>
            <w:vMerge w:val="restart"/>
            <w:tcBorders>
              <w:left w:val="single" w:sz="8" w:space="0" w:color="000000"/>
            </w:tcBorders>
            <w:vAlign w:val="center"/>
          </w:tcPr>
          <w:p w:rsidR="00FA0AC0" w:rsidRPr="00DD26C6" w:rsidRDefault="00FA0AC0" w:rsidP="00C42CA9">
            <w:pPr>
              <w:pStyle w:val="TableParagraph"/>
              <w:jc w:val="center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2%</w:t>
            </w:r>
          </w:p>
        </w:tc>
      </w:tr>
      <w:tr w:rsidR="00FA0AC0" w:rsidRPr="002A0131" w:rsidTr="00C42CA9">
        <w:trPr>
          <w:trHeight w:val="539"/>
        </w:trPr>
        <w:tc>
          <w:tcPr>
            <w:tcW w:w="1890" w:type="dxa"/>
            <w:vMerge/>
            <w:tcBorders>
              <w:top w:val="nil"/>
            </w:tcBorders>
            <w:shd w:val="clear" w:color="auto" w:fill="ED7D31"/>
          </w:tcPr>
          <w:p w:rsidR="00FA0AC0" w:rsidRPr="002A0131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810" w:type="dxa"/>
            <w:vMerge/>
            <w:shd w:val="clear" w:color="auto" w:fill="ED7D31"/>
          </w:tcPr>
          <w:p w:rsidR="00FA0AC0" w:rsidRPr="002A0131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33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0AC0" w:rsidRPr="002A0131" w:rsidRDefault="00FA0AC0" w:rsidP="00C42CA9">
            <w:pPr>
              <w:pStyle w:val="TableParagraph"/>
              <w:ind w:left="23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Part solid nodule(s</w:t>
            </w:r>
            <w:r w:rsidR="00F877F7">
              <w:rPr>
                <w:rFonts w:ascii="Arial" w:hAnsi="Arial" w:cs="Arial"/>
                <w:b/>
                <w:sz w:val="16"/>
              </w:rPr>
              <w:t>)</w:t>
            </w:r>
            <w:r w:rsidRPr="002A0131">
              <w:rPr>
                <w:rFonts w:ascii="Arial" w:hAnsi="Arial" w:cs="Arial"/>
                <w:b/>
                <w:sz w:val="16"/>
              </w:rPr>
              <w:t>:</w:t>
            </w:r>
          </w:p>
          <w:p w:rsidR="00FA0AC0" w:rsidRPr="002A0131" w:rsidRDefault="00FA0AC0" w:rsidP="00C42CA9">
            <w:pPr>
              <w:pStyle w:val="TableParagraph"/>
              <w:ind w:left="267" w:right="-10" w:firstLine="1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 xml:space="preserve">≥ 6 mm </w:t>
            </w:r>
            <w:r w:rsidR="005623B0" w:rsidRPr="00FE06DB">
              <w:rPr>
                <w:rFonts w:ascii="Arial" w:hAnsi="Arial" w:cs="Arial"/>
                <w:color w:val="FF0000"/>
                <w:sz w:val="16"/>
              </w:rPr>
              <w:t>(≥ 113.1 mm</w:t>
            </w:r>
            <w:r w:rsidR="005623B0" w:rsidRPr="00FE06DB">
              <w:rPr>
                <w:rFonts w:ascii="Arial" w:hAnsi="Arial" w:cs="Arial"/>
                <w:color w:val="FF0000"/>
                <w:sz w:val="16"/>
                <w:vertAlign w:val="superscript"/>
              </w:rPr>
              <w:t>3</w:t>
            </w:r>
            <w:r w:rsidR="005623B0" w:rsidRPr="00EC7C8D">
              <w:rPr>
                <w:rFonts w:ascii="Arial" w:hAnsi="Arial" w:cs="Arial"/>
                <w:color w:val="FF0000"/>
                <w:sz w:val="16"/>
              </w:rPr>
              <w:t>)</w:t>
            </w:r>
            <w:r w:rsidR="005623B0" w:rsidRPr="002A0131">
              <w:rPr>
                <w:rFonts w:ascii="Arial" w:hAnsi="Arial" w:cs="Arial"/>
                <w:sz w:val="16"/>
              </w:rPr>
              <w:t xml:space="preserve"> </w:t>
            </w:r>
            <w:r w:rsidRPr="002A0131">
              <w:rPr>
                <w:rFonts w:ascii="Arial" w:hAnsi="Arial" w:cs="Arial"/>
                <w:sz w:val="16"/>
              </w:rPr>
              <w:t>with solid component ≥ 6 mm to &lt; 8 mm</w:t>
            </w:r>
            <w:r w:rsidR="00A1522C">
              <w:rPr>
                <w:rFonts w:ascii="Arial" w:hAnsi="Arial" w:cs="Arial"/>
                <w:sz w:val="16"/>
              </w:rPr>
              <w:t xml:space="preserve"> </w:t>
            </w:r>
            <w:r w:rsidR="005623B0" w:rsidRPr="008E46E5">
              <w:rPr>
                <w:rFonts w:ascii="Arial" w:hAnsi="Arial" w:cs="Arial"/>
                <w:color w:val="FF0000"/>
                <w:sz w:val="16"/>
              </w:rPr>
              <w:t xml:space="preserve">(≥ 113.1 </w:t>
            </w:r>
            <w:r w:rsidR="00F3566D" w:rsidRPr="008E46E5">
              <w:rPr>
                <w:rFonts w:ascii="Arial" w:hAnsi="Arial" w:cs="Arial"/>
                <w:color w:val="FF0000"/>
                <w:sz w:val="16"/>
              </w:rPr>
              <w:t xml:space="preserve">to &lt; 268.1 </w:t>
            </w:r>
            <w:r w:rsidR="005623B0" w:rsidRPr="008E46E5">
              <w:rPr>
                <w:rFonts w:ascii="Arial" w:hAnsi="Arial" w:cs="Arial"/>
                <w:color w:val="FF0000"/>
                <w:sz w:val="16"/>
              </w:rPr>
              <w:t>mm</w:t>
            </w:r>
            <w:r w:rsidR="005623B0" w:rsidRPr="008E46E5">
              <w:rPr>
                <w:rFonts w:ascii="Arial" w:hAnsi="Arial" w:cs="Arial"/>
                <w:color w:val="FF0000"/>
                <w:sz w:val="16"/>
                <w:vertAlign w:val="superscript"/>
              </w:rPr>
              <w:t>3</w:t>
            </w:r>
            <w:r w:rsidR="005623B0" w:rsidRPr="008E46E5">
              <w:rPr>
                <w:rFonts w:ascii="Arial" w:hAnsi="Arial" w:cs="Arial"/>
                <w:color w:val="FF0000"/>
                <w:sz w:val="16"/>
              </w:rPr>
              <w:t>)</w:t>
            </w:r>
            <w:r w:rsidR="005623B0" w:rsidRPr="002A0131">
              <w:rPr>
                <w:rFonts w:ascii="Arial" w:hAnsi="Arial" w:cs="Arial"/>
                <w:sz w:val="16"/>
              </w:rPr>
              <w:t xml:space="preserve"> </w:t>
            </w:r>
            <w:r w:rsidRPr="002A0131">
              <w:rPr>
                <w:rFonts w:ascii="Arial" w:hAnsi="Arial" w:cs="Arial"/>
                <w:sz w:val="16"/>
              </w:rPr>
              <w:t xml:space="preserve"> </w:t>
            </w:r>
            <w:r w:rsidRPr="002A0131">
              <w:rPr>
                <w:rFonts w:ascii="Arial" w:hAnsi="Arial" w:cs="Arial"/>
                <w:b/>
                <w:sz w:val="16"/>
              </w:rPr>
              <w:t>OR</w:t>
            </w:r>
            <w:r w:rsidRPr="002A0131">
              <w:rPr>
                <w:rFonts w:ascii="Arial" w:hAnsi="Arial" w:cs="Arial"/>
                <w:sz w:val="16"/>
              </w:rPr>
              <w:t xml:space="preserve"> </w:t>
            </w:r>
          </w:p>
          <w:p w:rsidR="00A1522C" w:rsidRPr="00A1522C" w:rsidRDefault="00FA0AC0" w:rsidP="00A1522C">
            <w:pPr>
              <w:pStyle w:val="TableParagraph"/>
              <w:ind w:right="-100"/>
              <w:jc w:val="center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with a new or growing &lt; 4 mm</w:t>
            </w:r>
            <w:r w:rsidR="00A1522C">
              <w:rPr>
                <w:rFonts w:ascii="Arial" w:hAnsi="Arial" w:cs="Arial"/>
                <w:sz w:val="16"/>
              </w:rPr>
              <w:t xml:space="preserve"> </w:t>
            </w:r>
            <w:r w:rsidR="00A1522C" w:rsidRPr="00EC7C8D">
              <w:rPr>
                <w:rFonts w:ascii="Arial" w:hAnsi="Arial" w:cs="Arial"/>
                <w:color w:val="FF0000"/>
                <w:sz w:val="16"/>
              </w:rPr>
              <w:t>(&lt; 33.5 mm</w:t>
            </w:r>
            <w:r w:rsidR="00A1522C" w:rsidRPr="00EC7C8D">
              <w:rPr>
                <w:rFonts w:ascii="Arial" w:hAnsi="Arial" w:cs="Arial"/>
                <w:color w:val="FF0000"/>
                <w:sz w:val="16"/>
                <w:vertAlign w:val="superscript"/>
              </w:rPr>
              <w:t>3</w:t>
            </w:r>
            <w:r w:rsidR="00A1522C" w:rsidRPr="00EC7C8D">
              <w:rPr>
                <w:rFonts w:ascii="Arial" w:hAnsi="Arial" w:cs="Arial"/>
                <w:color w:val="FF0000"/>
                <w:sz w:val="16"/>
              </w:rPr>
              <w:t>)</w:t>
            </w:r>
          </w:p>
          <w:p w:rsidR="00FA0AC0" w:rsidRPr="002A0131" w:rsidRDefault="00FA0AC0" w:rsidP="00C42CA9">
            <w:pPr>
              <w:pStyle w:val="TableParagraph"/>
              <w:ind w:left="267" w:right="258" w:firstLine="1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 xml:space="preserve"> solid component</w:t>
            </w:r>
          </w:p>
        </w:tc>
        <w:tc>
          <w:tcPr>
            <w:tcW w:w="2340" w:type="dxa"/>
            <w:vMerge/>
            <w:tcBorders>
              <w:top w:val="nil"/>
              <w:left w:val="single" w:sz="8" w:space="0" w:color="000000"/>
            </w:tcBorders>
          </w:tcPr>
          <w:p w:rsidR="00FA0AC0" w:rsidRPr="00DD26C6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</w:tcPr>
          <w:p w:rsidR="00FA0AC0" w:rsidRPr="00DD26C6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  <w:vAlign w:val="center"/>
          </w:tcPr>
          <w:p w:rsidR="00FA0AC0" w:rsidRPr="00DD26C6" w:rsidRDefault="00FA0AC0" w:rsidP="00C42CA9">
            <w:pPr>
              <w:jc w:val="center"/>
              <w:rPr>
                <w:rFonts w:ascii="Arial" w:hAnsi="Arial" w:cs="Arial"/>
                <w:sz w:val="6"/>
                <w:szCs w:val="2"/>
              </w:rPr>
            </w:pPr>
          </w:p>
        </w:tc>
      </w:tr>
      <w:tr w:rsidR="00FA0AC0" w:rsidRPr="002A0131" w:rsidTr="00C42CA9">
        <w:trPr>
          <w:trHeight w:val="204"/>
        </w:trPr>
        <w:tc>
          <w:tcPr>
            <w:tcW w:w="1890" w:type="dxa"/>
            <w:vMerge/>
            <w:tcBorders>
              <w:top w:val="nil"/>
            </w:tcBorders>
            <w:shd w:val="clear" w:color="auto" w:fill="ED7D31"/>
          </w:tcPr>
          <w:p w:rsidR="00FA0AC0" w:rsidRPr="002A0131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810" w:type="dxa"/>
            <w:vMerge/>
            <w:shd w:val="clear" w:color="auto" w:fill="ED7D31"/>
          </w:tcPr>
          <w:p w:rsidR="00FA0AC0" w:rsidRPr="002A0131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3330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0AC0" w:rsidRPr="002A0131" w:rsidRDefault="00FA0AC0" w:rsidP="00C42CA9">
            <w:pPr>
              <w:pStyle w:val="TableParagraph"/>
              <w:ind w:left="23"/>
              <w:rPr>
                <w:rFonts w:ascii="Arial" w:hAnsi="Arial" w:cs="Arial"/>
                <w:b/>
                <w:sz w:val="16"/>
              </w:rPr>
            </w:pPr>
            <w:proofErr w:type="spellStart"/>
            <w:r w:rsidRPr="002A0131">
              <w:rPr>
                <w:rFonts w:ascii="Arial" w:hAnsi="Arial" w:cs="Arial"/>
                <w:b/>
                <w:sz w:val="16"/>
              </w:rPr>
              <w:t>Endobronchial</w:t>
            </w:r>
            <w:proofErr w:type="spellEnd"/>
            <w:r w:rsidRPr="002A0131">
              <w:rPr>
                <w:rFonts w:ascii="Arial" w:hAnsi="Arial" w:cs="Arial"/>
                <w:b/>
                <w:sz w:val="16"/>
              </w:rPr>
              <w:t xml:space="preserve"> nodule</w:t>
            </w:r>
          </w:p>
        </w:tc>
        <w:tc>
          <w:tcPr>
            <w:tcW w:w="2340" w:type="dxa"/>
            <w:vMerge/>
            <w:tcBorders>
              <w:top w:val="nil"/>
              <w:left w:val="single" w:sz="8" w:space="0" w:color="000000"/>
            </w:tcBorders>
          </w:tcPr>
          <w:p w:rsidR="00FA0AC0" w:rsidRPr="00DD26C6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</w:tcPr>
          <w:p w:rsidR="00FA0AC0" w:rsidRPr="00DD26C6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  <w:vAlign w:val="center"/>
          </w:tcPr>
          <w:p w:rsidR="00FA0AC0" w:rsidRPr="00DD26C6" w:rsidRDefault="00FA0AC0" w:rsidP="00C42CA9">
            <w:pPr>
              <w:jc w:val="center"/>
              <w:rPr>
                <w:rFonts w:ascii="Arial" w:hAnsi="Arial" w:cs="Arial"/>
                <w:sz w:val="6"/>
                <w:szCs w:val="2"/>
              </w:rPr>
            </w:pPr>
          </w:p>
        </w:tc>
      </w:tr>
      <w:tr w:rsidR="00FA0AC0" w:rsidRPr="002A0131" w:rsidTr="00C42CA9">
        <w:trPr>
          <w:trHeight w:val="618"/>
        </w:trPr>
        <w:tc>
          <w:tcPr>
            <w:tcW w:w="1890" w:type="dxa"/>
            <w:vMerge w:val="restart"/>
            <w:tcBorders>
              <w:top w:val="nil"/>
            </w:tcBorders>
            <w:shd w:val="clear" w:color="auto" w:fill="FF0000"/>
            <w:vAlign w:val="center"/>
          </w:tcPr>
          <w:p w:rsidR="00FA0AC0" w:rsidRDefault="005623B0" w:rsidP="00C42CA9">
            <w:pPr>
              <w:pStyle w:val="TableParagraph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Very </w:t>
            </w:r>
            <w:r w:rsidR="00FA0AC0" w:rsidRPr="002A0131">
              <w:rPr>
                <w:rFonts w:ascii="Arial" w:hAnsi="Arial" w:cs="Arial"/>
                <w:b/>
                <w:sz w:val="16"/>
              </w:rPr>
              <w:t>Suspicious</w:t>
            </w:r>
          </w:p>
          <w:p w:rsidR="00FA0AC0" w:rsidRPr="002A0131" w:rsidRDefault="00FA0AC0" w:rsidP="00C42CA9">
            <w:pPr>
              <w:pStyle w:val="TableParagraph"/>
              <w:jc w:val="center"/>
              <w:rPr>
                <w:rFonts w:ascii="Arial" w:hAnsi="Arial" w:cs="Arial"/>
                <w:b/>
                <w:sz w:val="16"/>
              </w:rPr>
            </w:pPr>
          </w:p>
          <w:p w:rsidR="00FA0AC0" w:rsidRPr="002A0131" w:rsidRDefault="00FA0AC0" w:rsidP="00C42CA9">
            <w:pPr>
              <w:jc w:val="center"/>
              <w:rPr>
                <w:rFonts w:ascii="Arial" w:hAnsi="Arial" w:cs="Arial"/>
                <w:sz w:val="6"/>
                <w:szCs w:val="2"/>
              </w:rPr>
            </w:pPr>
            <w:r w:rsidRPr="002A0131">
              <w:rPr>
                <w:rFonts w:ascii="Arial" w:hAnsi="Arial" w:cs="Arial"/>
                <w:sz w:val="16"/>
                <w:szCs w:val="12"/>
              </w:rPr>
              <w:t>Findings for which additional diagnostic testing and/or tissue sampling is recommended</w:t>
            </w:r>
          </w:p>
        </w:tc>
        <w:tc>
          <w:tcPr>
            <w:tcW w:w="810" w:type="dxa"/>
            <w:vMerge w:val="restart"/>
            <w:shd w:val="clear" w:color="auto" w:fill="FF0000"/>
            <w:vAlign w:val="center"/>
          </w:tcPr>
          <w:p w:rsidR="00FA0AC0" w:rsidRPr="002A0131" w:rsidRDefault="00FA0AC0" w:rsidP="00C42CA9">
            <w:pPr>
              <w:pStyle w:val="TableParagraph"/>
              <w:ind w:right="12"/>
              <w:jc w:val="center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4B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</w:tcPr>
          <w:p w:rsidR="00FA0AC0" w:rsidRPr="002A0131" w:rsidRDefault="00FA0AC0" w:rsidP="00C42CA9">
            <w:pPr>
              <w:pStyle w:val="TableParagraph"/>
              <w:ind w:left="23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Solid nodule(s)</w:t>
            </w:r>
          </w:p>
          <w:p w:rsidR="00FA0AC0" w:rsidRPr="002A0131" w:rsidRDefault="00FA0AC0" w:rsidP="00C42CA9">
            <w:pPr>
              <w:pStyle w:val="TableParagraph"/>
              <w:ind w:left="323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≥ 15 mm</w:t>
            </w:r>
            <w:r w:rsidR="00F3566D">
              <w:rPr>
                <w:rFonts w:ascii="Arial" w:hAnsi="Arial" w:cs="Arial"/>
                <w:sz w:val="16"/>
              </w:rPr>
              <w:t xml:space="preserve"> </w:t>
            </w:r>
            <w:r w:rsidR="00F3566D" w:rsidRPr="008E46E5">
              <w:rPr>
                <w:rFonts w:ascii="Arial" w:hAnsi="Arial" w:cs="Arial"/>
                <w:color w:val="FF0000"/>
                <w:sz w:val="16"/>
              </w:rPr>
              <w:t>(≥ 1767.1 mm</w:t>
            </w:r>
            <w:r w:rsidR="00F3566D" w:rsidRPr="008E46E5">
              <w:rPr>
                <w:rFonts w:ascii="Arial" w:hAnsi="Arial" w:cs="Arial"/>
                <w:color w:val="FF0000"/>
                <w:sz w:val="16"/>
                <w:vertAlign w:val="superscript"/>
              </w:rPr>
              <w:t>3</w:t>
            </w:r>
            <w:r w:rsidR="00F3566D" w:rsidRPr="008E46E5">
              <w:rPr>
                <w:rFonts w:ascii="Arial" w:hAnsi="Arial" w:cs="Arial"/>
                <w:color w:val="FF0000"/>
                <w:sz w:val="16"/>
              </w:rPr>
              <w:t>)</w:t>
            </w:r>
            <w:r w:rsidRPr="002A0131">
              <w:rPr>
                <w:rFonts w:ascii="Arial" w:hAnsi="Arial" w:cs="Arial"/>
                <w:sz w:val="16"/>
              </w:rPr>
              <w:t xml:space="preserve"> </w:t>
            </w:r>
            <w:r w:rsidRPr="002A0131">
              <w:rPr>
                <w:rFonts w:ascii="Arial" w:hAnsi="Arial" w:cs="Arial"/>
                <w:b/>
                <w:sz w:val="16"/>
              </w:rPr>
              <w:t>OR</w:t>
            </w:r>
          </w:p>
          <w:p w:rsidR="00FA0AC0" w:rsidRPr="00F3566D" w:rsidRDefault="00FA0AC0" w:rsidP="00C42CA9">
            <w:pPr>
              <w:pStyle w:val="TableParagraph"/>
              <w:ind w:left="322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new or growing, and ≥ 8 mm</w:t>
            </w:r>
            <w:r w:rsidR="00F3566D">
              <w:rPr>
                <w:rFonts w:ascii="Arial" w:hAnsi="Arial" w:cs="Arial"/>
                <w:sz w:val="16"/>
              </w:rPr>
              <w:t xml:space="preserve"> </w:t>
            </w:r>
            <w:r w:rsidR="00F3566D" w:rsidRPr="008E46E5">
              <w:rPr>
                <w:rFonts w:ascii="Arial" w:hAnsi="Arial" w:cs="Arial"/>
                <w:color w:val="FF0000"/>
                <w:sz w:val="16"/>
              </w:rPr>
              <w:t>(≥ 268.1 mm</w:t>
            </w:r>
            <w:r w:rsidR="00F3566D" w:rsidRPr="008E46E5">
              <w:rPr>
                <w:rFonts w:ascii="Arial" w:hAnsi="Arial" w:cs="Arial"/>
                <w:color w:val="FF0000"/>
                <w:sz w:val="16"/>
                <w:vertAlign w:val="superscript"/>
              </w:rPr>
              <w:t>3</w:t>
            </w:r>
            <w:r w:rsidR="00F3566D" w:rsidRPr="008E46E5">
              <w:rPr>
                <w:rFonts w:ascii="Arial" w:hAnsi="Arial" w:cs="Arial"/>
                <w:color w:val="FF0000"/>
                <w:sz w:val="16"/>
              </w:rPr>
              <w:t>)</w:t>
            </w:r>
          </w:p>
        </w:tc>
        <w:tc>
          <w:tcPr>
            <w:tcW w:w="2340" w:type="dxa"/>
            <w:vMerge w:val="restart"/>
            <w:tcBorders>
              <w:left w:val="single" w:sz="8" w:space="0" w:color="000000"/>
            </w:tcBorders>
            <w:vAlign w:val="center"/>
          </w:tcPr>
          <w:p w:rsidR="00FA0AC0" w:rsidRPr="00DD26C6" w:rsidRDefault="00FA0AC0" w:rsidP="00C42CA9">
            <w:pPr>
              <w:pStyle w:val="TableParagraph"/>
              <w:ind w:left="63" w:right="26"/>
              <w:jc w:val="center"/>
              <w:rPr>
                <w:rFonts w:ascii="Arial" w:hAnsi="Arial" w:cs="Arial"/>
                <w:sz w:val="16"/>
              </w:rPr>
            </w:pPr>
            <w:r w:rsidRPr="00DD26C6">
              <w:rPr>
                <w:rFonts w:ascii="Arial" w:hAnsi="Arial" w:cs="Arial"/>
                <w:sz w:val="16"/>
              </w:rPr>
              <w:t xml:space="preserve">Chest CT with or without contrast, PET/CT and/or tissue sampling depending on the *probability of malignancy and comorbidities. PET/CT may be used when there is a ≥ 8 </w:t>
            </w:r>
            <w:r w:rsidR="00F3566D" w:rsidRPr="00DD26C6">
              <w:rPr>
                <w:rFonts w:ascii="Arial" w:hAnsi="Arial" w:cs="Arial"/>
                <w:sz w:val="16"/>
              </w:rPr>
              <w:t xml:space="preserve">mm </w:t>
            </w:r>
            <w:r w:rsidR="00F3566D">
              <w:rPr>
                <w:rFonts w:ascii="Arial" w:hAnsi="Arial" w:cs="Arial"/>
                <w:sz w:val="16"/>
              </w:rPr>
              <w:t xml:space="preserve">(≥ </w:t>
            </w:r>
            <w:r w:rsidR="00F3566D" w:rsidRPr="00BE306F">
              <w:rPr>
                <w:rFonts w:ascii="Arial" w:hAnsi="Arial" w:cs="Arial"/>
                <w:sz w:val="16"/>
              </w:rPr>
              <w:t>268.1 mm</w:t>
            </w:r>
            <w:r w:rsidR="00F3566D" w:rsidRPr="00BE306F">
              <w:rPr>
                <w:rFonts w:ascii="Arial" w:hAnsi="Arial" w:cs="Arial"/>
                <w:sz w:val="16"/>
                <w:vertAlign w:val="superscript"/>
              </w:rPr>
              <w:t>3</w:t>
            </w:r>
            <w:r w:rsidR="00F3566D">
              <w:rPr>
                <w:rFonts w:ascii="Arial" w:hAnsi="Arial" w:cs="Arial"/>
                <w:sz w:val="16"/>
              </w:rPr>
              <w:t xml:space="preserve">) </w:t>
            </w:r>
            <w:r w:rsidRPr="00DD26C6">
              <w:rPr>
                <w:rFonts w:ascii="Arial" w:hAnsi="Arial" w:cs="Arial"/>
                <w:sz w:val="16"/>
              </w:rPr>
              <w:t xml:space="preserve">solid component. </w:t>
            </w:r>
            <w:r w:rsidRPr="00D914E5">
              <w:rPr>
                <w:rFonts w:ascii="Arial" w:hAnsi="Arial" w:cs="Arial"/>
                <w:i/>
                <w:iCs/>
                <w:sz w:val="16"/>
                <w:highlight w:val="yellow"/>
              </w:rPr>
              <w:t>For new large nodules that develop on an annual repeat screening CT, a 1 month LDCT may be recommended to address potentially infectious or inflammatory conditions</w:t>
            </w:r>
          </w:p>
        </w:tc>
        <w:tc>
          <w:tcPr>
            <w:tcW w:w="990" w:type="dxa"/>
            <w:vMerge w:val="restart"/>
            <w:tcBorders>
              <w:left w:val="single" w:sz="8" w:space="0" w:color="000000"/>
            </w:tcBorders>
            <w:vAlign w:val="center"/>
          </w:tcPr>
          <w:p w:rsidR="00FA0AC0" w:rsidRPr="00DD26C6" w:rsidRDefault="00FA0AC0" w:rsidP="00C42CA9">
            <w:pPr>
              <w:pStyle w:val="TableParagraph"/>
              <w:ind w:left="63" w:right="26"/>
              <w:jc w:val="center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&gt; 15%</w:t>
            </w:r>
          </w:p>
        </w:tc>
        <w:tc>
          <w:tcPr>
            <w:tcW w:w="990" w:type="dxa"/>
            <w:vMerge w:val="restart"/>
            <w:tcBorders>
              <w:left w:val="single" w:sz="8" w:space="0" w:color="000000"/>
            </w:tcBorders>
            <w:vAlign w:val="center"/>
          </w:tcPr>
          <w:p w:rsidR="00FA0AC0" w:rsidRPr="00DD26C6" w:rsidRDefault="00FA0AC0" w:rsidP="00C42CA9">
            <w:pPr>
              <w:pStyle w:val="TableParagraph"/>
              <w:ind w:left="63" w:right="26"/>
              <w:jc w:val="center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2%</w:t>
            </w:r>
          </w:p>
        </w:tc>
      </w:tr>
      <w:tr w:rsidR="00FA0AC0" w:rsidRPr="002A0131" w:rsidTr="00C42CA9">
        <w:trPr>
          <w:trHeight w:val="690"/>
        </w:trPr>
        <w:tc>
          <w:tcPr>
            <w:tcW w:w="1890" w:type="dxa"/>
            <w:vMerge/>
            <w:tcBorders>
              <w:top w:val="nil"/>
            </w:tcBorders>
            <w:shd w:val="clear" w:color="auto" w:fill="FF0000"/>
          </w:tcPr>
          <w:p w:rsidR="00FA0AC0" w:rsidRPr="002A0131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810" w:type="dxa"/>
            <w:vMerge/>
            <w:shd w:val="clear" w:color="auto" w:fill="FF0000"/>
          </w:tcPr>
          <w:p w:rsidR="00FA0AC0" w:rsidRPr="002A0131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33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0AC0" w:rsidRPr="002A0131" w:rsidRDefault="00FA0AC0" w:rsidP="00C42CA9">
            <w:pPr>
              <w:pStyle w:val="TableParagraph"/>
              <w:ind w:left="23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Part solid nodule(s) with:</w:t>
            </w:r>
          </w:p>
          <w:p w:rsidR="00FA0AC0" w:rsidRPr="002A0131" w:rsidRDefault="00FA0AC0" w:rsidP="00C42CA9">
            <w:pPr>
              <w:pStyle w:val="TableParagraph"/>
              <w:ind w:left="322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a solid component ≥ 8 mm</w:t>
            </w:r>
            <w:r w:rsidR="00F3566D">
              <w:rPr>
                <w:rFonts w:ascii="Arial" w:hAnsi="Arial" w:cs="Arial"/>
                <w:sz w:val="16"/>
              </w:rPr>
              <w:t xml:space="preserve"> </w:t>
            </w:r>
            <w:r w:rsidR="00F3566D" w:rsidRPr="008E46E5">
              <w:rPr>
                <w:rFonts w:ascii="Arial" w:hAnsi="Arial" w:cs="Arial"/>
                <w:color w:val="FF0000"/>
                <w:sz w:val="16"/>
              </w:rPr>
              <w:t>(≥ 268.1 mm</w:t>
            </w:r>
            <w:r w:rsidR="00F3566D" w:rsidRPr="008E46E5">
              <w:rPr>
                <w:rFonts w:ascii="Arial" w:hAnsi="Arial" w:cs="Arial"/>
                <w:color w:val="FF0000"/>
                <w:sz w:val="16"/>
                <w:vertAlign w:val="superscript"/>
              </w:rPr>
              <w:t>3</w:t>
            </w:r>
            <w:r w:rsidR="00F3566D" w:rsidRPr="008E46E5">
              <w:rPr>
                <w:rFonts w:ascii="Arial" w:hAnsi="Arial" w:cs="Arial"/>
                <w:color w:val="FF0000"/>
                <w:sz w:val="16"/>
              </w:rPr>
              <w:t>)</w:t>
            </w:r>
            <w:r w:rsidRPr="008E46E5">
              <w:rPr>
                <w:rFonts w:ascii="Arial" w:hAnsi="Arial" w:cs="Arial"/>
                <w:color w:val="FF0000"/>
                <w:sz w:val="16"/>
              </w:rPr>
              <w:t xml:space="preserve">  </w:t>
            </w:r>
            <w:r w:rsidRPr="002A0131">
              <w:rPr>
                <w:rFonts w:ascii="Arial" w:hAnsi="Arial" w:cs="Arial"/>
                <w:b/>
                <w:sz w:val="16"/>
              </w:rPr>
              <w:t>OR</w:t>
            </w:r>
          </w:p>
          <w:p w:rsidR="00FA0AC0" w:rsidRPr="002A0131" w:rsidRDefault="00FA0AC0" w:rsidP="00A1522C">
            <w:pPr>
              <w:pStyle w:val="TableParagraph"/>
              <w:ind w:left="322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a new or growing ≥ 4 mm</w:t>
            </w:r>
            <w:r w:rsidR="00235BDB">
              <w:rPr>
                <w:rFonts w:ascii="Arial" w:hAnsi="Arial" w:cs="Arial"/>
                <w:sz w:val="16"/>
              </w:rPr>
              <w:t xml:space="preserve"> </w:t>
            </w:r>
            <w:r w:rsidR="00235BDB" w:rsidRPr="008E46E5">
              <w:rPr>
                <w:rFonts w:ascii="Arial" w:hAnsi="Arial" w:cs="Arial"/>
                <w:color w:val="FF0000"/>
                <w:sz w:val="16"/>
              </w:rPr>
              <w:t>(</w:t>
            </w:r>
            <w:r w:rsidR="00F3566D" w:rsidRPr="008E46E5">
              <w:rPr>
                <w:rFonts w:ascii="Arial" w:hAnsi="Arial" w:cs="Arial"/>
                <w:color w:val="FF0000"/>
                <w:sz w:val="16"/>
              </w:rPr>
              <w:t xml:space="preserve">≥ </w:t>
            </w:r>
            <w:r w:rsidR="00235BDB" w:rsidRPr="008E46E5">
              <w:rPr>
                <w:rFonts w:ascii="Arial" w:hAnsi="Arial" w:cs="Arial"/>
                <w:color w:val="FF0000"/>
                <w:sz w:val="16"/>
              </w:rPr>
              <w:t>33.5 mm</w:t>
            </w:r>
            <w:r w:rsidR="00235BDB" w:rsidRPr="008E46E5">
              <w:rPr>
                <w:rFonts w:ascii="Arial" w:hAnsi="Arial" w:cs="Arial"/>
                <w:color w:val="FF0000"/>
                <w:sz w:val="16"/>
                <w:vertAlign w:val="superscript"/>
              </w:rPr>
              <w:t>3</w:t>
            </w:r>
            <w:r w:rsidR="00235BDB" w:rsidRPr="008E46E5">
              <w:rPr>
                <w:rFonts w:ascii="Arial" w:hAnsi="Arial" w:cs="Arial"/>
                <w:color w:val="FF0000"/>
                <w:sz w:val="16"/>
              </w:rPr>
              <w:t>)</w:t>
            </w:r>
            <w:r w:rsidRPr="008E46E5">
              <w:rPr>
                <w:rFonts w:ascii="Arial" w:hAnsi="Arial" w:cs="Arial"/>
                <w:color w:val="FF0000"/>
                <w:sz w:val="16"/>
              </w:rPr>
              <w:t xml:space="preserve"> </w:t>
            </w:r>
            <w:r w:rsidRPr="002A0131">
              <w:rPr>
                <w:rFonts w:ascii="Arial" w:hAnsi="Arial" w:cs="Arial"/>
                <w:sz w:val="16"/>
              </w:rPr>
              <w:t>solid component</w:t>
            </w:r>
          </w:p>
        </w:tc>
        <w:tc>
          <w:tcPr>
            <w:tcW w:w="2340" w:type="dxa"/>
            <w:vMerge/>
            <w:tcBorders>
              <w:top w:val="nil"/>
              <w:left w:val="single" w:sz="8" w:space="0" w:color="000000"/>
            </w:tcBorders>
          </w:tcPr>
          <w:p w:rsidR="00FA0AC0" w:rsidRPr="002A0131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</w:tcPr>
          <w:p w:rsidR="00FA0AC0" w:rsidRPr="002A0131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  <w:vAlign w:val="center"/>
          </w:tcPr>
          <w:p w:rsidR="00FA0AC0" w:rsidRPr="002A0131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</w:tr>
      <w:tr w:rsidR="00FA0AC0" w:rsidRPr="002A0131" w:rsidTr="00C42CA9">
        <w:trPr>
          <w:trHeight w:val="288"/>
        </w:trPr>
        <w:tc>
          <w:tcPr>
            <w:tcW w:w="1890" w:type="dxa"/>
            <w:vMerge/>
            <w:tcBorders>
              <w:top w:val="nil"/>
            </w:tcBorders>
            <w:shd w:val="clear" w:color="auto" w:fill="FF0000"/>
          </w:tcPr>
          <w:p w:rsidR="00FA0AC0" w:rsidRPr="002A0131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810" w:type="dxa"/>
            <w:tcBorders>
              <w:top w:val="single" w:sz="2" w:space="0" w:color="000000"/>
            </w:tcBorders>
            <w:shd w:val="clear" w:color="auto" w:fill="D70000"/>
            <w:vAlign w:val="center"/>
          </w:tcPr>
          <w:p w:rsidR="00FA0AC0" w:rsidRPr="002A0131" w:rsidRDefault="00FA0AC0" w:rsidP="00C42CA9">
            <w:pPr>
              <w:pStyle w:val="TableParagraph"/>
              <w:ind w:left="47" w:right="12"/>
              <w:jc w:val="center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4X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0AC0" w:rsidRPr="006A36D9" w:rsidRDefault="00FA0AC0" w:rsidP="00C42CA9">
            <w:pPr>
              <w:pStyle w:val="TableParagraph"/>
              <w:ind w:left="23"/>
              <w:rPr>
                <w:rFonts w:ascii="Arial" w:hAnsi="Arial" w:cs="Arial"/>
                <w:sz w:val="16"/>
              </w:rPr>
            </w:pPr>
            <w:r w:rsidRPr="006A36D9">
              <w:rPr>
                <w:rFonts w:ascii="Arial" w:hAnsi="Arial" w:cs="Arial"/>
                <w:sz w:val="16"/>
              </w:rPr>
              <w:t>Category 3 or 4 nodules with additional features or imaging findings that</w:t>
            </w:r>
          </w:p>
          <w:p w:rsidR="00FA0AC0" w:rsidRPr="002A0131" w:rsidRDefault="00FA0AC0" w:rsidP="00C42CA9">
            <w:pPr>
              <w:pStyle w:val="TableParagraph"/>
              <w:ind w:left="23"/>
              <w:rPr>
                <w:rFonts w:ascii="Arial" w:hAnsi="Arial" w:cs="Arial"/>
                <w:b/>
                <w:sz w:val="16"/>
              </w:rPr>
            </w:pPr>
            <w:r w:rsidRPr="006A36D9">
              <w:rPr>
                <w:rFonts w:ascii="Arial" w:hAnsi="Arial" w:cs="Arial"/>
                <w:sz w:val="16"/>
              </w:rPr>
              <w:t>increases the suspicion of malignancy</w:t>
            </w:r>
          </w:p>
        </w:tc>
        <w:tc>
          <w:tcPr>
            <w:tcW w:w="2340" w:type="dxa"/>
            <w:vMerge/>
            <w:tcBorders>
              <w:top w:val="nil"/>
              <w:left w:val="single" w:sz="8" w:space="0" w:color="000000"/>
            </w:tcBorders>
          </w:tcPr>
          <w:p w:rsidR="00FA0AC0" w:rsidRPr="002A0131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</w:tcPr>
          <w:p w:rsidR="00FA0AC0" w:rsidRPr="002A0131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</w:tcBorders>
            <w:vAlign w:val="center"/>
          </w:tcPr>
          <w:p w:rsidR="00FA0AC0" w:rsidRPr="002A0131" w:rsidRDefault="00FA0AC0" w:rsidP="00C42CA9">
            <w:pPr>
              <w:rPr>
                <w:rFonts w:ascii="Arial" w:hAnsi="Arial" w:cs="Arial"/>
                <w:sz w:val="6"/>
                <w:szCs w:val="2"/>
              </w:rPr>
            </w:pPr>
          </w:p>
        </w:tc>
      </w:tr>
      <w:tr w:rsidR="00FA0AC0" w:rsidRPr="002A0131" w:rsidTr="00C42CA9">
        <w:trPr>
          <w:trHeight w:val="529"/>
        </w:trPr>
        <w:tc>
          <w:tcPr>
            <w:tcW w:w="1890" w:type="dxa"/>
            <w:vAlign w:val="center"/>
          </w:tcPr>
          <w:p w:rsidR="00FA0AC0" w:rsidRPr="002A0131" w:rsidRDefault="00FA0AC0" w:rsidP="00C42CA9">
            <w:pPr>
              <w:pStyle w:val="TableParagraph"/>
              <w:ind w:left="87" w:right="59"/>
              <w:jc w:val="center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Other</w:t>
            </w:r>
          </w:p>
          <w:p w:rsidR="00FA0AC0" w:rsidRPr="002A0131" w:rsidRDefault="00FA0AC0" w:rsidP="00C42CA9">
            <w:pPr>
              <w:pStyle w:val="TableParagraph"/>
              <w:ind w:left="87" w:right="59"/>
              <w:jc w:val="center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sz w:val="16"/>
                <w:szCs w:val="12"/>
              </w:rPr>
              <w:t>Clinically Significant or Potentially Clinically Significant Findings (non lung cancer)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A0AC0" w:rsidRPr="002A0131" w:rsidRDefault="00FA0AC0" w:rsidP="00C42CA9">
            <w:pPr>
              <w:pStyle w:val="TableParagraph"/>
              <w:ind w:left="34"/>
              <w:jc w:val="center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>S</w:t>
            </w:r>
          </w:p>
        </w:tc>
        <w:tc>
          <w:tcPr>
            <w:tcW w:w="3330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FA0AC0" w:rsidRPr="002A0131" w:rsidRDefault="00FA0AC0" w:rsidP="00C42CA9">
            <w:pPr>
              <w:pStyle w:val="TableParagraph"/>
              <w:jc w:val="center"/>
              <w:rPr>
                <w:rFonts w:ascii="Arial" w:hAnsi="Arial" w:cs="Arial"/>
                <w:b/>
                <w:sz w:val="16"/>
              </w:rPr>
            </w:pPr>
            <w:r w:rsidRPr="002A0131">
              <w:rPr>
                <w:rFonts w:ascii="Arial" w:hAnsi="Arial" w:cs="Arial"/>
                <w:b/>
                <w:sz w:val="16"/>
              </w:rPr>
              <w:t xml:space="preserve">Modifier </w:t>
            </w:r>
            <w:r w:rsidRPr="002A0131">
              <w:rPr>
                <w:rFonts w:ascii="Cambria Math" w:hAnsi="Cambria Math" w:cs="Cambria Math"/>
                <w:b/>
                <w:sz w:val="16"/>
              </w:rPr>
              <w:t>‐</w:t>
            </w:r>
            <w:r w:rsidRPr="002A0131">
              <w:rPr>
                <w:rFonts w:ascii="Arial" w:hAnsi="Arial" w:cs="Arial"/>
                <w:b/>
                <w:sz w:val="16"/>
              </w:rPr>
              <w:t xml:space="preserve"> may add on to category 0</w:t>
            </w:r>
            <w:r w:rsidRPr="002A0131">
              <w:rPr>
                <w:rFonts w:ascii="Cambria Math" w:hAnsi="Cambria Math" w:cs="Cambria Math"/>
                <w:b/>
                <w:sz w:val="16"/>
              </w:rPr>
              <w:t>‐</w:t>
            </w:r>
            <w:r w:rsidRPr="002A0131">
              <w:rPr>
                <w:rFonts w:ascii="Arial" w:hAnsi="Arial" w:cs="Arial"/>
                <w:b/>
                <w:sz w:val="16"/>
              </w:rPr>
              <w:t>4 coding</w:t>
            </w:r>
          </w:p>
        </w:tc>
        <w:tc>
          <w:tcPr>
            <w:tcW w:w="2340" w:type="dxa"/>
            <w:tcBorders>
              <w:left w:val="single" w:sz="8" w:space="0" w:color="000000"/>
            </w:tcBorders>
            <w:vAlign w:val="center"/>
          </w:tcPr>
          <w:p w:rsidR="00FA0AC0" w:rsidRPr="00DD26C6" w:rsidRDefault="00FA0AC0" w:rsidP="00C42CA9">
            <w:pPr>
              <w:pStyle w:val="TableParagraph"/>
              <w:ind w:left="63" w:right="23"/>
              <w:jc w:val="center"/>
              <w:rPr>
                <w:rFonts w:ascii="Arial" w:hAnsi="Arial" w:cs="Arial"/>
                <w:sz w:val="16"/>
              </w:rPr>
            </w:pPr>
            <w:r w:rsidRPr="00DD26C6">
              <w:rPr>
                <w:rFonts w:ascii="Arial" w:hAnsi="Arial" w:cs="Arial"/>
                <w:sz w:val="16"/>
              </w:rPr>
              <w:t>As appropriate to the specific finding</w:t>
            </w:r>
          </w:p>
        </w:tc>
        <w:tc>
          <w:tcPr>
            <w:tcW w:w="990" w:type="dxa"/>
            <w:tcBorders>
              <w:left w:val="single" w:sz="8" w:space="0" w:color="000000"/>
            </w:tcBorders>
            <w:vAlign w:val="center"/>
          </w:tcPr>
          <w:p w:rsidR="00FA0AC0" w:rsidRPr="00DD26C6" w:rsidRDefault="00FA0AC0" w:rsidP="00C42CA9">
            <w:pPr>
              <w:pStyle w:val="TableParagraph"/>
              <w:ind w:left="63" w:right="23"/>
              <w:jc w:val="center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0" w:type="dxa"/>
            <w:tcBorders>
              <w:left w:val="single" w:sz="8" w:space="0" w:color="000000"/>
            </w:tcBorders>
            <w:vAlign w:val="center"/>
          </w:tcPr>
          <w:p w:rsidR="00FA0AC0" w:rsidRPr="00DD26C6" w:rsidRDefault="00FA0AC0" w:rsidP="00C42CA9">
            <w:pPr>
              <w:pStyle w:val="TableParagraph"/>
              <w:ind w:left="63" w:right="23"/>
              <w:jc w:val="center"/>
              <w:rPr>
                <w:rFonts w:ascii="Arial" w:hAnsi="Arial" w:cs="Arial"/>
                <w:sz w:val="16"/>
              </w:rPr>
            </w:pPr>
            <w:r w:rsidRPr="002A0131">
              <w:rPr>
                <w:rFonts w:ascii="Arial" w:hAnsi="Arial" w:cs="Arial"/>
                <w:sz w:val="16"/>
              </w:rPr>
              <w:t>10%</w:t>
            </w:r>
          </w:p>
        </w:tc>
      </w:tr>
    </w:tbl>
    <w:p w:rsidR="006F67E5" w:rsidRDefault="006F67E5" w:rsidP="005F005F">
      <w:pPr>
        <w:pStyle w:val="Heading1"/>
        <w:spacing w:before="99"/>
        <w:ind w:left="0"/>
        <w:rPr>
          <w:rFonts w:ascii="Arial" w:hAnsi="Arial" w:cs="Arial"/>
          <w:sz w:val="13"/>
          <w:szCs w:val="13"/>
        </w:rPr>
      </w:pPr>
    </w:p>
    <w:p w:rsidR="002C5F66" w:rsidRPr="00C13F66" w:rsidRDefault="0037654F" w:rsidP="005F005F">
      <w:pPr>
        <w:pStyle w:val="Heading1"/>
        <w:spacing w:before="99"/>
        <w:ind w:left="0"/>
        <w:rPr>
          <w:rFonts w:ascii="Arial" w:hAnsi="Arial" w:cs="Arial"/>
          <w:sz w:val="13"/>
          <w:szCs w:val="13"/>
        </w:rPr>
      </w:pPr>
      <w:r w:rsidRPr="00C13F66">
        <w:rPr>
          <w:rFonts w:ascii="Arial" w:hAnsi="Arial" w:cs="Arial"/>
          <w:sz w:val="13"/>
          <w:szCs w:val="13"/>
        </w:rPr>
        <w:t>IMPORTANT NOTES FOR USE:</w:t>
      </w:r>
    </w:p>
    <w:p w:rsidR="00FA0AC0" w:rsidRPr="00C13F66" w:rsidRDefault="00FA0AC0" w:rsidP="00FA0AC0">
      <w:pPr>
        <w:pStyle w:val="ListParagraph"/>
        <w:numPr>
          <w:ilvl w:val="0"/>
          <w:numId w:val="1"/>
        </w:numPr>
        <w:tabs>
          <w:tab w:val="left" w:pos="810"/>
        </w:tabs>
        <w:ind w:left="360" w:hanging="180"/>
        <w:rPr>
          <w:rFonts w:ascii="Arial" w:hAnsi="Arial" w:cs="Arial"/>
          <w:sz w:val="13"/>
          <w:szCs w:val="13"/>
        </w:rPr>
      </w:pPr>
      <w:r w:rsidRPr="00C13F66">
        <w:rPr>
          <w:rFonts w:ascii="Arial" w:hAnsi="Arial" w:cs="Arial"/>
          <w:sz w:val="13"/>
          <w:szCs w:val="13"/>
        </w:rPr>
        <w:t>Negative screen: does not mean that an individual does not have lung cancer</w:t>
      </w:r>
    </w:p>
    <w:p w:rsidR="00FA0AC0" w:rsidRPr="00D914E5" w:rsidRDefault="00FA0AC0" w:rsidP="00FA0AC0">
      <w:pPr>
        <w:pStyle w:val="ListParagraph"/>
        <w:numPr>
          <w:ilvl w:val="0"/>
          <w:numId w:val="1"/>
        </w:numPr>
        <w:tabs>
          <w:tab w:val="left" w:pos="810"/>
        </w:tabs>
        <w:spacing w:before="16"/>
        <w:ind w:left="360" w:hanging="180"/>
        <w:rPr>
          <w:rFonts w:ascii="Arial" w:hAnsi="Arial" w:cs="Arial"/>
          <w:sz w:val="13"/>
          <w:szCs w:val="13"/>
          <w:highlight w:val="yellow"/>
        </w:rPr>
      </w:pPr>
      <w:r w:rsidRPr="00D914E5">
        <w:rPr>
          <w:rFonts w:ascii="Arial" w:hAnsi="Arial" w:cs="Arial"/>
          <w:sz w:val="13"/>
          <w:szCs w:val="13"/>
          <w:highlight w:val="yellow"/>
        </w:rPr>
        <w:t>Size: To calculate nodule mean diameter, measure both the long and short axis to one decimal point, and report mean nodule diameter to one decimal point</w:t>
      </w:r>
    </w:p>
    <w:p w:rsidR="00FA0AC0" w:rsidRPr="00C13F66" w:rsidRDefault="00FA0AC0" w:rsidP="00FA0AC0">
      <w:pPr>
        <w:pStyle w:val="ListParagraph"/>
        <w:numPr>
          <w:ilvl w:val="0"/>
          <w:numId w:val="1"/>
        </w:numPr>
        <w:tabs>
          <w:tab w:val="left" w:pos="810"/>
        </w:tabs>
        <w:ind w:left="360" w:hanging="180"/>
        <w:rPr>
          <w:rFonts w:ascii="Arial" w:hAnsi="Arial" w:cs="Arial"/>
          <w:sz w:val="13"/>
          <w:szCs w:val="13"/>
        </w:rPr>
      </w:pPr>
      <w:r w:rsidRPr="00C13F66">
        <w:rPr>
          <w:rFonts w:ascii="Arial" w:hAnsi="Arial" w:cs="Arial"/>
          <w:sz w:val="13"/>
          <w:szCs w:val="13"/>
        </w:rPr>
        <w:t>Size Thresholds: apply to nodules at first detection, and that grow and reach a higher size</w:t>
      </w:r>
      <w:r w:rsidRPr="00C13F66">
        <w:rPr>
          <w:rFonts w:ascii="Arial" w:hAnsi="Arial" w:cs="Arial"/>
          <w:spacing w:val="1"/>
          <w:sz w:val="13"/>
          <w:szCs w:val="13"/>
        </w:rPr>
        <w:t xml:space="preserve"> </w:t>
      </w:r>
      <w:r w:rsidRPr="00C13F66">
        <w:rPr>
          <w:rFonts w:ascii="Arial" w:hAnsi="Arial" w:cs="Arial"/>
          <w:sz w:val="13"/>
          <w:szCs w:val="13"/>
        </w:rPr>
        <w:t>category</w:t>
      </w:r>
    </w:p>
    <w:p w:rsidR="00FA0AC0" w:rsidRPr="00C13F66" w:rsidRDefault="00FA0AC0" w:rsidP="00FA0AC0">
      <w:pPr>
        <w:pStyle w:val="ListParagraph"/>
        <w:numPr>
          <w:ilvl w:val="0"/>
          <w:numId w:val="1"/>
        </w:numPr>
        <w:tabs>
          <w:tab w:val="left" w:pos="643"/>
        </w:tabs>
        <w:spacing w:before="16"/>
        <w:ind w:left="360" w:hanging="180"/>
        <w:rPr>
          <w:rFonts w:ascii="Arial" w:hAnsi="Arial" w:cs="Arial"/>
          <w:sz w:val="13"/>
          <w:szCs w:val="13"/>
        </w:rPr>
      </w:pPr>
      <w:r w:rsidRPr="00C13F66">
        <w:rPr>
          <w:rFonts w:ascii="Arial" w:hAnsi="Arial" w:cs="Arial"/>
          <w:sz w:val="13"/>
          <w:szCs w:val="13"/>
        </w:rPr>
        <w:t xml:space="preserve">Growth: an increase in </w:t>
      </w:r>
      <w:r w:rsidRPr="00676B5B">
        <w:rPr>
          <w:rFonts w:ascii="Arial" w:hAnsi="Arial" w:cs="Arial"/>
          <w:sz w:val="13"/>
          <w:szCs w:val="13"/>
        </w:rPr>
        <w:t>size of &gt; 1.5 mm</w:t>
      </w:r>
      <w:r w:rsidR="00235BDB">
        <w:rPr>
          <w:rFonts w:ascii="Arial" w:hAnsi="Arial" w:cs="Arial"/>
          <w:sz w:val="13"/>
          <w:szCs w:val="13"/>
        </w:rPr>
        <w:t xml:space="preserve"> (</w:t>
      </w:r>
      <w:r w:rsidR="00004BFB">
        <w:rPr>
          <w:rFonts w:ascii="Arial" w:hAnsi="Arial" w:cs="Arial"/>
          <w:sz w:val="13"/>
          <w:szCs w:val="13"/>
        </w:rPr>
        <w:t xml:space="preserve">&gt; </w:t>
      </w:r>
      <w:r w:rsidR="00235BDB" w:rsidRPr="00235BDB">
        <w:rPr>
          <w:rFonts w:ascii="Arial" w:hAnsi="Arial" w:cs="Arial"/>
          <w:sz w:val="13"/>
          <w:szCs w:val="13"/>
        </w:rPr>
        <w:t>1.8 mm</w:t>
      </w:r>
      <w:r w:rsidR="00235BDB" w:rsidRPr="00235BDB">
        <w:rPr>
          <w:rFonts w:ascii="Arial" w:hAnsi="Arial" w:cs="Arial"/>
          <w:sz w:val="13"/>
          <w:szCs w:val="13"/>
          <w:vertAlign w:val="superscript"/>
        </w:rPr>
        <w:t>3</w:t>
      </w:r>
      <w:r w:rsidR="00235BDB">
        <w:rPr>
          <w:rFonts w:ascii="Arial" w:hAnsi="Arial" w:cs="Arial"/>
          <w:sz w:val="13"/>
          <w:szCs w:val="13"/>
        </w:rPr>
        <w:t>)</w:t>
      </w:r>
    </w:p>
    <w:p w:rsidR="00FA0AC0" w:rsidRPr="00C13F66" w:rsidRDefault="00FA0AC0" w:rsidP="00FA0AC0">
      <w:pPr>
        <w:pStyle w:val="ListParagraph"/>
        <w:numPr>
          <w:ilvl w:val="0"/>
          <w:numId w:val="1"/>
        </w:numPr>
        <w:tabs>
          <w:tab w:val="left" w:pos="810"/>
        </w:tabs>
        <w:ind w:left="360" w:hanging="180"/>
        <w:rPr>
          <w:rFonts w:ascii="Arial" w:hAnsi="Arial" w:cs="Arial"/>
          <w:sz w:val="13"/>
          <w:szCs w:val="13"/>
        </w:rPr>
      </w:pPr>
      <w:r w:rsidRPr="00C13F66">
        <w:rPr>
          <w:rFonts w:ascii="Arial" w:hAnsi="Arial" w:cs="Arial"/>
          <w:sz w:val="13"/>
          <w:szCs w:val="13"/>
        </w:rPr>
        <w:t>Exam Category: each exam should be coded 0</w:t>
      </w:r>
      <w:r w:rsidRPr="00C13F66">
        <w:rPr>
          <w:rFonts w:ascii="Cambria Math" w:hAnsi="Cambria Math" w:cs="Cambria Math"/>
          <w:sz w:val="13"/>
          <w:szCs w:val="13"/>
        </w:rPr>
        <w:t>‐</w:t>
      </w:r>
      <w:r w:rsidRPr="00C13F66">
        <w:rPr>
          <w:rFonts w:ascii="Arial" w:hAnsi="Arial" w:cs="Arial"/>
          <w:sz w:val="13"/>
          <w:szCs w:val="13"/>
        </w:rPr>
        <w:t>4 based on the nodule(s) with the highest degree of suspicion</w:t>
      </w:r>
    </w:p>
    <w:p w:rsidR="00FA0AC0" w:rsidRPr="00C13F66" w:rsidRDefault="00FA0AC0" w:rsidP="00FA0AC0">
      <w:pPr>
        <w:pStyle w:val="ListParagraph"/>
        <w:numPr>
          <w:ilvl w:val="0"/>
          <w:numId w:val="1"/>
        </w:numPr>
        <w:tabs>
          <w:tab w:val="left" w:pos="810"/>
        </w:tabs>
        <w:spacing w:before="16"/>
        <w:ind w:left="360" w:hanging="180"/>
        <w:rPr>
          <w:rFonts w:ascii="Arial" w:hAnsi="Arial" w:cs="Arial"/>
          <w:sz w:val="13"/>
          <w:szCs w:val="13"/>
        </w:rPr>
      </w:pPr>
      <w:r w:rsidRPr="00C13F66">
        <w:rPr>
          <w:rFonts w:ascii="Arial" w:hAnsi="Arial" w:cs="Arial"/>
          <w:sz w:val="13"/>
          <w:szCs w:val="13"/>
        </w:rPr>
        <w:t>Exam Modifiers: S modifier may be added to the 0</w:t>
      </w:r>
      <w:r w:rsidRPr="00C13F66">
        <w:rPr>
          <w:rFonts w:ascii="Cambria Math" w:hAnsi="Cambria Math" w:cs="Cambria Math"/>
          <w:sz w:val="13"/>
          <w:szCs w:val="13"/>
        </w:rPr>
        <w:t>‐</w:t>
      </w:r>
      <w:r w:rsidRPr="00C13F66">
        <w:rPr>
          <w:rFonts w:ascii="Arial" w:hAnsi="Arial" w:cs="Arial"/>
          <w:sz w:val="13"/>
          <w:szCs w:val="13"/>
        </w:rPr>
        <w:t>4 category</w:t>
      </w:r>
    </w:p>
    <w:p w:rsidR="00FA0AC0" w:rsidRPr="00C13F66" w:rsidRDefault="00FA0AC0" w:rsidP="00FA0AC0">
      <w:pPr>
        <w:pStyle w:val="ListParagraph"/>
        <w:numPr>
          <w:ilvl w:val="0"/>
          <w:numId w:val="1"/>
        </w:numPr>
        <w:tabs>
          <w:tab w:val="left" w:pos="810"/>
        </w:tabs>
        <w:spacing w:before="3"/>
        <w:ind w:left="360" w:hanging="180"/>
        <w:rPr>
          <w:rFonts w:ascii="Arial" w:hAnsi="Arial" w:cs="Arial"/>
          <w:sz w:val="13"/>
          <w:szCs w:val="13"/>
        </w:rPr>
      </w:pPr>
      <w:r w:rsidRPr="00C13F66">
        <w:rPr>
          <w:rFonts w:ascii="Arial" w:hAnsi="Arial" w:cs="Arial"/>
          <w:sz w:val="13"/>
          <w:szCs w:val="13"/>
        </w:rPr>
        <w:t>Lung Cancer Diagnosis: Once a patient is diagnosed with lung cancer, further management (including additional imaging such as PET/CT) may be performed for purposes of lung cancer staging; this is no longer screening</w:t>
      </w:r>
    </w:p>
    <w:p w:rsidR="00FA0AC0" w:rsidRPr="00C13F66" w:rsidRDefault="00FA0AC0" w:rsidP="00FA0AC0">
      <w:pPr>
        <w:pStyle w:val="ListParagraph"/>
        <w:numPr>
          <w:ilvl w:val="0"/>
          <w:numId w:val="1"/>
        </w:numPr>
        <w:tabs>
          <w:tab w:val="left" w:pos="810"/>
        </w:tabs>
        <w:spacing w:before="9"/>
        <w:ind w:left="360" w:hanging="180"/>
        <w:rPr>
          <w:rFonts w:ascii="Arial" w:hAnsi="Arial" w:cs="Arial"/>
          <w:sz w:val="13"/>
          <w:szCs w:val="13"/>
        </w:rPr>
      </w:pPr>
      <w:r w:rsidRPr="00C13F66">
        <w:rPr>
          <w:rFonts w:ascii="Arial" w:hAnsi="Arial" w:cs="Arial"/>
          <w:sz w:val="13"/>
          <w:szCs w:val="13"/>
        </w:rPr>
        <w:t>Practice audit definitions: a negative screen is defined as categories 1 and 2; a positive screen is defined as categories 3 and</w:t>
      </w:r>
      <w:r w:rsidRPr="00C13F66">
        <w:rPr>
          <w:rFonts w:ascii="Arial" w:hAnsi="Arial" w:cs="Arial"/>
          <w:spacing w:val="3"/>
          <w:sz w:val="13"/>
          <w:szCs w:val="13"/>
        </w:rPr>
        <w:t xml:space="preserve"> </w:t>
      </w:r>
      <w:r w:rsidRPr="00C13F66">
        <w:rPr>
          <w:rFonts w:ascii="Arial" w:hAnsi="Arial" w:cs="Arial"/>
          <w:sz w:val="13"/>
          <w:szCs w:val="13"/>
        </w:rPr>
        <w:t>4</w:t>
      </w:r>
    </w:p>
    <w:p w:rsidR="00FA0AC0" w:rsidRPr="00C13F66" w:rsidRDefault="00FA0AC0" w:rsidP="00FA0AC0">
      <w:pPr>
        <w:pStyle w:val="ListParagraph"/>
        <w:numPr>
          <w:ilvl w:val="0"/>
          <w:numId w:val="1"/>
        </w:numPr>
        <w:tabs>
          <w:tab w:val="left" w:pos="810"/>
        </w:tabs>
        <w:spacing w:before="20" w:line="259" w:lineRule="auto"/>
        <w:ind w:left="360" w:right="285" w:hanging="180"/>
        <w:rPr>
          <w:rFonts w:ascii="Arial" w:hAnsi="Arial" w:cs="Arial"/>
          <w:sz w:val="13"/>
          <w:szCs w:val="13"/>
        </w:rPr>
      </w:pPr>
      <w:r w:rsidRPr="00C13F66">
        <w:rPr>
          <w:rFonts w:ascii="Arial" w:hAnsi="Arial" w:cs="Arial"/>
          <w:sz w:val="13"/>
          <w:szCs w:val="13"/>
        </w:rPr>
        <w:t>Category 4B Management: this is predicated on the probability of malignancy based on patient evaluation, patient preference and risk of malignancy; radiologists are encouraged to use the McWilliams et al assessment tool when making recommendations</w:t>
      </w:r>
    </w:p>
    <w:p w:rsidR="00FA0AC0" w:rsidRPr="00C13F66" w:rsidRDefault="00FA0AC0" w:rsidP="00FA0AC0">
      <w:pPr>
        <w:pStyle w:val="ListParagraph"/>
        <w:numPr>
          <w:ilvl w:val="0"/>
          <w:numId w:val="1"/>
        </w:numPr>
        <w:tabs>
          <w:tab w:val="left" w:pos="816"/>
        </w:tabs>
        <w:spacing w:before="5"/>
        <w:ind w:left="360" w:hanging="180"/>
        <w:rPr>
          <w:rFonts w:ascii="Arial" w:hAnsi="Arial" w:cs="Arial"/>
          <w:sz w:val="13"/>
          <w:szCs w:val="13"/>
        </w:rPr>
      </w:pPr>
      <w:r w:rsidRPr="00C13F66">
        <w:rPr>
          <w:rFonts w:ascii="Arial" w:hAnsi="Arial" w:cs="Arial"/>
          <w:sz w:val="13"/>
          <w:szCs w:val="13"/>
        </w:rPr>
        <w:t>Category 4X: nodules with additional imaging findings that increase the suspicion of lung cancer, such as spiculation</w:t>
      </w:r>
      <w:bookmarkStart w:id="0" w:name="_GoBack"/>
      <w:bookmarkEnd w:id="0"/>
      <w:r w:rsidRPr="00C13F66">
        <w:rPr>
          <w:rFonts w:ascii="Arial" w:hAnsi="Arial" w:cs="Arial"/>
          <w:sz w:val="13"/>
          <w:szCs w:val="13"/>
        </w:rPr>
        <w:t>, GGN that doubles in size in 1 year, enlarged lymph nodes</w:t>
      </w:r>
      <w:r w:rsidRPr="00C13F66">
        <w:rPr>
          <w:rFonts w:ascii="Arial" w:hAnsi="Arial" w:cs="Arial"/>
          <w:spacing w:val="10"/>
          <w:sz w:val="13"/>
          <w:szCs w:val="13"/>
        </w:rPr>
        <w:t xml:space="preserve"> </w:t>
      </w:r>
      <w:proofErr w:type="spellStart"/>
      <w:r w:rsidRPr="00C13F66">
        <w:rPr>
          <w:rFonts w:ascii="Arial" w:hAnsi="Arial" w:cs="Arial"/>
          <w:sz w:val="13"/>
          <w:szCs w:val="13"/>
        </w:rPr>
        <w:t>etc</w:t>
      </w:r>
      <w:proofErr w:type="spellEnd"/>
    </w:p>
    <w:p w:rsidR="00FA0AC0" w:rsidRPr="00D914E5" w:rsidRDefault="00FA0AC0" w:rsidP="00FA0AC0">
      <w:pPr>
        <w:pStyle w:val="ListParagraph"/>
        <w:numPr>
          <w:ilvl w:val="0"/>
          <w:numId w:val="1"/>
        </w:numPr>
        <w:tabs>
          <w:tab w:val="left" w:pos="816"/>
        </w:tabs>
        <w:ind w:left="360" w:hanging="180"/>
        <w:rPr>
          <w:rFonts w:ascii="Arial" w:hAnsi="Arial" w:cs="Arial"/>
          <w:sz w:val="13"/>
          <w:szCs w:val="13"/>
          <w:highlight w:val="yellow"/>
        </w:rPr>
      </w:pPr>
      <w:r w:rsidRPr="00D914E5">
        <w:rPr>
          <w:rFonts w:ascii="Arial" w:hAnsi="Arial" w:cs="Arial"/>
          <w:iCs/>
          <w:sz w:val="13"/>
          <w:szCs w:val="13"/>
          <w:highlight w:val="yellow"/>
        </w:rPr>
        <w:t xml:space="preserve">Solid nodules with smooth margins, an oval, </w:t>
      </w:r>
      <w:proofErr w:type="spellStart"/>
      <w:r w:rsidRPr="00D914E5">
        <w:rPr>
          <w:rFonts w:ascii="Arial" w:hAnsi="Arial" w:cs="Arial"/>
          <w:iCs/>
          <w:sz w:val="13"/>
          <w:szCs w:val="13"/>
          <w:highlight w:val="yellow"/>
        </w:rPr>
        <w:t>lentiform</w:t>
      </w:r>
      <w:proofErr w:type="spellEnd"/>
      <w:r w:rsidRPr="00D914E5">
        <w:rPr>
          <w:rFonts w:ascii="Arial" w:hAnsi="Arial" w:cs="Arial"/>
          <w:iCs/>
          <w:sz w:val="13"/>
          <w:szCs w:val="13"/>
          <w:highlight w:val="yellow"/>
        </w:rPr>
        <w:t xml:space="preserve"> or triangular shape, and maximum diameter less than 10 mm</w:t>
      </w:r>
      <w:r w:rsidR="004F65F2" w:rsidRPr="00D914E5">
        <w:rPr>
          <w:rFonts w:ascii="Arial" w:hAnsi="Arial" w:cs="Arial"/>
          <w:iCs/>
          <w:sz w:val="13"/>
          <w:szCs w:val="13"/>
          <w:highlight w:val="yellow"/>
        </w:rPr>
        <w:t xml:space="preserve"> or 523.6 mm</w:t>
      </w:r>
      <w:r w:rsidR="004F65F2" w:rsidRPr="00D914E5">
        <w:rPr>
          <w:rFonts w:ascii="Arial" w:hAnsi="Arial" w:cs="Arial"/>
          <w:iCs/>
          <w:sz w:val="13"/>
          <w:szCs w:val="13"/>
          <w:highlight w:val="yellow"/>
          <w:vertAlign w:val="superscript"/>
        </w:rPr>
        <w:t>3</w:t>
      </w:r>
      <w:r w:rsidRPr="00D914E5">
        <w:rPr>
          <w:rFonts w:ascii="Arial" w:hAnsi="Arial" w:cs="Arial"/>
          <w:iCs/>
          <w:sz w:val="13"/>
          <w:szCs w:val="13"/>
          <w:highlight w:val="yellow"/>
        </w:rPr>
        <w:t xml:space="preserve"> (perifissural nodules) should be classified as category 2</w:t>
      </w:r>
    </w:p>
    <w:p w:rsidR="00FA0AC0" w:rsidRPr="00C13F66" w:rsidRDefault="00FA0AC0" w:rsidP="00FA0AC0">
      <w:pPr>
        <w:pStyle w:val="ListParagraph"/>
        <w:numPr>
          <w:ilvl w:val="0"/>
          <w:numId w:val="1"/>
        </w:numPr>
        <w:tabs>
          <w:tab w:val="left" w:pos="810"/>
        </w:tabs>
        <w:spacing w:before="12"/>
        <w:ind w:left="360" w:hanging="180"/>
        <w:rPr>
          <w:rFonts w:ascii="Arial" w:hAnsi="Arial" w:cs="Arial"/>
          <w:sz w:val="13"/>
          <w:szCs w:val="13"/>
        </w:rPr>
      </w:pPr>
      <w:r w:rsidRPr="00C13F66">
        <w:rPr>
          <w:rFonts w:ascii="Arial" w:hAnsi="Arial" w:cs="Arial"/>
          <w:sz w:val="13"/>
          <w:szCs w:val="13"/>
        </w:rPr>
        <w:t>Category 3 and 4A nodules that are unchanged on interval CT should be coded as category 2, and individuals returned to screening in 12</w:t>
      </w:r>
      <w:r w:rsidRPr="00C13F66">
        <w:rPr>
          <w:rFonts w:ascii="Arial" w:hAnsi="Arial" w:cs="Arial"/>
          <w:spacing w:val="6"/>
          <w:sz w:val="13"/>
          <w:szCs w:val="13"/>
        </w:rPr>
        <w:t xml:space="preserve"> </w:t>
      </w:r>
      <w:r w:rsidRPr="00C13F66">
        <w:rPr>
          <w:rFonts w:ascii="Arial" w:hAnsi="Arial" w:cs="Arial"/>
          <w:sz w:val="13"/>
          <w:szCs w:val="13"/>
        </w:rPr>
        <w:t>months</w:t>
      </w:r>
    </w:p>
    <w:p w:rsidR="00FA0AC0" w:rsidRDefault="00FA0AC0" w:rsidP="00FA0AC0">
      <w:pPr>
        <w:pStyle w:val="ListParagraph"/>
        <w:numPr>
          <w:ilvl w:val="0"/>
          <w:numId w:val="1"/>
        </w:numPr>
        <w:tabs>
          <w:tab w:val="left" w:pos="816"/>
        </w:tabs>
        <w:spacing w:before="11"/>
        <w:ind w:left="360" w:hanging="180"/>
        <w:rPr>
          <w:rFonts w:ascii="Arial" w:hAnsi="Arial" w:cs="Arial"/>
          <w:sz w:val="13"/>
          <w:szCs w:val="13"/>
        </w:rPr>
      </w:pPr>
      <w:r w:rsidRPr="00C13F66">
        <w:rPr>
          <w:rFonts w:ascii="Arial" w:hAnsi="Arial" w:cs="Arial"/>
          <w:sz w:val="13"/>
          <w:szCs w:val="13"/>
        </w:rPr>
        <w:t>LDCT: low dose chest CT</w:t>
      </w:r>
    </w:p>
    <w:p w:rsidR="00D914E5" w:rsidRPr="00D914E5" w:rsidRDefault="00D914E5" w:rsidP="00D914E5">
      <w:pPr>
        <w:pStyle w:val="Heading1"/>
        <w:numPr>
          <w:ilvl w:val="0"/>
          <w:numId w:val="1"/>
        </w:numPr>
        <w:ind w:left="360"/>
        <w:rPr>
          <w:rFonts w:ascii="Arial" w:hAnsi="Arial" w:cs="Arial"/>
          <w:b w:val="0"/>
          <w:i w:val="0"/>
          <w:sz w:val="13"/>
          <w:szCs w:val="13"/>
        </w:rPr>
      </w:pPr>
      <w:r w:rsidRPr="00D914E5">
        <w:rPr>
          <w:rFonts w:ascii="Arial" w:hAnsi="Arial" w:cs="Arial"/>
          <w:b w:val="0"/>
          <w:i w:val="0"/>
          <w:sz w:val="13"/>
          <w:szCs w:val="13"/>
          <w:highlight w:val="yellow"/>
        </w:rPr>
        <w:t>C-Modifier eliminated</w:t>
      </w:r>
    </w:p>
    <w:p w:rsidR="00FA0AC0" w:rsidRDefault="00FA0AC0" w:rsidP="00FA0AC0">
      <w:pPr>
        <w:pStyle w:val="Heading1"/>
        <w:ind w:left="180"/>
        <w:rPr>
          <w:rStyle w:val="Hyperlink"/>
          <w:rFonts w:ascii="Arial" w:hAnsi="Arial" w:cs="Arial"/>
          <w:sz w:val="13"/>
          <w:szCs w:val="13"/>
        </w:rPr>
      </w:pPr>
      <w:r w:rsidRPr="00C13F66">
        <w:rPr>
          <w:rFonts w:ascii="Arial" w:hAnsi="Arial" w:cs="Arial"/>
          <w:sz w:val="13"/>
          <w:szCs w:val="13"/>
        </w:rPr>
        <w:t>*</w:t>
      </w:r>
      <w:r>
        <w:rPr>
          <w:rFonts w:ascii="Arial" w:hAnsi="Arial" w:cs="Arial"/>
          <w:sz w:val="13"/>
          <w:szCs w:val="13"/>
        </w:rPr>
        <w:t xml:space="preserve">Additional resources available at - </w:t>
      </w:r>
      <w:hyperlink r:id="rId8" w:history="1">
        <w:r w:rsidRPr="00A85C8F">
          <w:rPr>
            <w:rStyle w:val="Hyperlink"/>
            <w:rFonts w:ascii="Arial" w:hAnsi="Arial" w:cs="Arial"/>
            <w:sz w:val="13"/>
            <w:szCs w:val="13"/>
          </w:rPr>
          <w:t>https://www.acr.org/Clinical-Resources/Reporting-and-Data-Systems/Lung-Rads</w:t>
        </w:r>
      </w:hyperlink>
    </w:p>
    <w:p w:rsidR="00FA0AC0" w:rsidRDefault="00FA0AC0" w:rsidP="00FA0AC0">
      <w:pPr>
        <w:pStyle w:val="Heading1"/>
        <w:ind w:left="180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 xml:space="preserve">*Link to Lung-RADS calculator - </w:t>
      </w:r>
      <w:hyperlink r:id="rId9" w:history="1">
        <w:r w:rsidRPr="008831AA">
          <w:rPr>
            <w:rStyle w:val="Hyperlink"/>
            <w:rFonts w:ascii="Arial" w:hAnsi="Arial" w:cs="Arial"/>
            <w:sz w:val="13"/>
            <w:szCs w:val="13"/>
          </w:rPr>
          <w:t>https://brocku.ca/lung-cancer-screening-and-risk-prediction/risk-calculators/</w:t>
        </w:r>
      </w:hyperlink>
    </w:p>
    <w:sectPr w:rsidR="00FA0AC0" w:rsidSect="005C6022">
      <w:headerReference w:type="default" r:id="rId10"/>
      <w:type w:val="continuous"/>
      <w:pgSz w:w="12240" w:h="20160" w:code="5"/>
      <w:pgMar w:top="720" w:right="720" w:bottom="720" w:left="720" w:header="14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390" w:rsidRDefault="001B4390" w:rsidP="00F53871">
      <w:r>
        <w:separator/>
      </w:r>
    </w:p>
  </w:endnote>
  <w:endnote w:type="continuationSeparator" w:id="0">
    <w:p w:rsidR="001B4390" w:rsidRDefault="001B4390" w:rsidP="00F53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390" w:rsidRDefault="001B4390" w:rsidP="00F53871">
      <w:r>
        <w:separator/>
      </w:r>
    </w:p>
  </w:footnote>
  <w:footnote w:type="continuationSeparator" w:id="0">
    <w:p w:rsidR="001B4390" w:rsidRDefault="001B4390" w:rsidP="00F53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871" w:rsidRDefault="00F53871" w:rsidP="00F5387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3188"/>
    <w:multiLevelType w:val="hybridMultilevel"/>
    <w:tmpl w:val="C1F21508"/>
    <w:lvl w:ilvl="0" w:tplc="298EA3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0C79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819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A58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5803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26DC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B022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4068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DC6E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E419E"/>
    <w:multiLevelType w:val="hybridMultilevel"/>
    <w:tmpl w:val="F5E6FFA2"/>
    <w:lvl w:ilvl="0" w:tplc="8C58AA4C">
      <w:start w:val="1"/>
      <w:numFmt w:val="decimal"/>
      <w:lvlText w:val="%1)"/>
      <w:lvlJc w:val="left"/>
      <w:pPr>
        <w:ind w:left="642" w:hanging="167"/>
      </w:pPr>
      <w:rPr>
        <w:rFonts w:ascii="Calibri" w:eastAsia="Calibri" w:hAnsi="Calibri" w:cs="Calibri" w:hint="default"/>
        <w:w w:val="101"/>
        <w:sz w:val="11"/>
        <w:szCs w:val="11"/>
      </w:rPr>
    </w:lvl>
    <w:lvl w:ilvl="1" w:tplc="99CE06F4">
      <w:numFmt w:val="bullet"/>
      <w:lvlText w:val="•"/>
      <w:lvlJc w:val="left"/>
      <w:pPr>
        <w:ind w:left="1724" w:hanging="167"/>
      </w:pPr>
      <w:rPr>
        <w:rFonts w:hint="default"/>
      </w:rPr>
    </w:lvl>
    <w:lvl w:ilvl="2" w:tplc="16169FBC">
      <w:numFmt w:val="bullet"/>
      <w:lvlText w:val="•"/>
      <w:lvlJc w:val="left"/>
      <w:pPr>
        <w:ind w:left="2808" w:hanging="167"/>
      </w:pPr>
      <w:rPr>
        <w:rFonts w:hint="default"/>
      </w:rPr>
    </w:lvl>
    <w:lvl w:ilvl="3" w:tplc="839A3E12">
      <w:numFmt w:val="bullet"/>
      <w:lvlText w:val="•"/>
      <w:lvlJc w:val="left"/>
      <w:pPr>
        <w:ind w:left="3892" w:hanging="167"/>
      </w:pPr>
      <w:rPr>
        <w:rFonts w:hint="default"/>
      </w:rPr>
    </w:lvl>
    <w:lvl w:ilvl="4" w:tplc="C28AAEBA">
      <w:numFmt w:val="bullet"/>
      <w:lvlText w:val="•"/>
      <w:lvlJc w:val="left"/>
      <w:pPr>
        <w:ind w:left="4976" w:hanging="167"/>
      </w:pPr>
      <w:rPr>
        <w:rFonts w:hint="default"/>
      </w:rPr>
    </w:lvl>
    <w:lvl w:ilvl="5" w:tplc="82660230">
      <w:numFmt w:val="bullet"/>
      <w:lvlText w:val="•"/>
      <w:lvlJc w:val="left"/>
      <w:pPr>
        <w:ind w:left="6060" w:hanging="167"/>
      </w:pPr>
      <w:rPr>
        <w:rFonts w:hint="default"/>
      </w:rPr>
    </w:lvl>
    <w:lvl w:ilvl="6" w:tplc="47BAFF52">
      <w:numFmt w:val="bullet"/>
      <w:lvlText w:val="•"/>
      <w:lvlJc w:val="left"/>
      <w:pPr>
        <w:ind w:left="7144" w:hanging="167"/>
      </w:pPr>
      <w:rPr>
        <w:rFonts w:hint="default"/>
      </w:rPr>
    </w:lvl>
    <w:lvl w:ilvl="7" w:tplc="79D41FDE">
      <w:numFmt w:val="bullet"/>
      <w:lvlText w:val="•"/>
      <w:lvlJc w:val="left"/>
      <w:pPr>
        <w:ind w:left="8228" w:hanging="167"/>
      </w:pPr>
      <w:rPr>
        <w:rFonts w:hint="default"/>
      </w:rPr>
    </w:lvl>
    <w:lvl w:ilvl="8" w:tplc="EBCEEA56">
      <w:numFmt w:val="bullet"/>
      <w:lvlText w:val="•"/>
      <w:lvlJc w:val="left"/>
      <w:pPr>
        <w:ind w:left="9312" w:hanging="16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66"/>
    <w:rsid w:val="00004BFB"/>
    <w:rsid w:val="0000640D"/>
    <w:rsid w:val="000161D4"/>
    <w:rsid w:val="00074E7C"/>
    <w:rsid w:val="0008266C"/>
    <w:rsid w:val="00087266"/>
    <w:rsid w:val="00110F67"/>
    <w:rsid w:val="00151A86"/>
    <w:rsid w:val="001579BE"/>
    <w:rsid w:val="001B4390"/>
    <w:rsid w:val="00205628"/>
    <w:rsid w:val="002063CE"/>
    <w:rsid w:val="00235BDB"/>
    <w:rsid w:val="002A0131"/>
    <w:rsid w:val="002C5F66"/>
    <w:rsid w:val="002D779A"/>
    <w:rsid w:val="002E52D8"/>
    <w:rsid w:val="00302316"/>
    <w:rsid w:val="0031196E"/>
    <w:rsid w:val="0037654F"/>
    <w:rsid w:val="003E5109"/>
    <w:rsid w:val="004025D1"/>
    <w:rsid w:val="00443479"/>
    <w:rsid w:val="00460A72"/>
    <w:rsid w:val="00476EFF"/>
    <w:rsid w:val="004929D8"/>
    <w:rsid w:val="004A7F88"/>
    <w:rsid w:val="004F65F2"/>
    <w:rsid w:val="0051787B"/>
    <w:rsid w:val="005623B0"/>
    <w:rsid w:val="005C6022"/>
    <w:rsid w:val="005D7F44"/>
    <w:rsid w:val="005E1F8F"/>
    <w:rsid w:val="005F005F"/>
    <w:rsid w:val="006A36D9"/>
    <w:rsid w:val="006B0A0F"/>
    <w:rsid w:val="006F67E5"/>
    <w:rsid w:val="007258DE"/>
    <w:rsid w:val="007962F1"/>
    <w:rsid w:val="007B3F4F"/>
    <w:rsid w:val="00806C1B"/>
    <w:rsid w:val="00892708"/>
    <w:rsid w:val="00893F0D"/>
    <w:rsid w:val="008E1034"/>
    <w:rsid w:val="008E46E5"/>
    <w:rsid w:val="0094788B"/>
    <w:rsid w:val="00963E50"/>
    <w:rsid w:val="00A124C0"/>
    <w:rsid w:val="00A1522C"/>
    <w:rsid w:val="00A37BDE"/>
    <w:rsid w:val="00A531C9"/>
    <w:rsid w:val="00A81A40"/>
    <w:rsid w:val="00AE4E18"/>
    <w:rsid w:val="00B04CC5"/>
    <w:rsid w:val="00B301EC"/>
    <w:rsid w:val="00B93065"/>
    <w:rsid w:val="00BE657B"/>
    <w:rsid w:val="00C13F66"/>
    <w:rsid w:val="00C451F2"/>
    <w:rsid w:val="00C546B0"/>
    <w:rsid w:val="00C66538"/>
    <w:rsid w:val="00C97836"/>
    <w:rsid w:val="00CF0A1E"/>
    <w:rsid w:val="00D400BC"/>
    <w:rsid w:val="00D6773A"/>
    <w:rsid w:val="00D70ED9"/>
    <w:rsid w:val="00D914E5"/>
    <w:rsid w:val="00DB36DC"/>
    <w:rsid w:val="00DC058E"/>
    <w:rsid w:val="00DD26C6"/>
    <w:rsid w:val="00E03ADF"/>
    <w:rsid w:val="00E2115F"/>
    <w:rsid w:val="00E547CE"/>
    <w:rsid w:val="00E90C0C"/>
    <w:rsid w:val="00EC7C8D"/>
    <w:rsid w:val="00F3566D"/>
    <w:rsid w:val="00F53871"/>
    <w:rsid w:val="00F877F7"/>
    <w:rsid w:val="00FA0AC0"/>
    <w:rsid w:val="00FC7023"/>
    <w:rsid w:val="00FD3231"/>
    <w:rsid w:val="00FE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35F4"/>
  <w15:docId w15:val="{CB7D4683-3993-43A0-A846-4641998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spacing w:before="76"/>
      <w:ind w:left="642"/>
      <w:outlineLvl w:val="0"/>
    </w:pPr>
    <w:rPr>
      <w:b/>
      <w:bCs/>
      <w:i/>
      <w:sz w:val="11"/>
      <w:szCs w:val="1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642"/>
    </w:pPr>
    <w:rPr>
      <w:sz w:val="11"/>
      <w:szCs w:val="11"/>
    </w:rPr>
  </w:style>
  <w:style w:type="paragraph" w:styleId="ListParagraph">
    <w:name w:val="List Paragraph"/>
    <w:basedOn w:val="Normal"/>
    <w:uiPriority w:val="1"/>
    <w:qFormat/>
    <w:pPr>
      <w:spacing w:before="15"/>
      <w:ind w:left="64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211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15F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38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87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538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871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124C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D914E5"/>
    <w:rPr>
      <w:rFonts w:ascii="Calibri" w:eastAsia="Calibri" w:hAnsi="Calibri" w:cs="Calibri"/>
      <w:b/>
      <w:bCs/>
      <w:i/>
      <w:sz w:val="11"/>
      <w:szCs w:val="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1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03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3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r.org/Clinical-Resources/Reporting-and-Data-Systems/Lung-Ra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rocku.ca/lung-cancer-screening-and-risk-prediction/risk-calcul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LungRADS v 1.0 04 28 14.xlsx</vt:lpstr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LungRADS v 1.0 04 28 14.xlsx</dc:title>
  <dc:creator>mbhargavan</dc:creator>
  <cp:lastModifiedBy>Kaur, Dipleen</cp:lastModifiedBy>
  <cp:revision>7</cp:revision>
  <cp:lastPrinted>2019-05-21T13:32:00Z</cp:lastPrinted>
  <dcterms:created xsi:type="dcterms:W3CDTF">2019-05-21T14:23:00Z</dcterms:created>
  <dcterms:modified xsi:type="dcterms:W3CDTF">2019-05-30T19:55:00Z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2019-01-10T00:00:00Z</vt:filetime>
  </property>
</Properties>
</file>