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F9CE" w14:textId="77777777" w:rsidR="00056F20" w:rsidRDefault="0071546E">
      <w:pPr>
        <w:spacing w:after="40"/>
      </w:pPr>
      <w:r>
        <w:rPr>
          <w:b/>
          <w:bCs/>
          <w:color w:val="6B7280"/>
          <w:sz w:val="20"/>
          <w:szCs w:val="20"/>
        </w:rPr>
        <w:t>AFRICA CLINICAL RESEARCH NETWORK (ACRN)</w:t>
      </w:r>
    </w:p>
    <w:p w14:paraId="3EE12DFA" w14:textId="77777777" w:rsidR="00056F20" w:rsidRDefault="0071546E">
      <w:pPr>
        <w:spacing w:after="20"/>
      </w:pPr>
      <w:r>
        <w:rPr>
          <w:b/>
          <w:bCs/>
          <w:color w:val="1F3A5F"/>
          <w:sz w:val="34"/>
          <w:szCs w:val="34"/>
        </w:rPr>
        <w:t>EOPE Adjudication — Working Instruction</w:t>
      </w:r>
    </w:p>
    <w:p w14:paraId="5FAD9700" w14:textId="77777777" w:rsidR="00056F20" w:rsidRDefault="0071546E">
      <w:pPr>
        <w:pBdr>
          <w:bottom w:val="single" w:sz="12" w:space="6" w:color="2E6E8E"/>
        </w:pBdr>
        <w:spacing w:after="160"/>
      </w:pPr>
      <w:r>
        <w:rPr>
          <w:i/>
          <w:iCs/>
          <w:color w:val="2E6E8E"/>
        </w:rPr>
        <w:t>How to adjudicate an early-onset preeclampsia (EOPE) case — PROTECT-Africa (Protocol A202501)</w:t>
      </w:r>
    </w:p>
    <w:tbl>
      <w:tblPr>
        <w:tblW w:w="9360" w:type="dxa"/>
        <w:tblBorders>
          <w:top w:val="single" w:sz="3" w:space="0" w:color="C7D2DB"/>
          <w:left w:val="single" w:sz="3" w:space="0" w:color="C7D2DB"/>
          <w:bottom w:val="single" w:sz="3" w:space="0" w:color="C7D2DB"/>
          <w:right w:val="single" w:sz="3" w:space="0" w:color="C7D2DB"/>
          <w:insideH w:val="single" w:sz="3" w:space="0" w:color="C7D2DB"/>
          <w:insideV w:val="single" w:sz="3" w:space="0" w:color="C7D2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56F20" w14:paraId="48210E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6CA45" w14:textId="77777777" w:rsidR="00056F20" w:rsidRDefault="0071546E">
            <w:r>
              <w:rPr>
                <w:color w:val="000000"/>
                <w:sz w:val="19"/>
                <w:szCs w:val="19"/>
              </w:rPr>
              <w:t>Study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A88CA" w14:textId="77777777" w:rsidR="00056F20" w:rsidRDefault="0071546E">
            <w:r>
              <w:rPr>
                <w:color w:val="000000"/>
                <w:sz w:val="19"/>
                <w:szCs w:val="19"/>
              </w:rPr>
              <w:t>PROTECT-Africa (EOPE)</w:t>
            </w:r>
          </w:p>
        </w:tc>
        <w:tc>
          <w:tcPr>
            <w:tcW w:w="234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E9169" w14:textId="77777777" w:rsidR="00056F20" w:rsidRDefault="0071546E">
            <w:r>
              <w:rPr>
                <w:color w:val="000000"/>
                <w:sz w:val="19"/>
                <w:szCs w:val="19"/>
              </w:rPr>
              <w:t>Applies to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D55CB" w14:textId="77777777" w:rsidR="00056F20" w:rsidRDefault="0071546E">
            <w:r>
              <w:rPr>
                <w:color w:val="000000"/>
                <w:sz w:val="19"/>
                <w:szCs w:val="19"/>
              </w:rPr>
              <w:t>All EOPE adjudicators</w:t>
            </w:r>
          </w:p>
        </w:tc>
      </w:tr>
      <w:tr w:rsidR="00056F20" w14:paraId="6E1C3F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5C308" w14:textId="77777777" w:rsidR="00056F20" w:rsidRDefault="0071546E">
            <w:r>
              <w:rPr>
                <w:color w:val="000000"/>
                <w:sz w:val="19"/>
                <w:szCs w:val="19"/>
              </w:rPr>
              <w:t>Governing docs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7E134" w14:textId="77777777" w:rsidR="00056F20" w:rsidRDefault="0071546E">
            <w:r>
              <w:rPr>
                <w:color w:val="000000"/>
                <w:sz w:val="19"/>
                <w:szCs w:val="19"/>
              </w:rPr>
              <w:t>OAC Charter v2.0; SOP-ADJ-001 to 004</w:t>
            </w:r>
          </w:p>
        </w:tc>
        <w:tc>
          <w:tcPr>
            <w:tcW w:w="234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72C74" w14:textId="77777777" w:rsidR="00056F20" w:rsidRDefault="0071546E">
            <w:r>
              <w:rPr>
                <w:color w:val="000000"/>
                <w:sz w:val="19"/>
                <w:szCs w:val="19"/>
              </w:rPr>
              <w:t>Forms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1508E" w14:textId="77777777" w:rsidR="00056F20" w:rsidRDefault="0071546E">
            <w:r>
              <w:rPr>
                <w:color w:val="000000"/>
                <w:sz w:val="19"/>
                <w:szCs w:val="19"/>
              </w:rPr>
              <w:t>FORM-ADJ-01 to 14 (Forms Pack)</w:t>
            </w:r>
          </w:p>
        </w:tc>
      </w:tr>
      <w:tr w:rsidR="00056F20" w14:paraId="2CD6F2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A7C16" w14:textId="77777777" w:rsidR="00056F20" w:rsidRDefault="0071546E">
            <w:r>
              <w:rPr>
                <w:color w:val="000000"/>
                <w:sz w:val="19"/>
                <w:szCs w:val="19"/>
              </w:rPr>
              <w:t>Diagnostic basis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72E16" w14:textId="77777777" w:rsidR="00056F20" w:rsidRDefault="0071546E">
            <w:r>
              <w:rPr>
                <w:color w:val="000000"/>
                <w:sz w:val="19"/>
                <w:szCs w:val="19"/>
              </w:rPr>
              <w:t>PROGNOSIS-aligned / ACOG population definitions; protocol-precedence applies</w:t>
            </w:r>
          </w:p>
        </w:tc>
        <w:tc>
          <w:tcPr>
            <w:tcW w:w="234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FD084" w14:textId="77777777" w:rsidR="00056F20" w:rsidRDefault="0071546E">
            <w:r>
              <w:rPr>
                <w:color w:val="000000"/>
                <w:sz w:val="19"/>
                <w:szCs w:val="19"/>
              </w:rPr>
              <w:t>Classification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F3F94" w14:textId="77777777" w:rsidR="00056F20" w:rsidRDefault="0071546E">
            <w:r>
              <w:rPr>
                <w:color w:val="000000"/>
                <w:sz w:val="19"/>
                <w:szCs w:val="19"/>
              </w:rPr>
              <w:t>Confidential — governance use</w:t>
            </w:r>
          </w:p>
        </w:tc>
      </w:tr>
    </w:tbl>
    <w:p w14:paraId="4D26A024" w14:textId="77777777" w:rsidR="00056F20" w:rsidRDefault="00056F20">
      <w:pPr>
        <w:spacing w:after="100" w:line="264" w:lineRule="auto"/>
      </w:pPr>
    </w:p>
    <w:p w14:paraId="5DDA71DF" w14:textId="77777777" w:rsidR="00056F20" w:rsidRDefault="0071546E">
      <w:pPr>
        <w:pStyle w:val="Heading1"/>
        <w:spacing w:before="260" w:after="120"/>
      </w:pPr>
      <w:proofErr w:type="gramStart"/>
      <w:r>
        <w:rPr>
          <w:b/>
          <w:bCs/>
          <w:color w:val="1F3A5F"/>
          <w:sz w:val="28"/>
          <w:szCs w:val="28"/>
        </w:rPr>
        <w:t>1  Purpose</w:t>
      </w:r>
      <w:proofErr w:type="gramEnd"/>
      <w:r>
        <w:rPr>
          <w:b/>
          <w:bCs/>
          <w:color w:val="1F3A5F"/>
          <w:sz w:val="28"/>
          <w:szCs w:val="28"/>
        </w:rPr>
        <w:t xml:space="preserve"> and golden rules</w:t>
      </w:r>
    </w:p>
    <w:p w14:paraId="204F6E53" w14:textId="77777777" w:rsidR="00056F20" w:rsidRDefault="0071546E">
      <w:pPr>
        <w:spacing w:after="100" w:line="264" w:lineRule="auto"/>
      </w:pPr>
      <w:r>
        <w:t>This instruction tells you, as an EOPE adjudicator, exactly what to do with a case from the moment it reaches your review area to final classification. You provide an independent, blinded, reproducible endpoint classification against a single clinical reference standard. You classify outcomes only — you do not direct clinical care, assess safety causality, or replace SAE/SUSAR/SOC reporting.</w:t>
      </w:r>
    </w:p>
    <w:p w14:paraId="224838BA" w14:textId="77777777" w:rsidR="00056F20" w:rsidRDefault="0071546E">
      <w:pPr>
        <w:spacing w:after="100" w:line="264" w:lineRule="auto"/>
      </w:pPr>
      <w:r>
        <w:rPr>
          <w:b/>
          <w:bCs/>
        </w:rPr>
        <w:t>Five golden rules that override convenience:</w:t>
      </w:r>
    </w:p>
    <w:p w14:paraId="47B4F17D" w14:textId="77777777" w:rsidR="00056F20" w:rsidRDefault="0071546E">
      <w:pPr>
        <w:pStyle w:val="ListParagraph"/>
        <w:numPr>
          <w:ilvl w:val="0"/>
          <w:numId w:val="2"/>
        </w:numPr>
        <w:spacing w:after="60" w:line="258" w:lineRule="auto"/>
      </w:pPr>
      <w:r>
        <w:rPr>
          <w:b/>
          <w:bCs/>
        </w:rPr>
        <w:t xml:space="preserve">Stay blinded. </w:t>
      </w:r>
      <w:r>
        <w:t>You never see, request, infer or use sFlt-1/</w:t>
      </w:r>
      <w:proofErr w:type="spellStart"/>
      <w:r>
        <w:t>PlGF</w:t>
      </w:r>
      <w:proofErr w:type="spellEnd"/>
      <w:r>
        <w:t xml:space="preserve">, </w:t>
      </w:r>
      <w:proofErr w:type="spellStart"/>
      <w:r>
        <w:t>sEng</w:t>
      </w:r>
      <w:proofErr w:type="spellEnd"/>
      <w:r>
        <w:t>, or any point-of-care result until database lock.</w:t>
      </w:r>
    </w:p>
    <w:p w14:paraId="03A131EA" w14:textId="77777777" w:rsidR="00056F20" w:rsidRDefault="0071546E">
      <w:pPr>
        <w:pStyle w:val="ListParagraph"/>
        <w:numPr>
          <w:ilvl w:val="0"/>
          <w:numId w:val="2"/>
        </w:numPr>
        <w:spacing w:after="60" w:line="258" w:lineRule="auto"/>
      </w:pPr>
      <w:r>
        <w:rPr>
          <w:b/>
          <w:bCs/>
        </w:rPr>
        <w:t xml:space="preserve">Review independently. </w:t>
      </w:r>
      <w:r>
        <w:t>You do not confer with the other reviewer and cannot see their entry before concordance is determined.</w:t>
      </w:r>
    </w:p>
    <w:p w14:paraId="5A0487E4" w14:textId="77777777" w:rsidR="00056F20" w:rsidRDefault="0071546E">
      <w:pPr>
        <w:pStyle w:val="ListParagraph"/>
        <w:numPr>
          <w:ilvl w:val="0"/>
          <w:numId w:val="2"/>
        </w:numPr>
        <w:spacing w:after="60" w:line="258" w:lineRule="auto"/>
      </w:pPr>
      <w:r>
        <w:rPr>
          <w:b/>
          <w:bCs/>
        </w:rPr>
        <w:t xml:space="preserve">Protocol wins. </w:t>
      </w:r>
      <w:r>
        <w:t>Where a protocol definition differs from a general standard, the PROTECT-Africa definition prevails.</w:t>
      </w:r>
    </w:p>
    <w:p w14:paraId="7ADE2445" w14:textId="77777777" w:rsidR="00056F20" w:rsidRDefault="0071546E">
      <w:pPr>
        <w:pStyle w:val="ListParagraph"/>
        <w:numPr>
          <w:ilvl w:val="0"/>
          <w:numId w:val="2"/>
        </w:numPr>
        <w:spacing w:after="60" w:line="258" w:lineRule="auto"/>
      </w:pPr>
      <w:r>
        <w:rPr>
          <w:b/>
          <w:bCs/>
        </w:rPr>
        <w:t xml:space="preserve">Never guess. </w:t>
      </w:r>
      <w:r>
        <w:t xml:space="preserve">If data are missing, ambiguous or inconsistent, raise a query or mark the attribute not </w:t>
      </w:r>
      <w:proofErr w:type="spellStart"/>
      <w:r>
        <w:t>adjudicable</w:t>
      </w:r>
      <w:proofErr w:type="spellEnd"/>
      <w:r>
        <w:t xml:space="preserve"> — do not pick the more likely answer.</w:t>
      </w:r>
    </w:p>
    <w:p w14:paraId="3722613B" w14:textId="77777777" w:rsidR="00056F20" w:rsidRDefault="0071546E">
      <w:pPr>
        <w:pStyle w:val="ListParagraph"/>
        <w:numPr>
          <w:ilvl w:val="0"/>
          <w:numId w:val="2"/>
        </w:numPr>
        <w:spacing w:after="60" w:line="258" w:lineRule="auto"/>
      </w:pPr>
      <w:r>
        <w:rPr>
          <w:b/>
          <w:bCs/>
        </w:rPr>
        <w:t xml:space="preserve">Document the reason. </w:t>
      </w:r>
      <w:r>
        <w:t>Every classification carries a written rationale naming the criteria applied and the data relied on.</w:t>
      </w:r>
    </w:p>
    <w:p w14:paraId="3CF8D925" w14:textId="77777777" w:rsidR="00056F20" w:rsidRDefault="0071546E">
      <w:pPr>
        <w:pStyle w:val="Heading1"/>
        <w:spacing w:before="260" w:after="120"/>
      </w:pPr>
      <w:proofErr w:type="gramStart"/>
      <w:r>
        <w:rPr>
          <w:b/>
          <w:bCs/>
          <w:color w:val="1F3A5F"/>
          <w:sz w:val="28"/>
          <w:szCs w:val="28"/>
        </w:rPr>
        <w:t>2  Before</w:t>
      </w:r>
      <w:proofErr w:type="gramEnd"/>
      <w:r>
        <w:rPr>
          <w:b/>
          <w:bCs/>
          <w:color w:val="1F3A5F"/>
          <w:sz w:val="28"/>
          <w:szCs w:val="28"/>
        </w:rPr>
        <w:t xml:space="preserve"> you start each case</w:t>
      </w:r>
    </w:p>
    <w:p w14:paraId="31AF2993" w14:textId="77777777" w:rsidR="00056F20" w:rsidRDefault="0071546E">
      <w:pPr>
        <w:pStyle w:val="ListParagraph"/>
        <w:numPr>
          <w:ilvl w:val="0"/>
          <w:numId w:val="3"/>
        </w:numPr>
        <w:spacing w:after="90" w:line="264" w:lineRule="auto"/>
      </w:pPr>
      <w:r>
        <w:rPr>
          <w:b/>
          <w:bCs/>
        </w:rPr>
        <w:t xml:space="preserve">Confirm the package is releasable. </w:t>
      </w:r>
      <w:r>
        <w:t xml:space="preserve">Only open packages the </w:t>
      </w:r>
      <w:proofErr w:type="gramStart"/>
      <w:r>
        <w:t>Coordinator</w:t>
      </w:r>
      <w:proofErr w:type="gramEnd"/>
      <w:r>
        <w:t xml:space="preserve"> has marked “blinding check passed” on FORM-ADJ-01. If you spot any biomarker/POC value or unblinding free-text, STOP, do not classify, and report it (FORM-ADJ-09).</w:t>
      </w:r>
    </w:p>
    <w:p w14:paraId="27DAAAAB" w14:textId="77777777" w:rsidR="00056F20" w:rsidRDefault="0071546E">
      <w:pPr>
        <w:pStyle w:val="ListParagraph"/>
        <w:numPr>
          <w:ilvl w:val="0"/>
          <w:numId w:val="3"/>
        </w:numPr>
        <w:spacing w:after="90" w:line="264" w:lineRule="auto"/>
      </w:pPr>
      <w:r>
        <w:rPr>
          <w:b/>
          <w:bCs/>
        </w:rPr>
        <w:t xml:space="preserve">Check for a conflict. </w:t>
      </w:r>
      <w:r>
        <w:t>If you are an investigator at, or provide clinical care for, the case’s site, you must recuse. Record the recusal (FORM-ADJ-08) and do not adjudicate that case.</w:t>
      </w:r>
    </w:p>
    <w:p w14:paraId="0AD239CA" w14:textId="77777777" w:rsidR="00056F20" w:rsidRDefault="0071546E">
      <w:pPr>
        <w:pStyle w:val="ListParagraph"/>
        <w:numPr>
          <w:ilvl w:val="0"/>
          <w:numId w:val="3"/>
        </w:numPr>
        <w:spacing w:after="90" w:line="264" w:lineRule="auto"/>
      </w:pPr>
      <w:r>
        <w:rPr>
          <w:b/>
          <w:bCs/>
        </w:rPr>
        <w:t xml:space="preserve">Confirm it is an EOPE case and identify the window. </w:t>
      </w:r>
      <w:r>
        <w:t>PROTECT-Africa uses rule-out within 1 and 2 weeks and rule-in within 2 and 4 weeks of Visit 1. On FORM-ADJ-02 you will tick either the 1/2-week or the 2/4-week window. Never apply the LOPE 14-day composite.</w:t>
      </w:r>
    </w:p>
    <w:p w14:paraId="3DFFC1CA" w14:textId="77777777" w:rsidR="00056F20" w:rsidRDefault="0071546E">
      <w:pPr>
        <w:pStyle w:val="Heading1"/>
        <w:spacing w:before="260" w:after="120"/>
      </w:pPr>
      <w:proofErr w:type="gramStart"/>
      <w:r>
        <w:rPr>
          <w:b/>
          <w:bCs/>
          <w:color w:val="1F3A5F"/>
          <w:sz w:val="28"/>
          <w:szCs w:val="28"/>
        </w:rPr>
        <w:t>3  Reviewing</w:t>
      </w:r>
      <w:proofErr w:type="gramEnd"/>
      <w:r>
        <w:rPr>
          <w:b/>
          <w:bCs/>
          <w:color w:val="1F3A5F"/>
          <w:sz w:val="28"/>
          <w:szCs w:val="28"/>
        </w:rPr>
        <w:t xml:space="preserve"> the case narrative</w:t>
      </w:r>
    </w:p>
    <w:p w14:paraId="17BA4032" w14:textId="77777777" w:rsidR="00056F20" w:rsidRDefault="0071546E">
      <w:pPr>
        <w:spacing w:after="100" w:line="264" w:lineRule="auto"/>
      </w:pPr>
      <w:r>
        <w:t xml:space="preserve">Read the whole standardized package: clinical history; serial blood pressure and proteinuria; laboratory results; obstetric course and interventions; delivery details; and neonatal outcomes. Establish the gestational-age timeline </w:t>
      </w:r>
      <w:r>
        <w:lastRenderedPageBreak/>
        <w:t>first, because onset timing drives the EOPE classification. Use the protocol dating hierarchy, preferring an ultrasound performed at or before 22 weeks where available.</w:t>
      </w:r>
    </w:p>
    <w:p w14:paraId="5F3D8186" w14:textId="77777777" w:rsidR="00056F20" w:rsidRDefault="0071546E">
      <w:pPr>
        <w:spacing w:after="100" w:line="264" w:lineRule="auto"/>
      </w:pPr>
      <w:r>
        <w:rPr>
          <w:b/>
          <w:bCs/>
        </w:rPr>
        <w:t xml:space="preserve">Adjudicate the full case, including uneventful ones. </w:t>
      </w:r>
      <w:r>
        <w:t>An outcome-free evaluable case is still classified (“No PE” with rationale). Skipping quiet cases biases the analysis denominator.</w:t>
      </w:r>
    </w:p>
    <w:p w14:paraId="559ED6D5" w14:textId="77777777" w:rsidR="00056F20" w:rsidRDefault="0071546E">
      <w:pPr>
        <w:pStyle w:val="Heading1"/>
        <w:spacing w:before="260" w:after="120"/>
      </w:pPr>
      <w:proofErr w:type="gramStart"/>
      <w:r>
        <w:rPr>
          <w:b/>
          <w:bCs/>
          <w:color w:val="1F3A5F"/>
          <w:sz w:val="28"/>
          <w:szCs w:val="28"/>
        </w:rPr>
        <w:t>4  Completing</w:t>
      </w:r>
      <w:proofErr w:type="gramEnd"/>
      <w:r>
        <w:rPr>
          <w:b/>
          <w:bCs/>
          <w:color w:val="1F3A5F"/>
          <w:sz w:val="28"/>
          <w:szCs w:val="28"/>
        </w:rPr>
        <w:t xml:space="preserve"> FORM-ADJ-02 (your classification)</w:t>
      </w:r>
    </w:p>
    <w:p w14:paraId="49A48B76" w14:textId="77777777" w:rsidR="00056F20" w:rsidRDefault="0071546E">
      <w:pPr>
        <w:spacing w:after="100" w:line="264" w:lineRule="auto"/>
      </w:pPr>
      <w:r>
        <w:t>Record each attribute below with its rationale. Apply the diagnostic definitions in Section 8.</w:t>
      </w:r>
    </w:p>
    <w:tbl>
      <w:tblPr>
        <w:tblW w:w="9360" w:type="dxa"/>
        <w:tblBorders>
          <w:top w:val="single" w:sz="3" w:space="0" w:color="C7D2DB"/>
          <w:left w:val="single" w:sz="3" w:space="0" w:color="C7D2DB"/>
          <w:bottom w:val="single" w:sz="3" w:space="0" w:color="C7D2DB"/>
          <w:right w:val="single" w:sz="3" w:space="0" w:color="C7D2DB"/>
          <w:insideH w:val="single" w:sz="3" w:space="0" w:color="C7D2DB"/>
          <w:insideV w:val="single" w:sz="3" w:space="0" w:color="C7D2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230"/>
        <w:gridCol w:w="4230"/>
      </w:tblGrid>
      <w:tr w:rsidR="00056F20" w14:paraId="0C8B82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6FECA" w14:textId="77777777" w:rsidR="00056F20" w:rsidRDefault="0071546E"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323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96BD0" w14:textId="77777777" w:rsidR="00056F20" w:rsidRDefault="0071546E">
            <w:r>
              <w:rPr>
                <w:b/>
                <w:bCs/>
                <w:color w:val="FFFFFF"/>
                <w:sz w:val="19"/>
                <w:szCs w:val="19"/>
              </w:rPr>
              <w:t>What to record</w:t>
            </w:r>
          </w:p>
        </w:tc>
        <w:tc>
          <w:tcPr>
            <w:tcW w:w="423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A01FF" w14:textId="77777777" w:rsidR="00056F20" w:rsidRDefault="0071546E">
            <w:r>
              <w:rPr>
                <w:b/>
                <w:bCs/>
                <w:color w:val="FFFFFF"/>
                <w:sz w:val="19"/>
                <w:szCs w:val="19"/>
              </w:rPr>
              <w:t>EOPE-specific rule / threshold</w:t>
            </w:r>
          </w:p>
        </w:tc>
      </w:tr>
      <w:tr w:rsidR="00056F20" w14:paraId="7C29475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D0F5F" w14:textId="77777777" w:rsidR="00056F20" w:rsidRDefault="0071546E">
            <w:r>
              <w:rPr>
                <w:color w:val="000000"/>
                <w:sz w:val="19"/>
                <w:szCs w:val="19"/>
              </w:rPr>
              <w:t>Primary outcome</w:t>
            </w:r>
          </w:p>
        </w:tc>
        <w:tc>
          <w:tcPr>
            <w:tcW w:w="32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39D5C" w14:textId="77777777" w:rsidR="00056F20" w:rsidRDefault="0071546E">
            <w:r>
              <w:rPr>
                <w:color w:val="000000"/>
                <w:sz w:val="19"/>
                <w:szCs w:val="19"/>
              </w:rPr>
              <w:t>No PE / PE / Severe PE / Eclampsia / HELLP</w:t>
            </w:r>
          </w:p>
        </w:tc>
        <w:tc>
          <w:tcPr>
            <w:tcW w:w="42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890D6" w14:textId="77777777" w:rsidR="00056F20" w:rsidRDefault="0071546E">
            <w:r>
              <w:rPr>
                <w:color w:val="000000"/>
                <w:sz w:val="19"/>
                <w:szCs w:val="19"/>
              </w:rPr>
              <w:t>HELLP: AST &gt;70 IU/L, LDH &gt;600 IU/L, platelets &lt;100,000/µL</w:t>
            </w:r>
          </w:p>
        </w:tc>
      </w:tr>
      <w:tr w:rsidR="00056F20" w14:paraId="4901652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2E07F" w14:textId="77777777" w:rsidR="00056F20" w:rsidRDefault="0071546E">
            <w:r>
              <w:rPr>
                <w:color w:val="000000"/>
                <w:sz w:val="19"/>
                <w:szCs w:val="19"/>
              </w:rPr>
              <w:t>Timing of onset</w:t>
            </w:r>
          </w:p>
        </w:tc>
        <w:tc>
          <w:tcPr>
            <w:tcW w:w="32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B46C5" w14:textId="77777777" w:rsidR="00056F20" w:rsidRDefault="0071546E">
            <w:r>
              <w:rPr>
                <w:color w:val="000000"/>
                <w:sz w:val="19"/>
                <w:szCs w:val="19"/>
              </w:rPr>
              <w:t>Date and gestational age at which the case FIRST meets diagnostic criteria</w:t>
            </w:r>
          </w:p>
        </w:tc>
        <w:tc>
          <w:tcPr>
            <w:tcW w:w="42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6DD38" w14:textId="77777777" w:rsidR="00056F20" w:rsidRDefault="0071546E">
            <w:r>
              <w:rPr>
                <w:color w:val="000000"/>
                <w:sz w:val="19"/>
                <w:szCs w:val="19"/>
              </w:rPr>
              <w:t>By onset, not by delivery date</w:t>
            </w:r>
          </w:p>
        </w:tc>
      </w:tr>
      <w:tr w:rsidR="00056F20" w14:paraId="7C19A3B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2E276" w14:textId="77777777" w:rsidR="00056F20" w:rsidRDefault="0071546E">
            <w:r>
              <w:rPr>
                <w:color w:val="000000"/>
                <w:sz w:val="19"/>
                <w:szCs w:val="19"/>
              </w:rPr>
              <w:t>Onset classification</w:t>
            </w:r>
          </w:p>
        </w:tc>
        <w:tc>
          <w:tcPr>
            <w:tcW w:w="32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69969" w14:textId="77777777" w:rsidR="00056F20" w:rsidRDefault="0071546E">
            <w:r>
              <w:rPr>
                <w:color w:val="000000"/>
                <w:sz w:val="19"/>
                <w:szCs w:val="19"/>
              </w:rPr>
              <w:t>Early-onset vs late-onset</w:t>
            </w:r>
          </w:p>
        </w:tc>
        <w:tc>
          <w:tcPr>
            <w:tcW w:w="42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85B76" w14:textId="77777777" w:rsidR="00056F20" w:rsidRDefault="0071546E">
            <w:r>
              <w:rPr>
                <w:color w:val="000000"/>
                <w:sz w:val="19"/>
                <w:szCs w:val="19"/>
              </w:rPr>
              <w:t xml:space="preserve">Onset &lt;34+0 </w:t>
            </w:r>
            <w:proofErr w:type="spellStart"/>
            <w:r>
              <w:rPr>
                <w:color w:val="000000"/>
                <w:sz w:val="19"/>
                <w:szCs w:val="19"/>
              </w:rPr>
              <w:t>wk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early; ≥34+0 </w:t>
            </w:r>
            <w:proofErr w:type="spellStart"/>
            <w:r>
              <w:rPr>
                <w:color w:val="000000"/>
                <w:sz w:val="19"/>
                <w:szCs w:val="19"/>
              </w:rPr>
              <w:t>wk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late (see Section 5)</w:t>
            </w:r>
          </w:p>
        </w:tc>
      </w:tr>
      <w:tr w:rsidR="00056F20" w14:paraId="07794B2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9B7BB" w14:textId="77777777" w:rsidR="00056F20" w:rsidRDefault="0071546E">
            <w:r>
              <w:rPr>
                <w:color w:val="000000"/>
                <w:sz w:val="19"/>
                <w:szCs w:val="19"/>
              </w:rPr>
              <w:t>Severe features</w:t>
            </w:r>
          </w:p>
        </w:tc>
        <w:tc>
          <w:tcPr>
            <w:tcW w:w="32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A79A4" w14:textId="77777777" w:rsidR="00056F20" w:rsidRDefault="0071546E">
            <w:r>
              <w:rPr>
                <w:color w:val="000000"/>
                <w:sz w:val="19"/>
                <w:szCs w:val="19"/>
              </w:rPr>
              <w:t>Present: Yes / No</w:t>
            </w:r>
          </w:p>
        </w:tc>
        <w:tc>
          <w:tcPr>
            <w:tcW w:w="42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97A65" w14:textId="77777777" w:rsidR="00056F20" w:rsidRDefault="0071546E">
            <w:r>
              <w:rPr>
                <w:color w:val="000000"/>
                <w:sz w:val="19"/>
                <w:szCs w:val="19"/>
              </w:rPr>
              <w:t>SBP ≥160 and/or DBP ≥110; severe-range proteinuria; renal/liver impairment; pulmonary oedema; neuro/visual; low platelets/</w:t>
            </w:r>
            <w:proofErr w:type="spellStart"/>
            <w:r>
              <w:rPr>
                <w:color w:val="000000"/>
                <w:sz w:val="19"/>
                <w:szCs w:val="19"/>
              </w:rPr>
              <w:t>haemolysis</w:t>
            </w:r>
            <w:proofErr w:type="spellEnd"/>
            <w:r>
              <w:rPr>
                <w:color w:val="000000"/>
                <w:sz w:val="19"/>
                <w:szCs w:val="19"/>
              </w:rPr>
              <w:t>; IUGR</w:t>
            </w:r>
          </w:p>
        </w:tc>
      </w:tr>
      <w:tr w:rsidR="00056F20" w14:paraId="33B048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52EE6" w14:textId="77777777" w:rsidR="00056F20" w:rsidRDefault="0071546E">
            <w:r>
              <w:rPr>
                <w:color w:val="000000"/>
                <w:sz w:val="19"/>
                <w:szCs w:val="19"/>
              </w:rPr>
              <w:t>Maternal composite</w:t>
            </w:r>
          </w:p>
        </w:tc>
        <w:tc>
          <w:tcPr>
            <w:tcW w:w="32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50094" w14:textId="77777777" w:rsidR="00056F20" w:rsidRDefault="0071546E">
            <w:r>
              <w:rPr>
                <w:color w:val="000000"/>
                <w:sz w:val="19"/>
                <w:szCs w:val="19"/>
              </w:rPr>
              <w:t>Tick items within the window, or None</w:t>
            </w:r>
          </w:p>
        </w:tc>
        <w:tc>
          <w:tcPr>
            <w:tcW w:w="42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3EB22" w14:textId="77777777" w:rsidR="00056F20" w:rsidRDefault="0071546E">
            <w:r>
              <w:rPr>
                <w:color w:val="000000"/>
                <w:sz w:val="19"/>
                <w:szCs w:val="19"/>
              </w:rPr>
              <w:t xml:space="preserve">Maternal death; pulmonary oedema; acute renal failure; cerebral </w:t>
            </w:r>
            <w:proofErr w:type="spellStart"/>
            <w:r>
              <w:rPr>
                <w:color w:val="000000"/>
                <w:sz w:val="19"/>
                <w:szCs w:val="19"/>
              </w:rPr>
              <w:t>haemorrhage</w:t>
            </w:r>
            <w:proofErr w:type="spellEnd"/>
            <w:r>
              <w:rPr>
                <w:color w:val="000000"/>
                <w:sz w:val="19"/>
                <w:szCs w:val="19"/>
              </w:rPr>
              <w:t>; cerebral thrombosis; DIC</w:t>
            </w:r>
          </w:p>
        </w:tc>
      </w:tr>
      <w:tr w:rsidR="00056F20" w14:paraId="788B83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BC620" w14:textId="77777777" w:rsidR="00056F20" w:rsidRDefault="0071546E">
            <w:r>
              <w:rPr>
                <w:color w:val="000000"/>
                <w:sz w:val="19"/>
                <w:szCs w:val="19"/>
              </w:rPr>
              <w:t>Neonatal composite</w:t>
            </w:r>
          </w:p>
        </w:tc>
        <w:tc>
          <w:tcPr>
            <w:tcW w:w="32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C6C95" w14:textId="77777777" w:rsidR="00056F20" w:rsidRDefault="0071546E">
            <w:r>
              <w:rPr>
                <w:color w:val="000000"/>
                <w:sz w:val="19"/>
                <w:szCs w:val="19"/>
              </w:rPr>
              <w:t>Tick items within the window, or None</w:t>
            </w:r>
          </w:p>
        </w:tc>
        <w:tc>
          <w:tcPr>
            <w:tcW w:w="42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E3106" w14:textId="77777777" w:rsidR="00056F20" w:rsidRDefault="0071546E">
            <w:r>
              <w:rPr>
                <w:color w:val="000000"/>
                <w:sz w:val="19"/>
                <w:szCs w:val="19"/>
              </w:rPr>
              <w:t xml:space="preserve">Perinatal/fetal death; delivery &lt;34 </w:t>
            </w:r>
            <w:proofErr w:type="spellStart"/>
            <w:r>
              <w:rPr>
                <w:color w:val="000000"/>
                <w:sz w:val="19"/>
                <w:szCs w:val="19"/>
              </w:rPr>
              <w:t>wk</w:t>
            </w:r>
            <w:proofErr w:type="spellEnd"/>
            <w:r>
              <w:rPr>
                <w:color w:val="000000"/>
                <w:sz w:val="19"/>
                <w:szCs w:val="19"/>
              </w:rPr>
              <w:t>; IUGR; placental abruption; respiratory distress; NEC; IVH</w:t>
            </w:r>
          </w:p>
        </w:tc>
      </w:tr>
      <w:tr w:rsidR="00056F20" w14:paraId="2EB851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F8728" w14:textId="77777777" w:rsidR="00056F20" w:rsidRDefault="0071546E">
            <w:r>
              <w:rPr>
                <w:color w:val="000000"/>
                <w:sz w:val="19"/>
                <w:szCs w:val="19"/>
              </w:rPr>
              <w:t>Relationship to PE</w:t>
            </w:r>
          </w:p>
        </w:tc>
        <w:tc>
          <w:tcPr>
            <w:tcW w:w="32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0BFB5" w14:textId="77777777" w:rsidR="00056F20" w:rsidRDefault="0071546E">
            <w:r>
              <w:rPr>
                <w:color w:val="000000"/>
                <w:sz w:val="19"/>
                <w:szCs w:val="19"/>
              </w:rPr>
              <w:t>Attributable / Not attributable / Uncertain</w:t>
            </w:r>
          </w:p>
        </w:tc>
        <w:tc>
          <w:tcPr>
            <w:tcW w:w="42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742BE" w14:textId="77777777" w:rsidR="00056F20" w:rsidRDefault="0071546E">
            <w:r>
              <w:rPr>
                <w:color w:val="000000"/>
                <w:sz w:val="19"/>
                <w:szCs w:val="19"/>
              </w:rPr>
              <w:t>Clinical-classification judgement (not safety causality)</w:t>
            </w:r>
          </w:p>
        </w:tc>
      </w:tr>
      <w:tr w:rsidR="00056F20" w14:paraId="48CF02F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BC3F0" w14:textId="77777777" w:rsidR="00056F20" w:rsidRDefault="0071546E">
            <w:proofErr w:type="spellStart"/>
            <w:r>
              <w:rPr>
                <w:color w:val="000000"/>
                <w:sz w:val="19"/>
                <w:szCs w:val="19"/>
              </w:rPr>
              <w:t>Adjudicable</w:t>
            </w:r>
            <w:proofErr w:type="spellEnd"/>
          </w:p>
        </w:tc>
        <w:tc>
          <w:tcPr>
            <w:tcW w:w="32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8B49D" w14:textId="77777777" w:rsidR="00056F20" w:rsidRDefault="0071546E">
            <w:r>
              <w:rPr>
                <w:color w:val="000000"/>
                <w:sz w:val="19"/>
                <w:szCs w:val="19"/>
              </w:rPr>
              <w:t xml:space="preserve">Yes / Not </w:t>
            </w:r>
            <w:proofErr w:type="spellStart"/>
            <w:r>
              <w:rPr>
                <w:color w:val="000000"/>
                <w:sz w:val="19"/>
                <w:szCs w:val="19"/>
              </w:rPr>
              <w:t>adjudicable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(with reason)</w:t>
            </w:r>
          </w:p>
        </w:tc>
        <w:tc>
          <w:tcPr>
            <w:tcW w:w="42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5D090" w14:textId="77777777" w:rsidR="00056F20" w:rsidRDefault="0071546E">
            <w:r>
              <w:rPr>
                <w:color w:val="000000"/>
                <w:sz w:val="19"/>
                <w:szCs w:val="19"/>
              </w:rPr>
              <w:t>If not, route per Section 6</w:t>
            </w:r>
          </w:p>
        </w:tc>
      </w:tr>
    </w:tbl>
    <w:p w14:paraId="48B0E790" w14:textId="77777777" w:rsidR="00056F20" w:rsidRDefault="0071546E">
      <w:pPr>
        <w:spacing w:before="120" w:after="100"/>
      </w:pPr>
      <w:r>
        <w:rPr>
          <w:b/>
          <w:bCs/>
        </w:rPr>
        <w:t xml:space="preserve">Then write your rationale: </w:t>
      </w:r>
      <w:r>
        <w:t>for each classified attribute, name the criteria applied and the specific data points relied on. Sign and date. Do this without conferring with the other reviewer.</w:t>
      </w:r>
    </w:p>
    <w:p w14:paraId="45B05D7F" w14:textId="77777777" w:rsidR="00056F20" w:rsidRDefault="0071546E">
      <w:pPr>
        <w:pStyle w:val="Heading1"/>
        <w:spacing w:before="260" w:after="120"/>
      </w:pPr>
      <w:proofErr w:type="gramStart"/>
      <w:r>
        <w:rPr>
          <w:b/>
          <w:bCs/>
          <w:color w:val="1F3A5F"/>
          <w:sz w:val="28"/>
          <w:szCs w:val="28"/>
        </w:rPr>
        <w:t>5  The</w:t>
      </w:r>
      <w:proofErr w:type="gramEnd"/>
      <w:r>
        <w:rPr>
          <w:b/>
          <w:bCs/>
          <w:color w:val="1F3A5F"/>
          <w:sz w:val="28"/>
          <w:szCs w:val="28"/>
        </w:rPr>
        <w:t xml:space="preserve"> 34+0-week boundary rule (EOPE-critical)</w:t>
      </w:r>
    </w:p>
    <w:tbl>
      <w:tblPr>
        <w:tblW w:w="9360" w:type="dxa"/>
        <w:tblBorders>
          <w:top w:val="single" w:sz="3" w:space="0" w:color="C7D2DB"/>
          <w:left w:val="single" w:sz="3" w:space="0" w:color="C7D2DB"/>
          <w:bottom w:val="single" w:sz="3" w:space="0" w:color="C7D2DB"/>
          <w:right w:val="single" w:sz="3" w:space="0" w:color="C7D2DB"/>
          <w:insideH w:val="single" w:sz="3" w:space="0" w:color="C7D2DB"/>
          <w:insideV w:val="single" w:sz="3" w:space="0" w:color="C7D2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6F20" w14:paraId="06B49D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EED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FB757" w14:textId="77777777" w:rsidR="00056F20" w:rsidRDefault="0071546E">
            <w:pPr>
              <w:spacing w:after="100" w:line="264" w:lineRule="auto"/>
            </w:pPr>
            <w:r>
              <w:t>Classify by gestational age at which the case first meets diagnostic criteria for PE/eclampsia/HELLP — not by delivery date. Onset before 34+0 weeks is early-onset; at or after 34+0 weeks is late-onset.</w:t>
            </w:r>
          </w:p>
          <w:p w14:paraId="02295528" w14:textId="77777777" w:rsidR="00056F20" w:rsidRDefault="0071546E">
            <w:r>
              <w:rPr>
                <w:b/>
                <w:bCs/>
              </w:rPr>
              <w:t xml:space="preserve">Do not decide a boundary case alone. </w:t>
            </w:r>
            <w:r>
              <w:t>Any case near 34+0 weeks requires at least three OAC members or a quorate panel discussion, with the rationale documented. Give your provisional view, then flag for escalation.</w:t>
            </w:r>
          </w:p>
        </w:tc>
      </w:tr>
    </w:tbl>
    <w:p w14:paraId="59FC93F1" w14:textId="77777777" w:rsidR="00056F20" w:rsidRDefault="0071546E">
      <w:pPr>
        <w:pStyle w:val="Heading1"/>
        <w:spacing w:before="260" w:after="120"/>
      </w:pPr>
      <w:proofErr w:type="gramStart"/>
      <w:r>
        <w:rPr>
          <w:b/>
          <w:bCs/>
          <w:color w:val="1F3A5F"/>
          <w:sz w:val="28"/>
          <w:szCs w:val="28"/>
        </w:rPr>
        <w:t>6  Decision</w:t>
      </w:r>
      <w:proofErr w:type="gramEnd"/>
      <w:r>
        <w:rPr>
          <w:b/>
          <w:bCs/>
          <w:color w:val="1F3A5F"/>
          <w:sz w:val="28"/>
          <w:szCs w:val="28"/>
        </w:rPr>
        <w:t>, escalation and data-handling rules</w:t>
      </w:r>
    </w:p>
    <w:p w14:paraId="49C461AD" w14:textId="77777777" w:rsidR="00056F20" w:rsidRDefault="0071546E">
      <w:pPr>
        <w:spacing w:after="100" w:line="264" w:lineRule="auto"/>
      </w:pPr>
      <w:r>
        <w:rPr>
          <w:b/>
          <w:bCs/>
        </w:rPr>
        <w:t xml:space="preserve">Two concordant reviews → final. </w:t>
      </w:r>
      <w:r>
        <w:t>If your classification matches the second independent reviewer, it is accepted as final and recorded in the EOPE adjudication log (FORM-ADJ-11).</w:t>
      </w:r>
    </w:p>
    <w:p w14:paraId="0DE4124D" w14:textId="77777777" w:rsidR="00056F20" w:rsidRDefault="0071546E">
      <w:pPr>
        <w:spacing w:after="100" w:line="264" w:lineRule="auto"/>
      </w:pPr>
      <w:r>
        <w:rPr>
          <w:b/>
          <w:bCs/>
        </w:rPr>
        <w:t xml:space="preserve">Discordant → third review. </w:t>
      </w:r>
      <w:r>
        <w:t>A third independent, non-conflicted reviewer adjudicates on FORM-ADJ-04; the case is resolved by majority of reviewing members at the next scheduled or expedited meeting.</w:t>
      </w:r>
    </w:p>
    <w:p w14:paraId="019ECF65" w14:textId="77777777" w:rsidR="00056F20" w:rsidRDefault="0071546E">
      <w:pPr>
        <w:spacing w:after="100" w:line="264" w:lineRule="auto"/>
      </w:pPr>
      <w:r>
        <w:rPr>
          <w:b/>
          <w:bCs/>
        </w:rPr>
        <w:t xml:space="preserve">No majority → panel / Chair tie-break. </w:t>
      </w:r>
      <w:r>
        <w:t>The quorate OAC discusses; on a documented persistent deadlock the Chair casts the deciding view. Any dissent is recorded.</w:t>
      </w:r>
    </w:p>
    <w:p w14:paraId="44870ABE" w14:textId="77777777" w:rsidR="00056F20" w:rsidRDefault="0071546E">
      <w:pPr>
        <w:spacing w:after="100" w:line="264" w:lineRule="auto"/>
      </w:pPr>
      <w:r>
        <w:rPr>
          <w:b/>
          <w:bCs/>
        </w:rPr>
        <w:lastRenderedPageBreak/>
        <w:t xml:space="preserve">Missing / unclear data → query. </w:t>
      </w:r>
      <w:r>
        <w:t>Raise a written data query (FORM-ADJ-05); hold that attribute pending the site response.</w:t>
      </w:r>
    </w:p>
    <w:p w14:paraId="0BB3E595" w14:textId="77777777" w:rsidR="00056F20" w:rsidRDefault="0071546E">
      <w:pPr>
        <w:spacing w:after="100" w:line="264" w:lineRule="auto"/>
      </w:pPr>
      <w:r>
        <w:rPr>
          <w:b/>
          <w:bCs/>
        </w:rPr>
        <w:t xml:space="preserve">Still unresolved → not </w:t>
      </w:r>
      <w:proofErr w:type="spellStart"/>
      <w:r>
        <w:rPr>
          <w:b/>
          <w:bCs/>
        </w:rPr>
        <w:t>adjudicable</w:t>
      </w:r>
      <w:proofErr w:type="spellEnd"/>
      <w:r>
        <w:rPr>
          <w:b/>
          <w:bCs/>
        </w:rPr>
        <w:t xml:space="preserve">. </w:t>
      </w:r>
      <w:r>
        <w:t xml:space="preserve">If no classification is possible within the protocol window, record the attribute as “not </w:t>
      </w:r>
      <w:proofErr w:type="spellStart"/>
      <w:r>
        <w:t>adjudicable</w:t>
      </w:r>
      <w:proofErr w:type="spellEnd"/>
      <w:r>
        <w:t>” with a reason (FORM-ADJ-06). Never drop it silently.</w:t>
      </w:r>
    </w:p>
    <w:p w14:paraId="0F7B39CF" w14:textId="77777777" w:rsidR="00056F20" w:rsidRDefault="0071546E">
      <w:pPr>
        <w:pStyle w:val="Heading1"/>
        <w:spacing w:before="260" w:after="120"/>
      </w:pPr>
      <w:proofErr w:type="gramStart"/>
      <w:r>
        <w:rPr>
          <w:b/>
          <w:bCs/>
          <w:color w:val="1F3A5F"/>
          <w:sz w:val="28"/>
          <w:szCs w:val="28"/>
        </w:rPr>
        <w:t>7  Expedited</w:t>
      </w:r>
      <w:proofErr w:type="gramEnd"/>
      <w:r>
        <w:rPr>
          <w:b/>
          <w:bCs/>
          <w:color w:val="1F3A5F"/>
          <w:sz w:val="28"/>
          <w:szCs w:val="28"/>
        </w:rPr>
        <w:t xml:space="preserve"> (sentinel) </w:t>
      </w:r>
      <w:proofErr w:type="gramStart"/>
      <w:r>
        <w:rPr>
          <w:b/>
          <w:bCs/>
          <w:color w:val="1F3A5F"/>
          <w:sz w:val="28"/>
          <w:szCs w:val="28"/>
        </w:rPr>
        <w:t>path</w:t>
      </w:r>
      <w:proofErr w:type="gramEnd"/>
    </w:p>
    <w:p w14:paraId="056561EA" w14:textId="77777777" w:rsidR="00056F20" w:rsidRDefault="0071546E">
      <w:pPr>
        <w:spacing w:after="100" w:line="264" w:lineRule="auto"/>
      </w:pPr>
      <w:r>
        <w:t xml:space="preserve">Sentinel events are pulled out of the normal batch and adjudicated immediately on FORM-ADJ-07: maternal death, eclampsia, HELLP, stroke/cerebral </w:t>
      </w:r>
      <w:proofErr w:type="spellStart"/>
      <w:r>
        <w:t>haemorrhage</w:t>
      </w:r>
      <w:proofErr w:type="spellEnd"/>
      <w:r>
        <w:t>, pulmonary oedema, acute renal failure, DIC, ICU admission, stillbirth, neonatal/perinatal death. Expedited review is for endpoint classification only; it never replaces or delays SAE recording or safety notification.</w:t>
      </w:r>
    </w:p>
    <w:p w14:paraId="1D6A0BD3" w14:textId="77777777" w:rsidR="00056F20" w:rsidRDefault="0071546E">
      <w:r>
        <w:br w:type="page"/>
      </w:r>
    </w:p>
    <w:p w14:paraId="085471E0" w14:textId="77777777" w:rsidR="00056F20" w:rsidRDefault="0071546E">
      <w:pPr>
        <w:pStyle w:val="Heading1"/>
        <w:spacing w:before="260" w:after="120"/>
      </w:pPr>
      <w:proofErr w:type="gramStart"/>
      <w:r>
        <w:rPr>
          <w:b/>
          <w:bCs/>
          <w:color w:val="1F3A5F"/>
          <w:sz w:val="28"/>
          <w:szCs w:val="28"/>
        </w:rPr>
        <w:lastRenderedPageBreak/>
        <w:t>8  Diagnostic</w:t>
      </w:r>
      <w:proofErr w:type="gramEnd"/>
      <w:r>
        <w:rPr>
          <w:b/>
          <w:bCs/>
          <w:color w:val="1F3A5F"/>
          <w:sz w:val="28"/>
          <w:szCs w:val="28"/>
        </w:rPr>
        <w:t xml:space="preserve"> criteria to apply (EOPE reference)</w:t>
      </w:r>
    </w:p>
    <w:p w14:paraId="2AA15825" w14:textId="77777777" w:rsidR="00056F20" w:rsidRDefault="0071546E">
      <w:pPr>
        <w:spacing w:after="100" w:line="264" w:lineRule="auto"/>
      </w:pPr>
      <w:r>
        <w:t>Protocol-precedence applies; thresholds below are the EOPE operational definitions.</w:t>
      </w:r>
    </w:p>
    <w:tbl>
      <w:tblPr>
        <w:tblW w:w="9360" w:type="dxa"/>
        <w:tblBorders>
          <w:top w:val="single" w:sz="3" w:space="0" w:color="C7D2DB"/>
          <w:left w:val="single" w:sz="3" w:space="0" w:color="C7D2DB"/>
          <w:bottom w:val="single" w:sz="3" w:space="0" w:color="C7D2DB"/>
          <w:right w:val="single" w:sz="3" w:space="0" w:color="C7D2DB"/>
          <w:insideH w:val="single" w:sz="3" w:space="0" w:color="C7D2DB"/>
          <w:insideV w:val="single" w:sz="3" w:space="0" w:color="C7D2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56F20" w14:paraId="76FE75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F5F02" w14:textId="77777777" w:rsidR="00056F20" w:rsidRDefault="0071546E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676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C81DA" w14:textId="77777777" w:rsidR="00056F20" w:rsidRDefault="0071546E">
            <w:r>
              <w:rPr>
                <w:b/>
                <w:bCs/>
                <w:color w:val="FFFFFF"/>
                <w:sz w:val="19"/>
                <w:szCs w:val="19"/>
              </w:rPr>
              <w:t>Operational definition</w:t>
            </w:r>
          </w:p>
        </w:tc>
      </w:tr>
      <w:tr w:rsidR="00056F20" w14:paraId="092913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D82AC" w14:textId="77777777" w:rsidR="00056F20" w:rsidRDefault="0071546E">
            <w:r>
              <w:rPr>
                <w:color w:val="000000"/>
                <w:sz w:val="19"/>
                <w:szCs w:val="19"/>
              </w:rPr>
              <w:t>Hypertension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AC80B" w14:textId="77777777" w:rsidR="00056F20" w:rsidRDefault="0071546E">
            <w:r>
              <w:rPr>
                <w:color w:val="000000"/>
                <w:sz w:val="19"/>
                <w:szCs w:val="19"/>
              </w:rPr>
              <w:t>SBP ≥140 and/or DBP ≥90 mmHg on two occasions ≥6 hours apart (within 1 week), or controlled pre-existing hypertension on therapy.</w:t>
            </w:r>
          </w:p>
        </w:tc>
      </w:tr>
      <w:tr w:rsidR="00056F20" w14:paraId="041AAB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951B9" w14:textId="77777777" w:rsidR="00056F20" w:rsidRDefault="0071546E">
            <w:r>
              <w:rPr>
                <w:color w:val="000000"/>
                <w:sz w:val="19"/>
                <w:szCs w:val="19"/>
              </w:rPr>
              <w:t>Chronic hypertension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0E5BF" w14:textId="77777777" w:rsidR="00056F20" w:rsidRDefault="0071546E">
            <w:r>
              <w:rPr>
                <w:color w:val="000000"/>
                <w:sz w:val="19"/>
                <w:szCs w:val="19"/>
              </w:rPr>
              <w:t>Diagnosed pre-conceptionally or before 20 weeks, persisting &gt;12 weeks postpartum.</w:t>
            </w:r>
          </w:p>
        </w:tc>
      </w:tr>
      <w:tr w:rsidR="00056F20" w14:paraId="7A42E1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F42AD" w14:textId="77777777" w:rsidR="00056F20" w:rsidRDefault="0071546E">
            <w:r>
              <w:rPr>
                <w:color w:val="000000"/>
                <w:sz w:val="19"/>
                <w:szCs w:val="19"/>
              </w:rPr>
              <w:t>Proteinuria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DA4AA" w14:textId="77777777" w:rsidR="00056F20" w:rsidRDefault="0071546E">
            <w:r>
              <w:rPr>
                <w:color w:val="000000"/>
                <w:sz w:val="19"/>
                <w:szCs w:val="19"/>
              </w:rPr>
              <w:t>≥0.3 g/24 h (or dipstick ≥2+, or spot protein/creatinine ratio at the protocol threshold).</w:t>
            </w:r>
          </w:p>
        </w:tc>
      </w:tr>
      <w:tr w:rsidR="00056F20" w14:paraId="162DAA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413F3" w14:textId="77777777" w:rsidR="00056F20" w:rsidRDefault="0071546E">
            <w:r>
              <w:rPr>
                <w:color w:val="000000"/>
                <w:sz w:val="19"/>
                <w:szCs w:val="19"/>
              </w:rPr>
              <w:t>Preeclampsia (PE)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E5347" w14:textId="77777777" w:rsidR="00056F20" w:rsidRDefault="0071546E">
            <w:r>
              <w:rPr>
                <w:color w:val="000000"/>
                <w:sz w:val="19"/>
                <w:szCs w:val="19"/>
              </w:rPr>
              <w:t xml:space="preserve">New-onset hypertension and proteinuria after 20 weeks (or hypertension with </w:t>
            </w:r>
            <w:proofErr w:type="gramStart"/>
            <w:r>
              <w:rPr>
                <w:color w:val="000000"/>
                <w:sz w:val="19"/>
                <w:szCs w:val="19"/>
              </w:rPr>
              <w:t>other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maternal organ or uteroplacental dysfunction).</w:t>
            </w:r>
          </w:p>
        </w:tc>
      </w:tr>
      <w:tr w:rsidR="00056F20" w14:paraId="31DDD2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C22B1" w14:textId="77777777" w:rsidR="00056F20" w:rsidRDefault="0071546E">
            <w:r>
              <w:rPr>
                <w:color w:val="000000"/>
                <w:sz w:val="19"/>
                <w:szCs w:val="19"/>
              </w:rPr>
              <w:t>Severe preeclampsia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BD9C3" w14:textId="77777777" w:rsidR="00056F20" w:rsidRDefault="0071546E">
            <w:r>
              <w:rPr>
                <w:color w:val="000000"/>
                <w:sz w:val="19"/>
                <w:szCs w:val="19"/>
              </w:rPr>
              <w:t>PE with ≥1 severe feature: SBP ≥160 and/or DBP ≥110; severe-range proteinuria; impaired renal function; pulmonary oedema; impaired liver function with RUQ/epigastric pain; neurological/visual symptoms; thrombocytopenia/</w:t>
            </w:r>
            <w:proofErr w:type="spellStart"/>
            <w:r>
              <w:rPr>
                <w:color w:val="000000"/>
                <w:sz w:val="19"/>
                <w:szCs w:val="19"/>
              </w:rPr>
              <w:t>haemolysis</w:t>
            </w:r>
            <w:proofErr w:type="spellEnd"/>
            <w:r>
              <w:rPr>
                <w:color w:val="000000"/>
                <w:sz w:val="19"/>
                <w:szCs w:val="19"/>
              </w:rPr>
              <w:t>; IUGR.</w:t>
            </w:r>
          </w:p>
        </w:tc>
      </w:tr>
      <w:tr w:rsidR="00056F20" w14:paraId="19AB18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D7B4DF" w14:textId="77777777" w:rsidR="00056F20" w:rsidRDefault="0071546E">
            <w:r>
              <w:rPr>
                <w:color w:val="000000"/>
                <w:sz w:val="19"/>
                <w:szCs w:val="19"/>
              </w:rPr>
              <w:t>Eclampsia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29DC3" w14:textId="77777777" w:rsidR="00056F20" w:rsidRDefault="0071546E">
            <w:r>
              <w:rPr>
                <w:color w:val="000000"/>
                <w:sz w:val="19"/>
                <w:szCs w:val="19"/>
              </w:rPr>
              <w:t>New-onset tonic-</w:t>
            </w:r>
            <w:proofErr w:type="spellStart"/>
            <w:r>
              <w:rPr>
                <w:color w:val="000000"/>
                <w:sz w:val="19"/>
                <w:szCs w:val="19"/>
              </w:rPr>
              <w:t>clonic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seizures in a woman with PE, not attributable to another cause.</w:t>
            </w:r>
          </w:p>
        </w:tc>
      </w:tr>
      <w:tr w:rsidR="00056F20" w14:paraId="5AF35C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4DA38" w14:textId="77777777" w:rsidR="00056F20" w:rsidRDefault="0071546E">
            <w:r>
              <w:rPr>
                <w:color w:val="000000"/>
                <w:sz w:val="19"/>
                <w:szCs w:val="19"/>
              </w:rPr>
              <w:t>HELLP syndrome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479D9" w14:textId="77777777" w:rsidR="00056F20" w:rsidRDefault="0071546E">
            <w:proofErr w:type="spellStart"/>
            <w:r>
              <w:rPr>
                <w:color w:val="000000"/>
                <w:sz w:val="19"/>
                <w:szCs w:val="19"/>
              </w:rPr>
              <w:t>Haemolysis</w:t>
            </w:r>
            <w:proofErr w:type="spellEnd"/>
            <w:r>
              <w:rPr>
                <w:color w:val="000000"/>
                <w:sz w:val="19"/>
                <w:szCs w:val="19"/>
              </w:rPr>
              <w:t>, elevated liver enzymes, low platelets — EOPE: AST &gt;70 IU/L; LDH &gt;600 IU/L; platelets &lt;100,000/µL.</w:t>
            </w:r>
          </w:p>
        </w:tc>
      </w:tr>
      <w:tr w:rsidR="00056F20" w14:paraId="2E7354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FB0AC" w14:textId="77777777" w:rsidR="00056F20" w:rsidRDefault="0071546E">
            <w:r>
              <w:rPr>
                <w:color w:val="000000"/>
                <w:sz w:val="19"/>
                <w:szCs w:val="19"/>
              </w:rPr>
              <w:t>Superimposed PE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98EAC" w14:textId="77777777" w:rsidR="00056F20" w:rsidRDefault="0071546E">
            <w:r>
              <w:rPr>
                <w:color w:val="000000"/>
                <w:sz w:val="19"/>
                <w:szCs w:val="19"/>
              </w:rPr>
              <w:t>Chronic hypertension with new-onset proteinuria after 20 weeks, or a sudden increase in proteinuria/BP, or signs of severe PE.</w:t>
            </w:r>
          </w:p>
        </w:tc>
      </w:tr>
      <w:tr w:rsidR="00056F20" w14:paraId="230205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40B73" w14:textId="77777777" w:rsidR="00056F20" w:rsidRDefault="0071546E">
            <w:r>
              <w:rPr>
                <w:color w:val="000000"/>
                <w:sz w:val="19"/>
                <w:szCs w:val="19"/>
              </w:rPr>
              <w:t>Acute renal failure (AKI)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800C2" w14:textId="77777777" w:rsidR="00056F20" w:rsidRDefault="0071546E">
            <w:r>
              <w:rPr>
                <w:color w:val="000000"/>
                <w:sz w:val="19"/>
                <w:szCs w:val="19"/>
              </w:rPr>
              <w:t>Rise in serum creatinine (protocol threshold, e.g. ≥1.1 mg/dL or doubling of baseline) and/or oliguria &lt;500 mL/24 h, absent pre-existing CKD; graded per KDIGO.</w:t>
            </w:r>
          </w:p>
        </w:tc>
      </w:tr>
      <w:tr w:rsidR="00056F20" w14:paraId="54702E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3C5FB" w14:textId="77777777" w:rsidR="00056F20" w:rsidRDefault="0071546E">
            <w:r>
              <w:rPr>
                <w:color w:val="000000"/>
                <w:sz w:val="19"/>
                <w:szCs w:val="19"/>
              </w:rPr>
              <w:t>Pulmonary oedema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EECD4" w14:textId="77777777" w:rsidR="00056F20" w:rsidRDefault="0071546E">
            <w:r>
              <w:rPr>
                <w:color w:val="000000"/>
                <w:sz w:val="19"/>
                <w:szCs w:val="19"/>
              </w:rPr>
              <w:t>Abnormal pulmonary fluid accumulation with impaired gas exchange, clinically and radiographically confirmed.</w:t>
            </w:r>
          </w:p>
        </w:tc>
      </w:tr>
      <w:tr w:rsidR="00056F20" w14:paraId="5A055A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02146" w14:textId="77777777" w:rsidR="00056F20" w:rsidRDefault="0071546E">
            <w:r>
              <w:rPr>
                <w:color w:val="000000"/>
                <w:sz w:val="19"/>
                <w:szCs w:val="19"/>
              </w:rPr>
              <w:t xml:space="preserve">Stroke / cerebral </w:t>
            </w:r>
            <w:proofErr w:type="spellStart"/>
            <w:r>
              <w:rPr>
                <w:color w:val="000000"/>
                <w:sz w:val="19"/>
                <w:szCs w:val="19"/>
              </w:rPr>
              <w:t>haemorrhage</w:t>
            </w:r>
            <w:proofErr w:type="spellEnd"/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9711D" w14:textId="77777777" w:rsidR="00056F20" w:rsidRDefault="0071546E">
            <w:r>
              <w:rPr>
                <w:color w:val="000000"/>
                <w:sz w:val="19"/>
                <w:szCs w:val="19"/>
              </w:rPr>
              <w:t xml:space="preserve">Intracranial </w:t>
            </w:r>
            <w:proofErr w:type="spellStart"/>
            <w:r>
              <w:rPr>
                <w:color w:val="000000"/>
                <w:sz w:val="19"/>
                <w:szCs w:val="19"/>
              </w:rPr>
              <w:t>haemorrhage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or </w:t>
            </w:r>
            <w:proofErr w:type="spellStart"/>
            <w:r>
              <w:rPr>
                <w:color w:val="000000"/>
                <w:sz w:val="19"/>
                <w:szCs w:val="19"/>
              </w:rPr>
              <w:t>ischaemic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cerebrovascular event confirmed by neuroimaging (CT/MRI).</w:t>
            </w:r>
          </w:p>
        </w:tc>
      </w:tr>
      <w:tr w:rsidR="00056F20" w14:paraId="2B9DC3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EE7F5" w14:textId="77777777" w:rsidR="00056F20" w:rsidRDefault="0071546E">
            <w:r>
              <w:rPr>
                <w:color w:val="000000"/>
                <w:sz w:val="19"/>
                <w:szCs w:val="19"/>
              </w:rPr>
              <w:t>Cerebral thrombosis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56704" w14:textId="77777777" w:rsidR="00056F20" w:rsidRDefault="0071546E">
            <w:r>
              <w:rPr>
                <w:color w:val="000000"/>
                <w:sz w:val="19"/>
                <w:szCs w:val="19"/>
              </w:rPr>
              <w:t xml:space="preserve">Neurologically symptomatic </w:t>
            </w:r>
            <w:proofErr w:type="spellStart"/>
            <w:r>
              <w:rPr>
                <w:color w:val="000000"/>
                <w:sz w:val="19"/>
                <w:szCs w:val="19"/>
              </w:rPr>
              <w:t>ischaemic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event from a cerebral arterial thrombus, confirmed by neuroimaging (EOPE composite).</w:t>
            </w:r>
          </w:p>
        </w:tc>
      </w:tr>
    </w:tbl>
    <w:p w14:paraId="5E5243DD" w14:textId="77777777" w:rsidR="00056F20" w:rsidRDefault="0071546E">
      <w:pPr>
        <w:pStyle w:val="Heading1"/>
        <w:spacing w:before="260" w:after="120"/>
      </w:pPr>
      <w:proofErr w:type="gramStart"/>
      <w:r>
        <w:rPr>
          <w:b/>
          <w:bCs/>
          <w:color w:val="1F3A5F"/>
          <w:sz w:val="28"/>
          <w:szCs w:val="28"/>
        </w:rPr>
        <w:t>9  Form</w:t>
      </w:r>
      <w:proofErr w:type="gramEnd"/>
      <w:r>
        <w:rPr>
          <w:b/>
          <w:bCs/>
          <w:color w:val="1F3A5F"/>
          <w:sz w:val="28"/>
          <w:szCs w:val="28"/>
        </w:rPr>
        <w:t xml:space="preserve"> quick-map</w:t>
      </w:r>
    </w:p>
    <w:tbl>
      <w:tblPr>
        <w:tblW w:w="9360" w:type="dxa"/>
        <w:tblBorders>
          <w:top w:val="single" w:sz="3" w:space="0" w:color="C7D2DB"/>
          <w:left w:val="single" w:sz="3" w:space="0" w:color="C7D2DB"/>
          <w:bottom w:val="single" w:sz="3" w:space="0" w:color="C7D2DB"/>
          <w:right w:val="single" w:sz="3" w:space="0" w:color="C7D2DB"/>
          <w:insideH w:val="single" w:sz="3" w:space="0" w:color="C7D2DB"/>
          <w:insideV w:val="single" w:sz="3" w:space="0" w:color="C7D2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0"/>
        <w:gridCol w:w="2600"/>
      </w:tblGrid>
      <w:tr w:rsidR="00056F20" w14:paraId="517593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6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24E74" w14:textId="77777777" w:rsidR="00056F20" w:rsidRDefault="0071546E">
            <w:r>
              <w:rPr>
                <w:b/>
                <w:bCs/>
                <w:color w:val="FFFFFF"/>
                <w:sz w:val="19"/>
                <w:szCs w:val="19"/>
              </w:rPr>
              <w:t>Step / situation</w:t>
            </w:r>
          </w:p>
        </w:tc>
        <w:tc>
          <w:tcPr>
            <w:tcW w:w="26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87177" w14:textId="77777777" w:rsidR="00056F20" w:rsidRDefault="0071546E">
            <w:r>
              <w:rPr>
                <w:b/>
                <w:bCs/>
                <w:color w:val="FFFFFF"/>
                <w:sz w:val="19"/>
                <w:szCs w:val="19"/>
              </w:rPr>
              <w:t>Form</w:t>
            </w:r>
          </w:p>
        </w:tc>
      </w:tr>
      <w:tr w:rsidR="00056F20" w14:paraId="5EC25B78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AF567" w14:textId="77777777" w:rsidR="00056F20" w:rsidRDefault="0071546E">
            <w:r>
              <w:rPr>
                <w:color w:val="000000"/>
                <w:sz w:val="19"/>
                <w:szCs w:val="19"/>
              </w:rPr>
              <w:t>Package release &amp; blinding check (Coordinator)</w:t>
            </w:r>
          </w:p>
        </w:tc>
        <w:tc>
          <w:tcPr>
            <w:tcW w:w="2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53580" w14:textId="77777777" w:rsidR="00056F20" w:rsidRDefault="0071546E">
            <w:r>
              <w:rPr>
                <w:color w:val="000000"/>
                <w:sz w:val="19"/>
                <w:szCs w:val="19"/>
              </w:rPr>
              <w:t>FORM-ADJ-01</w:t>
            </w:r>
          </w:p>
        </w:tc>
      </w:tr>
      <w:tr w:rsidR="00056F20" w14:paraId="0C63DD43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C010E" w14:textId="77777777" w:rsidR="00056F20" w:rsidRDefault="0071546E">
            <w:r>
              <w:rPr>
                <w:color w:val="000000"/>
                <w:sz w:val="19"/>
                <w:szCs w:val="19"/>
              </w:rPr>
              <w:t>Your independent EOPE classification</w:t>
            </w:r>
          </w:p>
        </w:tc>
        <w:tc>
          <w:tcPr>
            <w:tcW w:w="2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15698" w14:textId="77777777" w:rsidR="00056F20" w:rsidRDefault="0071546E">
            <w:r>
              <w:rPr>
                <w:color w:val="000000"/>
                <w:sz w:val="19"/>
                <w:szCs w:val="19"/>
              </w:rPr>
              <w:t>FORM-ADJ-02</w:t>
            </w:r>
          </w:p>
        </w:tc>
      </w:tr>
      <w:tr w:rsidR="00056F20" w14:paraId="5899CA1A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C1739" w14:textId="77777777" w:rsidR="00056F20" w:rsidRDefault="0071546E">
            <w:r>
              <w:rPr>
                <w:color w:val="000000"/>
                <w:sz w:val="19"/>
                <w:szCs w:val="19"/>
              </w:rPr>
              <w:t>Third (tie-break) review of a discordant case</w:t>
            </w:r>
          </w:p>
        </w:tc>
        <w:tc>
          <w:tcPr>
            <w:tcW w:w="2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3D547" w14:textId="77777777" w:rsidR="00056F20" w:rsidRDefault="0071546E">
            <w:r>
              <w:rPr>
                <w:color w:val="000000"/>
                <w:sz w:val="19"/>
                <w:szCs w:val="19"/>
              </w:rPr>
              <w:t>FORM-ADJ-04</w:t>
            </w:r>
          </w:p>
        </w:tc>
      </w:tr>
      <w:tr w:rsidR="00056F20" w14:paraId="56F54D35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B21F6" w14:textId="77777777" w:rsidR="00056F20" w:rsidRDefault="0071546E">
            <w:r>
              <w:rPr>
                <w:color w:val="000000"/>
                <w:sz w:val="19"/>
                <w:szCs w:val="19"/>
              </w:rPr>
              <w:t>Missing / ambiguous data query</w:t>
            </w:r>
          </w:p>
        </w:tc>
        <w:tc>
          <w:tcPr>
            <w:tcW w:w="2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29E07" w14:textId="77777777" w:rsidR="00056F20" w:rsidRDefault="0071546E">
            <w:r>
              <w:rPr>
                <w:color w:val="000000"/>
                <w:sz w:val="19"/>
                <w:szCs w:val="19"/>
              </w:rPr>
              <w:t>FORM-ADJ-05</w:t>
            </w:r>
          </w:p>
        </w:tc>
      </w:tr>
      <w:tr w:rsidR="00056F20" w14:paraId="5DB1BBBE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FBBDA" w14:textId="77777777" w:rsidR="00056F20" w:rsidRDefault="0071546E">
            <w:r>
              <w:rPr>
                <w:color w:val="000000"/>
                <w:sz w:val="19"/>
                <w:szCs w:val="19"/>
              </w:rPr>
              <w:t>Attribute cannot be classified</w:t>
            </w:r>
          </w:p>
        </w:tc>
        <w:tc>
          <w:tcPr>
            <w:tcW w:w="2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66C9D" w14:textId="77777777" w:rsidR="00056F20" w:rsidRDefault="0071546E">
            <w:r>
              <w:rPr>
                <w:color w:val="000000"/>
                <w:sz w:val="19"/>
                <w:szCs w:val="19"/>
              </w:rPr>
              <w:t>FORM-ADJ-06</w:t>
            </w:r>
          </w:p>
        </w:tc>
      </w:tr>
      <w:tr w:rsidR="00056F20" w14:paraId="08A55F85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C59C5" w14:textId="77777777" w:rsidR="00056F20" w:rsidRDefault="0071546E">
            <w:r>
              <w:rPr>
                <w:color w:val="000000"/>
                <w:sz w:val="19"/>
                <w:szCs w:val="19"/>
              </w:rPr>
              <w:t>Sentinel event (out-of-cycle)</w:t>
            </w:r>
          </w:p>
        </w:tc>
        <w:tc>
          <w:tcPr>
            <w:tcW w:w="2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C83B3" w14:textId="77777777" w:rsidR="00056F20" w:rsidRDefault="0071546E">
            <w:r>
              <w:rPr>
                <w:color w:val="000000"/>
                <w:sz w:val="19"/>
                <w:szCs w:val="19"/>
              </w:rPr>
              <w:t>FORM-ADJ-07</w:t>
            </w:r>
          </w:p>
        </w:tc>
      </w:tr>
      <w:tr w:rsidR="00056F20" w14:paraId="376699C2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E1D99" w14:textId="77777777" w:rsidR="00056F20" w:rsidRDefault="0071546E">
            <w:r>
              <w:rPr>
                <w:color w:val="000000"/>
                <w:sz w:val="19"/>
                <w:szCs w:val="19"/>
              </w:rPr>
              <w:t>Conflict declaration &amp; recusal</w:t>
            </w:r>
          </w:p>
        </w:tc>
        <w:tc>
          <w:tcPr>
            <w:tcW w:w="2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25DD6" w14:textId="77777777" w:rsidR="00056F20" w:rsidRDefault="0071546E">
            <w:r>
              <w:rPr>
                <w:color w:val="000000"/>
                <w:sz w:val="19"/>
                <w:szCs w:val="19"/>
              </w:rPr>
              <w:t>FORM-ADJ-08</w:t>
            </w:r>
          </w:p>
        </w:tc>
      </w:tr>
      <w:tr w:rsidR="00056F20" w14:paraId="5E5A01FE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57819" w14:textId="77777777" w:rsidR="00056F20" w:rsidRDefault="0071546E">
            <w:r>
              <w:rPr>
                <w:color w:val="000000"/>
                <w:sz w:val="19"/>
                <w:szCs w:val="19"/>
              </w:rPr>
              <w:t>Suspected/actual unblinding</w:t>
            </w:r>
          </w:p>
        </w:tc>
        <w:tc>
          <w:tcPr>
            <w:tcW w:w="2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D4202" w14:textId="77777777" w:rsidR="00056F20" w:rsidRDefault="0071546E">
            <w:r>
              <w:rPr>
                <w:color w:val="000000"/>
                <w:sz w:val="19"/>
                <w:szCs w:val="19"/>
              </w:rPr>
              <w:t>FORM-ADJ-09</w:t>
            </w:r>
          </w:p>
        </w:tc>
      </w:tr>
      <w:tr w:rsidR="00056F20" w14:paraId="794453B3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B611D" w14:textId="77777777" w:rsidR="00056F20" w:rsidRDefault="0071546E">
            <w:r>
              <w:rPr>
                <w:color w:val="000000"/>
                <w:sz w:val="19"/>
                <w:szCs w:val="19"/>
              </w:rPr>
              <w:t>Final classification register</w:t>
            </w:r>
          </w:p>
        </w:tc>
        <w:tc>
          <w:tcPr>
            <w:tcW w:w="2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96854" w14:textId="77777777" w:rsidR="00056F20" w:rsidRDefault="0071546E">
            <w:r>
              <w:rPr>
                <w:color w:val="000000"/>
                <w:sz w:val="19"/>
                <w:szCs w:val="19"/>
              </w:rPr>
              <w:t>FORM-ADJ-11</w:t>
            </w:r>
          </w:p>
        </w:tc>
      </w:tr>
      <w:tr w:rsidR="00056F20" w14:paraId="6B5BA741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BFD87" w14:textId="77777777" w:rsidR="00056F20" w:rsidRDefault="0071546E">
            <w:r>
              <w:rPr>
                <w:color w:val="000000"/>
                <w:sz w:val="19"/>
                <w:szCs w:val="19"/>
              </w:rPr>
              <w:t>Pre-transfer QC &amp; Chair sign-off</w:t>
            </w:r>
          </w:p>
        </w:tc>
        <w:tc>
          <w:tcPr>
            <w:tcW w:w="2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9F57D" w14:textId="77777777" w:rsidR="00056F20" w:rsidRDefault="0071546E">
            <w:r>
              <w:rPr>
                <w:color w:val="000000"/>
                <w:sz w:val="19"/>
                <w:szCs w:val="19"/>
              </w:rPr>
              <w:t>FORM-ADJ-12</w:t>
            </w:r>
          </w:p>
        </w:tc>
      </w:tr>
      <w:tr w:rsidR="00056F20" w14:paraId="1C53FC88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C69B7" w14:textId="77777777" w:rsidR="00056F20" w:rsidRDefault="0071546E">
            <w:r>
              <w:rPr>
                <w:color w:val="000000"/>
                <w:sz w:val="19"/>
                <w:szCs w:val="19"/>
              </w:rPr>
              <w:t>Meeting minutes (decisions, dissent, recusals)</w:t>
            </w:r>
          </w:p>
        </w:tc>
        <w:tc>
          <w:tcPr>
            <w:tcW w:w="2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06A1E" w14:textId="77777777" w:rsidR="00056F20" w:rsidRDefault="0071546E">
            <w:r>
              <w:rPr>
                <w:color w:val="000000"/>
                <w:sz w:val="19"/>
                <w:szCs w:val="19"/>
              </w:rPr>
              <w:t>FORM-ADJ-13</w:t>
            </w:r>
          </w:p>
        </w:tc>
      </w:tr>
    </w:tbl>
    <w:p w14:paraId="5D0BBC01" w14:textId="77777777" w:rsidR="00056F20" w:rsidRDefault="0071546E">
      <w:pPr>
        <w:pBdr>
          <w:top w:val="single" w:sz="6" w:space="6" w:color="C7D2DB"/>
        </w:pBdr>
        <w:spacing w:before="200"/>
      </w:pPr>
      <w:r>
        <w:rPr>
          <w:i/>
          <w:iCs/>
          <w:color w:val="6B7280"/>
          <w:sz w:val="16"/>
          <w:szCs w:val="16"/>
        </w:rPr>
        <w:lastRenderedPageBreak/>
        <w:t>Confidential — ACRN OAC — EOPE Adjudication Working Instruction — aligned to Charter v2.0 and SOP-ADJ-001 to 004. Uncontrolled when printed.</w:t>
      </w:r>
    </w:p>
    <w:sectPr w:rsidR="00056F20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65DE"/>
    <w:multiLevelType w:val="hybridMultilevel"/>
    <w:tmpl w:val="9BE2CFEA"/>
    <w:lvl w:ilvl="0" w:tplc="F7BECEC2">
      <w:start w:val="1"/>
      <w:numFmt w:val="bullet"/>
      <w:lvlText w:val="●"/>
      <w:lvlJc w:val="left"/>
      <w:pPr>
        <w:ind w:left="720" w:hanging="360"/>
      </w:pPr>
    </w:lvl>
    <w:lvl w:ilvl="1" w:tplc="6AC8F234">
      <w:start w:val="1"/>
      <w:numFmt w:val="bullet"/>
      <w:lvlText w:val="○"/>
      <w:lvlJc w:val="left"/>
      <w:pPr>
        <w:ind w:left="1440" w:hanging="360"/>
      </w:pPr>
    </w:lvl>
    <w:lvl w:ilvl="2" w:tplc="73B8B640">
      <w:start w:val="1"/>
      <w:numFmt w:val="bullet"/>
      <w:lvlText w:val="■"/>
      <w:lvlJc w:val="left"/>
      <w:pPr>
        <w:ind w:left="2160" w:hanging="360"/>
      </w:pPr>
    </w:lvl>
    <w:lvl w:ilvl="3" w:tplc="2D209A42">
      <w:start w:val="1"/>
      <w:numFmt w:val="bullet"/>
      <w:lvlText w:val="●"/>
      <w:lvlJc w:val="left"/>
      <w:pPr>
        <w:ind w:left="2880" w:hanging="360"/>
      </w:pPr>
    </w:lvl>
    <w:lvl w:ilvl="4" w:tplc="516E7FA0">
      <w:start w:val="1"/>
      <w:numFmt w:val="bullet"/>
      <w:lvlText w:val="○"/>
      <w:lvlJc w:val="left"/>
      <w:pPr>
        <w:ind w:left="3600" w:hanging="360"/>
      </w:pPr>
    </w:lvl>
    <w:lvl w:ilvl="5" w:tplc="BF04B00C">
      <w:start w:val="1"/>
      <w:numFmt w:val="bullet"/>
      <w:lvlText w:val="■"/>
      <w:lvlJc w:val="left"/>
      <w:pPr>
        <w:ind w:left="4320" w:hanging="360"/>
      </w:pPr>
    </w:lvl>
    <w:lvl w:ilvl="6" w:tplc="6DC6AEE4">
      <w:start w:val="1"/>
      <w:numFmt w:val="bullet"/>
      <w:lvlText w:val="●"/>
      <w:lvlJc w:val="left"/>
      <w:pPr>
        <w:ind w:left="5040" w:hanging="360"/>
      </w:pPr>
    </w:lvl>
    <w:lvl w:ilvl="7" w:tplc="0706B56A">
      <w:start w:val="1"/>
      <w:numFmt w:val="bullet"/>
      <w:lvlText w:val="●"/>
      <w:lvlJc w:val="left"/>
      <w:pPr>
        <w:ind w:left="5760" w:hanging="360"/>
      </w:pPr>
    </w:lvl>
    <w:lvl w:ilvl="8" w:tplc="53844E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9E248B"/>
    <w:multiLevelType w:val="hybridMultilevel"/>
    <w:tmpl w:val="48D47594"/>
    <w:lvl w:ilvl="0" w:tplc="39E20818">
      <w:start w:val="1"/>
      <w:numFmt w:val="bullet"/>
      <w:lvlText w:val="•"/>
      <w:lvlJc w:val="left"/>
      <w:pPr>
        <w:ind w:left="460" w:hanging="260"/>
      </w:pPr>
    </w:lvl>
    <w:lvl w:ilvl="1" w:tplc="E066388C">
      <w:numFmt w:val="decimal"/>
      <w:lvlText w:val=""/>
      <w:lvlJc w:val="left"/>
    </w:lvl>
    <w:lvl w:ilvl="2" w:tplc="9A9832AE">
      <w:numFmt w:val="decimal"/>
      <w:lvlText w:val=""/>
      <w:lvlJc w:val="left"/>
    </w:lvl>
    <w:lvl w:ilvl="3" w:tplc="9BAC88D2">
      <w:numFmt w:val="decimal"/>
      <w:lvlText w:val=""/>
      <w:lvlJc w:val="left"/>
    </w:lvl>
    <w:lvl w:ilvl="4" w:tplc="88F6CCB8">
      <w:numFmt w:val="decimal"/>
      <w:lvlText w:val=""/>
      <w:lvlJc w:val="left"/>
    </w:lvl>
    <w:lvl w:ilvl="5" w:tplc="5CE89B28">
      <w:numFmt w:val="decimal"/>
      <w:lvlText w:val=""/>
      <w:lvlJc w:val="left"/>
    </w:lvl>
    <w:lvl w:ilvl="6" w:tplc="D1B0005C">
      <w:numFmt w:val="decimal"/>
      <w:lvlText w:val=""/>
      <w:lvlJc w:val="left"/>
    </w:lvl>
    <w:lvl w:ilvl="7" w:tplc="1C403E74">
      <w:numFmt w:val="decimal"/>
      <w:lvlText w:val=""/>
      <w:lvlJc w:val="left"/>
    </w:lvl>
    <w:lvl w:ilvl="8" w:tplc="3710E800">
      <w:numFmt w:val="decimal"/>
      <w:lvlText w:val=""/>
      <w:lvlJc w:val="left"/>
    </w:lvl>
  </w:abstractNum>
  <w:abstractNum w:abstractNumId="2" w15:restartNumberingAfterBreak="0">
    <w:nsid w:val="73C7696E"/>
    <w:multiLevelType w:val="hybridMultilevel"/>
    <w:tmpl w:val="F65A96A8"/>
    <w:lvl w:ilvl="0" w:tplc="2E68D21A">
      <w:start w:val="1"/>
      <w:numFmt w:val="decimal"/>
      <w:lvlText w:val="Step %1."/>
      <w:lvlJc w:val="left"/>
      <w:pPr>
        <w:ind w:left="620" w:hanging="620"/>
      </w:pPr>
      <w:rPr>
        <w:b/>
        <w:bCs/>
        <w:color w:val="1F3A5F"/>
      </w:rPr>
    </w:lvl>
    <w:lvl w:ilvl="1" w:tplc="D7BCFBE8">
      <w:numFmt w:val="decimal"/>
      <w:lvlText w:val=""/>
      <w:lvlJc w:val="left"/>
    </w:lvl>
    <w:lvl w:ilvl="2" w:tplc="B8CAB10C">
      <w:numFmt w:val="decimal"/>
      <w:lvlText w:val=""/>
      <w:lvlJc w:val="left"/>
    </w:lvl>
    <w:lvl w:ilvl="3" w:tplc="A6C8F9B0">
      <w:numFmt w:val="decimal"/>
      <w:lvlText w:val=""/>
      <w:lvlJc w:val="left"/>
    </w:lvl>
    <w:lvl w:ilvl="4" w:tplc="7C681E92">
      <w:numFmt w:val="decimal"/>
      <w:lvlText w:val=""/>
      <w:lvlJc w:val="left"/>
    </w:lvl>
    <w:lvl w:ilvl="5" w:tplc="484ACAA6">
      <w:numFmt w:val="decimal"/>
      <w:lvlText w:val=""/>
      <w:lvlJc w:val="left"/>
    </w:lvl>
    <w:lvl w:ilvl="6" w:tplc="C2303ADE">
      <w:numFmt w:val="decimal"/>
      <w:lvlText w:val=""/>
      <w:lvlJc w:val="left"/>
    </w:lvl>
    <w:lvl w:ilvl="7" w:tplc="C0CE1ADA">
      <w:numFmt w:val="decimal"/>
      <w:lvlText w:val=""/>
      <w:lvlJc w:val="left"/>
    </w:lvl>
    <w:lvl w:ilvl="8" w:tplc="9522DEAA">
      <w:numFmt w:val="decimal"/>
      <w:lvlText w:val=""/>
      <w:lvlJc w:val="left"/>
    </w:lvl>
  </w:abstractNum>
  <w:num w:numId="1" w16cid:durableId="850872116">
    <w:abstractNumId w:val="0"/>
    <w:lvlOverride w:ilvl="0">
      <w:startOverride w:val="1"/>
    </w:lvlOverride>
  </w:num>
  <w:num w:numId="2" w16cid:durableId="278606112">
    <w:abstractNumId w:val="1"/>
    <w:lvlOverride w:ilvl="0">
      <w:startOverride w:val="1"/>
    </w:lvlOverride>
  </w:num>
  <w:num w:numId="3" w16cid:durableId="668105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F20"/>
    <w:rsid w:val="00056F20"/>
    <w:rsid w:val="001C2327"/>
    <w:rsid w:val="00501E02"/>
    <w:rsid w:val="00715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E20C8"/>
  <w15:docId w15:val="{35F11D1B-74F8-4800-8D28-20E46297C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EC51555B8BFE47A4CFAD7C04A353B6" ma:contentTypeVersion="13" ma:contentTypeDescription="Create a new document." ma:contentTypeScope="" ma:versionID="864d585d86900435544a3f971e060651">
  <xsd:schema xmlns:xsd="http://www.w3.org/2001/XMLSchema" xmlns:xs="http://www.w3.org/2001/XMLSchema" xmlns:p="http://schemas.microsoft.com/office/2006/metadata/properties" xmlns:ns2="1b9cae08-e700-4ddd-903a-e5ae625b7249" xmlns:ns3="ef5e9d52-c684-46df-886b-07099fa6e267" targetNamespace="http://schemas.microsoft.com/office/2006/metadata/properties" ma:root="true" ma:fieldsID="fcdde8b40362df24944794ad36aad2a1" ns2:_="" ns3:_="">
    <xsd:import namespace="1b9cae08-e700-4ddd-903a-e5ae625b7249"/>
    <xsd:import namespace="ef5e9d52-c684-46df-886b-07099fa6e2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Remind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9cae08-e700-4ddd-903a-e5ae625b72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4caa78d-8d5e-4fb5-a44a-f74055cb05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Reminder" ma:index="20" nillable="true" ma:displayName="Reminder" ma:description="To help maintain updated information" ma:format="Dropdown" ma:internalName="Reminde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e9d52-c684-46df-886b-07099fa6e26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913440b-523d-481a-8623-875baf869bfc}" ma:internalName="TaxCatchAll" ma:showField="CatchAllData" ma:web="ef5e9d52-c684-46df-886b-07099fa6e2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5e9d52-c684-46df-886b-07099fa6e267" xsi:nil="true"/>
    <Reminder xmlns="1b9cae08-e700-4ddd-903a-e5ae625b7249" xsi:nil="true"/>
    <lcf76f155ced4ddcb4097134ff3c332f xmlns="1b9cae08-e700-4ddd-903a-e5ae625b72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303F313-1145-47B0-BA7C-DA20F975F0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9cae08-e700-4ddd-903a-e5ae625b7249"/>
    <ds:schemaRef ds:uri="ef5e9d52-c684-46df-886b-07099fa6e2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00BFBF-8560-49A0-A9D1-0CB07112D7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2C76B0-3BDC-4E36-9B46-F2B4DC703946}">
  <ds:schemaRefs>
    <ds:schemaRef ds:uri="http://schemas.microsoft.com/office/2006/metadata/properties"/>
    <ds:schemaRef ds:uri="http://schemas.microsoft.com/office/infopath/2007/PartnerControls"/>
    <ds:schemaRef ds:uri="ef5e9d52-c684-46df-886b-07099fa6e267"/>
    <ds:schemaRef ds:uri="1b9cae08-e700-4ddd-903a-e5ae625b72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1294</Words>
  <Characters>7376</Characters>
  <Application>Microsoft Office Word</Application>
  <DocSecurity>0</DocSecurity>
  <Lines>61</Lines>
  <Paragraphs>17</Paragraphs>
  <ScaleCrop>false</ScaleCrop>
  <Company/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Nqobani Ncube</cp:lastModifiedBy>
  <cp:revision>2</cp:revision>
  <dcterms:created xsi:type="dcterms:W3CDTF">2026-07-23T10:30:00Z</dcterms:created>
  <dcterms:modified xsi:type="dcterms:W3CDTF">2026-07-23T10:30:00Z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0x0101004EEC51555B8BFE47A4CFAD7C04A353B6</vt:lpwstr>
  </property>
  <property fmtid="{D5CDD505-2E9C-101B-9397-08002B2CF9AE}" pid="3" name="MediaServiceImageTags">
    <vt:lpwstr/>
  </property>
</Properties>
</file>