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76BF011E" wp14:textId="77777777">
      <w:pPr>
        <w:spacing w:after="20"/>
      </w:pPr>
      <w:r>
        <w:rPr>
          <w:rFonts w:ascii="Calibri" w:hAnsi="Calibri" w:eastAsia="Calibri" w:cs="Calibri"/>
          <w:b/>
          <w:bCs/>
          <w:color w:val="2E6E6A"/>
          <w:sz w:val="18"/>
          <w:szCs w:val="18"/>
        </w:rPr>
        <w:t xml:space="preserve">AFRICA CLINICAL RESEARCH NETWORK (ACRN)</w:t>
      </w:r>
    </w:p>
    <w:p xmlns:wp14="http://schemas.microsoft.com/office/word/2010/wordml" w14:paraId="672A6659" wp14:textId="77777777">
      <w:pPr>
        <w:pBdr>
          <w:bottom w:val="single" w:color="1F3864" w:sz="10"/>
        </w:pBdr>
        <w:spacing w:after="130"/>
      </w:pPr>
      <w:r>
        <w:rPr>
          <w:rFonts w:ascii="Calibri" w:hAnsi="Calibri" w:eastAsia="Calibri" w:cs="Calibri"/>
          <w:color w:val="222222"/>
          <w:sz w:val="20"/>
          <w:szCs w:val="20"/>
        </w:rPr>
      </w:r>
    </w:p>
    <w:p xmlns:wp14="http://schemas.microsoft.com/office/word/2010/wordml" w14:paraId="16EFBD43" wp14:textId="77777777">
      <w:pPr>
        <w:spacing w:after="20"/>
      </w:pPr>
      <w:r>
        <w:rPr>
          <w:rFonts w:ascii="Calibri" w:hAnsi="Calibri" w:eastAsia="Calibri" w:cs="Calibri"/>
          <w:b/>
          <w:bCs/>
          <w:color w:val="595959"/>
          <w:sz w:val="18"/>
          <w:szCs w:val="18"/>
        </w:rPr>
        <w:t xml:space="preserve">Standard Operating Procedure</w:t>
      </w:r>
    </w:p>
    <w:p xmlns:wp14="http://schemas.microsoft.com/office/word/2010/wordml" w14:paraId="1F66287E" wp14:textId="77777777">
      <w:pPr>
        <w:spacing w:after="40"/>
      </w:pPr>
      <w:r>
        <w:rPr>
          <w:rFonts w:ascii="Calibri" w:hAnsi="Calibri" w:eastAsia="Calibri" w:cs="Calibri"/>
          <w:b/>
          <w:bCs/>
          <w:color w:val="1F3864"/>
          <w:sz w:val="32"/>
          <w:szCs w:val="32"/>
        </w:rPr>
        <w:t xml:space="preserve">Calibration, Training &amp; Consistency Monitoring</w:t>
      </w:r>
    </w:p>
    <w:p xmlns:wp14="http://schemas.microsoft.com/office/word/2010/wordml" w14:paraId="51B555E3" wp14:textId="77777777">
      <w:pPr>
        <w:spacing w:after="140"/>
      </w:pPr>
      <w:r>
        <w:rPr>
          <w:rFonts w:ascii="Calibri" w:hAnsi="Calibri" w:eastAsia="Calibri" w:cs="Calibri"/>
          <w:b/>
          <w:bCs/>
          <w:color w:val="444444"/>
          <w:sz w:val="20"/>
          <w:szCs w:val="20"/>
        </w:rPr>
        <w:t xml:space="preserve">SOP-ADJ-004   ·   Version 1.0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2600"/>
        <w:gridCol w:w="6800"/>
      </w:tblGrid>
      <w:tr xmlns:wp14="http://schemas.microsoft.com/office/word/2010/wordml" w14:paraId="6332BC09" wp14:textId="77777777">
        <w:tc>
          <w:tcPr>
            <w:tcW w:w="2600" w:type="dxa"/>
            <w:shd w:val="clear" w:color="auto" w:fill="E7EC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DDE6DB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SOP number / title</w:t>
            </w:r>
          </w:p>
        </w:tc>
        <w:tc>
          <w:tcPr>
            <w:tcW w:w="68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C083D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SOP-ADJ-004 — Calibration, Training &amp; Consistency Monitoring</w:t>
            </w:r>
          </w:p>
        </w:tc>
      </w:tr>
      <w:tr xmlns:wp14="http://schemas.microsoft.com/office/word/2010/wordml" w14:paraId="1F403FEB" wp14:textId="77777777">
        <w:tc>
          <w:tcPr>
            <w:tcW w:w="2600" w:type="dxa"/>
            <w:shd w:val="clear" w:color="auto" w:fill="E7EC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814A1E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Version</w:t>
            </w:r>
          </w:p>
        </w:tc>
        <w:tc>
          <w:tcPr>
            <w:tcW w:w="6800" w:type="dxa"/>
            <w:shd w:val="clear" w:color="auto" w:fill="F5F8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E40086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1.0 (Effective on approval by all signatories)</w:t>
            </w:r>
          </w:p>
        </w:tc>
      </w:tr>
      <w:tr xmlns:wp14="http://schemas.microsoft.com/office/word/2010/wordml" w14:paraId="1540A570" wp14:textId="77777777">
        <w:tc>
          <w:tcPr>
            <w:tcW w:w="2600" w:type="dxa"/>
            <w:shd w:val="clear" w:color="auto" w:fill="E7EC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4F346A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Sponsor / Owner</w:t>
            </w:r>
          </w:p>
        </w:tc>
        <w:tc>
          <w:tcPr>
            <w:tcW w:w="68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025DA3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Africa Clinical Research Network (ACRN) Foundation / ACRN Clinical Operations</w:t>
            </w:r>
          </w:p>
        </w:tc>
      </w:tr>
      <w:tr xmlns:wp14="http://schemas.microsoft.com/office/word/2010/wordml" w14:paraId="3E5C6D3F" wp14:textId="77777777">
        <w:tc>
          <w:tcPr>
            <w:tcW w:w="2600" w:type="dxa"/>
            <w:shd w:val="clear" w:color="auto" w:fill="E7EC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4AA67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Studies in scope</w:t>
            </w:r>
          </w:p>
        </w:tc>
        <w:tc>
          <w:tcPr>
            <w:tcW w:w="6800" w:type="dxa"/>
            <w:shd w:val="clear" w:color="auto" w:fill="F5F8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034F75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PROTECT-Africa (EOPE) and LOPE-Nigeria (LOPE)</w:t>
            </w:r>
          </w:p>
        </w:tc>
      </w:tr>
      <w:tr xmlns:wp14="http://schemas.microsoft.com/office/word/2010/wordml" w14:paraId="1941B946" wp14:textId="77777777">
        <w:tc>
          <w:tcPr>
            <w:tcW w:w="2600" w:type="dxa"/>
            <w:shd w:val="clear" w:color="auto" w:fill="E7EC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B40785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Applicable standards</w:t>
            </w:r>
          </w:p>
        </w:tc>
        <w:tc>
          <w:tcPr>
            <w:tcW w:w="68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602D1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ICH E6(R2) GCP; ICH E9(R1); Declaration of Helsinki; applicable national regulations</w:t>
            </w:r>
          </w:p>
        </w:tc>
      </w:tr>
      <w:tr xmlns:wp14="http://schemas.microsoft.com/office/word/2010/wordml" w14:paraId="3E79253C" wp14:textId="77777777">
        <w:tc>
          <w:tcPr>
            <w:tcW w:w="2600" w:type="dxa"/>
            <w:shd w:val="clear" w:color="auto" w:fill="E7EC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DB83F5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Related documents</w:t>
            </w:r>
          </w:p>
        </w:tc>
        <w:tc>
          <w:tcPr>
            <w:tcW w:w="6800" w:type="dxa"/>
            <w:shd w:val="clear" w:color="auto" w:fill="F5F8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27A4BD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Independent OAC Charter v2.0; Adjudication Manual; OAC Portal Specification; Adjudication Forms Pack</w:t>
            </w:r>
          </w:p>
        </w:tc>
      </w:tr>
      <w:tr xmlns:wp14="http://schemas.microsoft.com/office/word/2010/wordml" w14:paraId="48D0ED1C" wp14:textId="77777777">
        <w:tc>
          <w:tcPr>
            <w:tcW w:w="2600" w:type="dxa"/>
            <w:shd w:val="clear" w:color="auto" w:fill="E7EC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2FDFB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Classification</w:t>
            </w:r>
          </w:p>
        </w:tc>
        <w:tc>
          <w:tcPr>
            <w:tcW w:w="68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38E2E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Confidential — Sponsor and study governance use</w:t>
            </w:r>
          </w:p>
        </w:tc>
      </w:tr>
    </w:tbl>
    <w:p xmlns:wp14="http://schemas.microsoft.com/office/word/2010/wordml" w14:paraId="7AE94D59" wp14:textId="77777777">
      <w:pPr>
        <w:pStyle w:val="Heading1"/>
        <w:spacing w:before="200" w:after="80"/>
      </w:pPr>
      <w:r w:rsidRPr="6CA6D329" w:rsidR="6CA6D329">
        <w:rPr>
          <w:rFonts w:ascii="Calibri" w:hAnsi="Calibri" w:eastAsia="Calibri" w:cs="Calibri"/>
          <w:b w:val="1"/>
          <w:bCs w:val="1"/>
          <w:color w:val="1F3864"/>
          <w:sz w:val="25"/>
          <w:szCs w:val="25"/>
          <w:lang w:val="en-US"/>
        </w:rPr>
        <w:t>1  Purpose</w:t>
      </w:r>
    </w:p>
    <w:p xmlns:wp14="http://schemas.microsoft.com/office/word/2010/wordml" w14:paraId="20DF1957" wp14:textId="77777777">
      <w:pPr>
        <w:spacing w:after="90" w:line="264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To ensure adjudicators apply endpoint definitions consistently and reproducibly by defining pre-start training, the calibration round, and ongoing consistency (inter-rater) monitoring and retraining (OAC Charter §10).</w:t>
      </w:r>
    </w:p>
    <w:p xmlns:wp14="http://schemas.microsoft.com/office/word/2010/wordml" w14:paraId="6A769C57" wp14:textId="77777777">
      <w:pPr>
        <w:pStyle w:val="Heading1"/>
        <w:spacing w:before="200" w:after="80"/>
      </w:pPr>
      <w:r w:rsidRPr="6CA6D329" w:rsidR="6CA6D329">
        <w:rPr>
          <w:rFonts w:ascii="Calibri" w:hAnsi="Calibri" w:eastAsia="Calibri" w:cs="Calibri"/>
          <w:b w:val="1"/>
          <w:bCs w:val="1"/>
          <w:color w:val="1F3864"/>
          <w:sz w:val="25"/>
          <w:szCs w:val="25"/>
          <w:lang w:val="en-US"/>
        </w:rPr>
        <w:t>2  Scope</w:t>
      </w:r>
    </w:p>
    <w:p xmlns:wp14="http://schemas.microsoft.com/office/word/2010/wordml" w14:paraId="2934E2F6" wp14:textId="77777777">
      <w:pPr>
        <w:spacing w:after="90" w:line="264" w:lineRule="auto"/>
      </w:pPr>
      <w:r w:rsidRPr="6CA6D329" w:rsidR="6CA6D329">
        <w:rPr>
          <w:rFonts w:ascii="Calibri" w:hAnsi="Calibri" w:eastAsia="Calibri" w:cs="Calibri"/>
          <w:color w:val="222222"/>
          <w:sz w:val="20"/>
          <w:szCs w:val="20"/>
          <w:lang w:val="en-US"/>
        </w:rPr>
        <w:t>Applies to all adjudicators for EOPE and LOPE, before live adjudication begins and throughout the adjudication period.</w:t>
      </w:r>
    </w:p>
    <w:p xmlns:wp14="http://schemas.microsoft.com/office/word/2010/wordml" w14:paraId="1167898B" wp14:textId="77777777">
      <w:pPr>
        <w:pStyle w:val="Heading1"/>
        <w:spacing w:before="200" w:after="80"/>
      </w:pPr>
      <w:r w:rsidRPr="6CA6D329" w:rsidR="6CA6D329">
        <w:rPr>
          <w:rFonts w:ascii="Calibri" w:hAnsi="Calibri" w:eastAsia="Calibri" w:cs="Calibri"/>
          <w:b w:val="1"/>
          <w:bCs w:val="1"/>
          <w:color w:val="1F3864"/>
          <w:sz w:val="25"/>
          <w:szCs w:val="25"/>
          <w:lang w:val="en-US"/>
        </w:rPr>
        <w:t>3  Definitions</w:t>
      </w:r>
    </w:p>
    <w:p xmlns:wp14="http://schemas.microsoft.com/office/word/2010/wordml" w14:paraId="6D76DE8A" wp14:textId="77777777"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 xml:space="preserve">Calibration round — </w:t>
      </w:r>
      <w:r>
        <w:rPr>
          <w:rFonts w:ascii="Calibri" w:hAnsi="Calibri" w:eastAsia="Calibri" w:cs="Calibri"/>
          <w:color w:val="222222"/>
          <w:sz w:val="20"/>
          <w:szCs w:val="20"/>
        </w:rPr>
        <w:t xml:space="preserve">a pre-live exercise on sample cases to align interpretation and clarify definitions.</w:t>
      </w:r>
    </w:p>
    <w:p xmlns:wp14="http://schemas.microsoft.com/office/word/2010/wordml" w14:paraId="7DC9EF3F" wp14:textId="77777777"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 xml:space="preserve">Inter-rater agreement — </w:t>
      </w:r>
      <w:r>
        <w:rPr>
          <w:rFonts w:ascii="Calibri" w:hAnsi="Calibri" w:eastAsia="Calibri" w:cs="Calibri"/>
          <w:color w:val="222222"/>
          <w:sz w:val="20"/>
          <w:szCs w:val="20"/>
        </w:rPr>
        <w:t xml:space="preserve">statistical agreement between reviewers (e.g., Cohen's / Fleiss' kappa and percent concordance).</w:t>
      </w:r>
    </w:p>
    <w:p xmlns:wp14="http://schemas.microsoft.com/office/word/2010/wordml" w14:paraId="36C9827E" wp14:textId="77777777">
      <w:pPr>
        <w:pStyle w:val="Heading1"/>
        <w:spacing w:before="200" w:after="80"/>
      </w:pPr>
      <w:r w:rsidRPr="6CA6D329" w:rsidR="6CA6D329">
        <w:rPr>
          <w:rFonts w:ascii="Calibri" w:hAnsi="Calibri" w:eastAsia="Calibri" w:cs="Calibri"/>
          <w:b w:val="1"/>
          <w:bCs w:val="1"/>
          <w:color w:val="1F3864"/>
          <w:sz w:val="25"/>
          <w:szCs w:val="25"/>
          <w:lang w:val="en-US"/>
        </w:rPr>
        <w:t>4  Responsibilities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3000"/>
        <w:gridCol w:w="6400"/>
      </w:tblGrid>
      <w:tr xmlns:wp14="http://schemas.microsoft.com/office/word/2010/wordml" w:rsidTr="6CA6D329" w14:paraId="64F964B9" wp14:textId="77777777">
        <w:trPr>
          <w:tblHeader/>
        </w:trPr>
        <w:tc>
          <w:tcPr>
            <w:tcW w:w="30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10568A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w="64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9A626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 xmlns:wp14="http://schemas.microsoft.com/office/word/2010/wordml" w:rsidTr="6CA6D329" w14:paraId="79ECD1C3" wp14:textId="77777777">
        <w:tc>
          <w:tcPr>
            <w:tcW w:w="30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7154D3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OAC Chair</w:t>
            </w:r>
          </w:p>
        </w:tc>
        <w:tc>
          <w:tcPr>
            <w:tcW w:w="64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A369B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Reviews agreement metrics; approves the calibration outcome; triggers retraining.</w:t>
            </w:r>
          </w:p>
        </w:tc>
      </w:tr>
      <w:tr xmlns:wp14="http://schemas.microsoft.com/office/word/2010/wordml" w:rsidTr="6CA6D329" w14:paraId="5E672085" wp14:textId="77777777">
        <w:tc>
          <w:tcPr>
            <w:tcW w:w="3000" w:type="dxa"/>
            <w:shd w:val="clear" w:color="auto" w:fill="F5F8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BE0AF3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Adjudication Coordinator</w:t>
            </w:r>
          </w:p>
        </w:tc>
        <w:tc>
          <w:tcPr>
            <w:tcW w:w="6400" w:type="dxa"/>
            <w:shd w:val="clear" w:color="auto" w:fill="F5F8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DE65AE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Prepares calibration cases; collects feedback; records outcomes and clarifications; tracks metrics.</w:t>
            </w:r>
          </w:p>
        </w:tc>
      </w:tr>
      <w:tr xmlns:wp14="http://schemas.microsoft.com/office/word/2010/wordml" w:rsidTr="6CA6D329" w14:paraId="53E753D7" wp14:textId="77777777">
        <w:tc>
          <w:tcPr>
            <w:tcW w:w="30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DEC1A6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Medical Monitor / Biostatistics</w:t>
            </w:r>
          </w:p>
        </w:tc>
        <w:tc>
          <w:tcPr>
            <w:tcW w:w="64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1790C7" wp14:textId="77777777">
            <w:pPr>
              <w:spacing w:after="20" w:line="240" w:lineRule="auto"/>
            </w:pPr>
            <w:r w:rsidRPr="6CA6D329" w:rsidR="6CA6D329">
              <w:rPr>
                <w:rFonts w:ascii="Calibri" w:hAnsi="Calibri" w:eastAsia="Calibri" w:cs="Calibri"/>
                <w:color w:val="222222"/>
                <w:sz w:val="18"/>
                <w:szCs w:val="18"/>
                <w:lang w:val="en-US"/>
              </w:rPr>
              <w:t>Support endpoint-definition clarification and metric calculation.</w:t>
            </w:r>
          </w:p>
        </w:tc>
      </w:tr>
    </w:tbl>
    <w:p xmlns:wp14="http://schemas.microsoft.com/office/word/2010/wordml" w14:paraId="285C0CF3" wp14:textId="77777777">
      <w:pPr>
        <w:pStyle w:val="Heading1"/>
        <w:spacing w:before="200" w:after="80"/>
      </w:pPr>
      <w:r w:rsidRPr="6CA6D329" w:rsidR="6CA6D329">
        <w:rPr>
          <w:rFonts w:ascii="Calibri" w:hAnsi="Calibri" w:eastAsia="Calibri" w:cs="Calibri"/>
          <w:b w:val="1"/>
          <w:bCs w:val="1"/>
          <w:color w:val="1F3864"/>
          <w:sz w:val="25"/>
          <w:szCs w:val="25"/>
          <w:lang w:val="en-US"/>
        </w:rPr>
        <w:t>5  Procedure</w:t>
      </w:r>
    </w:p>
    <w:p xmlns:wp14="http://schemas.microsoft.com/office/word/2010/wordml" w14:paraId="265C12DA" wp14:textId="77777777">
      <w:pPr>
        <w:spacing w:before="130" w:after="50"/>
      </w:pPr>
      <w:r w:rsidRPr="6CA6D329" w:rsidR="6CA6D329">
        <w:rPr>
          <w:rFonts w:ascii="Calibri" w:hAnsi="Calibri" w:eastAsia="Calibri" w:cs="Calibri"/>
          <w:b w:val="1"/>
          <w:bCs w:val="1"/>
          <w:color w:val="2E6E6A"/>
          <w:sz w:val="21"/>
          <w:szCs w:val="21"/>
          <w:lang w:val="en-US"/>
        </w:rPr>
        <w:t>5.1  Pre-start training</w:t>
      </w:r>
    </w:p>
    <w:p xmlns:wp14="http://schemas.microsoft.com/office/word/2010/wordml" w14:paraId="05781D62" wp14:textId="77777777"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All adjudicators complete GCP training and role-specific onboarding before reviewing any case.</w:t>
      </w:r>
    </w:p>
    <w:p xmlns:wp14="http://schemas.microsoft.com/office/word/2010/wordml" w14:paraId="04323CAF" wp14:textId="77777777"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Protocol-specific training covers EOPE and LOPE endpoint definitions, prediction windows, the 34+0-week boundary rule and the forms, including where protocol-specific definitions prevail.</w:t>
      </w:r>
    </w:p>
    <w:p xmlns:wp14="http://schemas.microsoft.com/office/word/2010/wordml" w14:paraId="6F52CE19" wp14:textId="77777777"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Training completion and confidentiality attestation are recorded (FORM-ADJ-14).</w:t>
      </w:r>
    </w:p>
    <w:p xmlns:wp14="http://schemas.microsoft.com/office/word/2010/wordml" w14:paraId="578FF6CC" wp14:textId="77777777">
      <w:pPr>
        <w:spacing w:before="130" w:after="50"/>
      </w:pPr>
      <w:r w:rsidRPr="6CA6D329" w:rsidR="6CA6D329">
        <w:rPr>
          <w:rFonts w:ascii="Calibri" w:hAnsi="Calibri" w:eastAsia="Calibri" w:cs="Calibri"/>
          <w:b w:val="1"/>
          <w:bCs w:val="1"/>
          <w:color w:val="2E6E6A"/>
          <w:sz w:val="21"/>
          <w:szCs w:val="21"/>
          <w:lang w:val="en-US"/>
        </w:rPr>
        <w:t>5.2  Calibration round</w:t>
      </w:r>
    </w:p>
    <w:p xmlns:wp14="http://schemas.microsoft.com/office/word/2010/wordml" w14:paraId="3BE053E1" wp14:textId="77777777">
      <w:pPr>
        <w:pStyle w:val="ListParagraph"/>
        <w:numPr>
          <w:ilvl w:val="0"/>
          <w:numId w:val="2"/>
        </w:numPr>
        <w:spacing w:after="60" w:line="258" w:lineRule="auto"/>
        <w:rPr/>
      </w:pPr>
      <w:r w:rsidRPr="6CA6D329" w:rsidR="6CA6D329">
        <w:rPr>
          <w:rFonts w:ascii="Calibri" w:hAnsi="Calibri" w:eastAsia="Calibri" w:cs="Calibri"/>
          <w:color w:val="222222"/>
          <w:sz w:val="20"/>
          <w:szCs w:val="20"/>
          <w:lang w:val="en-US"/>
        </w:rPr>
        <w:t>Before live adjudication, the OAC completes a calibration exercise on ten retrospective cases (a mix of EOPE and LOPE, including 34+0-week boundary examples).</w:t>
      </w:r>
    </w:p>
    <w:p xmlns:wp14="http://schemas.microsoft.com/office/word/2010/wordml" w14:paraId="4B7EE5A7" wp14:textId="77777777"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Reviewers classify independently; discordances and boundary-classification differences are documented (FORM-ADJ-10).</w:t>
      </w:r>
    </w:p>
    <w:p xmlns:wp14="http://schemas.microsoft.com/office/word/2010/wordml" w14:paraId="400C02B2" wp14:textId="77777777">
      <w:pPr>
        <w:pStyle w:val="ListParagraph"/>
        <w:numPr>
          <w:ilvl w:val="0"/>
          <w:numId w:val="2"/>
        </w:numPr>
        <w:spacing w:after="60" w:line="258" w:lineRule="auto"/>
        <w:rPr/>
      </w:pPr>
      <w:r w:rsidRPr="6CA6D329" w:rsidR="6CA6D329">
        <w:rPr>
          <w:rFonts w:ascii="Calibri" w:hAnsi="Calibri" w:eastAsia="Calibri" w:cs="Calibri"/>
          <w:color w:val="222222"/>
          <w:sz w:val="20"/>
          <w:szCs w:val="20"/>
          <w:lang w:val="en-US"/>
        </w:rPr>
        <w:t>Definition clarifications are captured and used to update the adjudication manual; material changes follow the charter amendment process.</w:t>
      </w:r>
    </w:p>
    <w:p xmlns:wp14="http://schemas.microsoft.com/office/word/2010/wordml" w14:paraId="6652034A" wp14:textId="77777777">
      <w:pPr>
        <w:spacing w:before="130" w:after="50"/>
      </w:pPr>
      <w:r w:rsidRPr="6CA6D329" w:rsidR="6CA6D329">
        <w:rPr>
          <w:rFonts w:ascii="Calibri" w:hAnsi="Calibri" w:eastAsia="Calibri" w:cs="Calibri"/>
          <w:b w:val="1"/>
          <w:bCs w:val="1"/>
          <w:color w:val="2E6E6A"/>
          <w:sz w:val="21"/>
          <w:szCs w:val="21"/>
          <w:lang w:val="en-US"/>
        </w:rPr>
        <w:t>5.3  Calibration outcome</w:t>
      </w:r>
    </w:p>
    <w:p xmlns:wp14="http://schemas.microsoft.com/office/word/2010/wordml" w14:paraId="0BFA0B81" wp14:textId="77777777">
      <w:pPr>
        <w:spacing w:after="90" w:line="264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The Chair reviews the calibration results and approves the outcome before live adjudication proceeds. The record is filed to the OAC administrative file / eTMF.</w:t>
      </w:r>
    </w:p>
    <w:p xmlns:wp14="http://schemas.microsoft.com/office/word/2010/wordml" w14:paraId="7EE96C58" wp14:textId="77777777">
      <w:pPr>
        <w:spacing w:before="130" w:after="50"/>
      </w:pPr>
      <w:r w:rsidRPr="6CA6D329" w:rsidR="6CA6D329">
        <w:rPr>
          <w:rFonts w:ascii="Calibri" w:hAnsi="Calibri" w:eastAsia="Calibri" w:cs="Calibri"/>
          <w:b w:val="1"/>
          <w:bCs w:val="1"/>
          <w:color w:val="2E6E6A"/>
          <w:sz w:val="21"/>
          <w:szCs w:val="21"/>
          <w:lang w:val="en-US"/>
        </w:rPr>
        <w:t>5.4  Consistency monitoring</w:t>
      </w:r>
    </w:p>
    <w:p xmlns:wp14="http://schemas.microsoft.com/office/word/2010/wordml" w14:paraId="3941FE97" wp14:textId="77777777"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Inter-rater agreement (kappa, percent concordance) is tracked per study and reviewed periodically by the Chair.</w:t>
      </w:r>
    </w:p>
    <w:p xmlns:wp14="http://schemas.microsoft.com/office/word/2010/wordml" w14:paraId="69809F21" wp14:textId="77777777">
      <w:pPr>
        <w:pStyle w:val="ListParagraph"/>
        <w:numPr>
          <w:ilvl w:val="0"/>
          <w:numId w:val="2"/>
        </w:numPr>
        <w:spacing w:after="60" w:line="258" w:lineRule="auto"/>
        <w:rPr/>
      </w:pPr>
      <w:r w:rsidRPr="6CA6D329" w:rsidR="6CA6D329">
        <w:rPr>
          <w:rFonts w:ascii="Calibri" w:hAnsi="Calibri" w:eastAsia="Calibri" w:cs="Calibri"/>
          <w:color w:val="222222"/>
          <w:sz w:val="20"/>
          <w:szCs w:val="20"/>
          <w:lang w:val="en-US"/>
        </w:rPr>
        <w:t>First-pass concordance between the two independent reviews and the third-review escalation rate are monitored over time to detect drift.</w:t>
      </w:r>
    </w:p>
    <w:p xmlns:wp14="http://schemas.microsoft.com/office/word/2010/wordml" w14:paraId="74F82395" wp14:textId="77777777">
      <w:pPr>
        <w:spacing w:before="130" w:after="50"/>
      </w:pPr>
      <w:r w:rsidRPr="6CA6D329" w:rsidR="6CA6D329">
        <w:rPr>
          <w:rFonts w:ascii="Calibri" w:hAnsi="Calibri" w:eastAsia="Calibri" w:cs="Calibri"/>
          <w:b w:val="1"/>
          <w:bCs w:val="1"/>
          <w:color w:val="2E6E6A"/>
          <w:sz w:val="21"/>
          <w:szCs w:val="21"/>
          <w:lang w:val="en-US"/>
        </w:rPr>
        <w:t>5.5  Retraining triggers</w:t>
      </w:r>
    </w:p>
    <w:p xmlns:wp14="http://schemas.microsoft.com/office/word/2010/wordml" w14:paraId="546A2304" wp14:textId="77777777">
      <w:pPr>
        <w:spacing w:after="90" w:line="264" w:lineRule="auto"/>
      </w:pPr>
      <w:r w:rsidRPr="6CA6D329" w:rsidR="6CA6D329">
        <w:rPr>
          <w:rFonts w:ascii="Calibri" w:hAnsi="Calibri" w:eastAsia="Calibri" w:cs="Calibri"/>
          <w:color w:val="222222"/>
          <w:sz w:val="20"/>
          <w:szCs w:val="20"/>
          <w:lang w:val="en-US"/>
        </w:rPr>
        <w:t>Persistent discordance, boundary-classification errors, drift in agreement metrics, a sustained rise in third-review rate above the manual's threshold, or definition ambiguity trigger documented recalibration/retraining.</w:t>
      </w:r>
    </w:p>
    <w:p xmlns:wp14="http://schemas.microsoft.com/office/word/2010/wordml" w14:paraId="0A838DDC" wp14:textId="77777777">
      <w:pPr>
        <w:pStyle w:val="Heading1"/>
        <w:spacing w:before="200" w:after="80"/>
      </w:pPr>
      <w:r w:rsidRPr="6CA6D329" w:rsidR="6CA6D329">
        <w:rPr>
          <w:rFonts w:ascii="Calibri" w:hAnsi="Calibri" w:eastAsia="Calibri" w:cs="Calibri"/>
          <w:b w:val="1"/>
          <w:bCs w:val="1"/>
          <w:color w:val="1F3864"/>
          <w:sz w:val="25"/>
          <w:szCs w:val="25"/>
          <w:lang w:val="en-US"/>
        </w:rPr>
        <w:t>6  Records and Forms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3400"/>
        <w:gridCol w:w="6000"/>
      </w:tblGrid>
      <w:tr xmlns:wp14="http://schemas.microsoft.com/office/word/2010/wordml" w14:paraId="65AD0661" wp14:textId="77777777">
        <w:trPr>
          <w:tblHeader/>
        </w:trPr>
        <w:tc>
          <w:tcPr>
            <w:tcW w:w="34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B20B8D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Form / record</w:t>
            </w:r>
          </w:p>
        </w:tc>
        <w:tc>
          <w:tcPr>
            <w:tcW w:w="60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9F036F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Used for</w:t>
            </w:r>
          </w:p>
        </w:tc>
      </w:tr>
      <w:tr xmlns:wp14="http://schemas.microsoft.com/office/word/2010/wordml" w14:paraId="67833ABE" wp14:textId="77777777">
        <w:tc>
          <w:tcPr>
            <w:tcW w:w="34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4275E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FORM-ADJ-10</w:t>
            </w:r>
          </w:p>
        </w:tc>
        <w:tc>
          <w:tcPr>
            <w:tcW w:w="60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C5D490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Calibration session record &amp; inter-rater log</w:t>
            </w:r>
          </w:p>
        </w:tc>
      </w:tr>
      <w:tr xmlns:wp14="http://schemas.microsoft.com/office/word/2010/wordml" w14:paraId="4ECA9376" wp14:textId="77777777">
        <w:tc>
          <w:tcPr>
            <w:tcW w:w="3400" w:type="dxa"/>
            <w:shd w:val="clear" w:color="auto" w:fill="F5F8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65261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FORM-ADJ-14</w:t>
            </w:r>
          </w:p>
        </w:tc>
        <w:tc>
          <w:tcPr>
            <w:tcW w:w="6000" w:type="dxa"/>
            <w:shd w:val="clear" w:color="auto" w:fill="F5F8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6C2145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Training completion &amp; confidentiality attestation</w:t>
            </w:r>
          </w:p>
        </w:tc>
      </w:tr>
    </w:tbl>
    <w:p xmlns:wp14="http://schemas.microsoft.com/office/word/2010/wordml" w14:paraId="6D552047" wp14:textId="77777777">
      <w:pPr>
        <w:pStyle w:val="Heading1"/>
        <w:spacing w:before="200" w:after="80"/>
      </w:pPr>
      <w:r w:rsidRPr="6CA6D329" w:rsidR="6CA6D329">
        <w:rPr>
          <w:rFonts w:ascii="Calibri" w:hAnsi="Calibri" w:eastAsia="Calibri" w:cs="Calibri"/>
          <w:b w:val="1"/>
          <w:bCs w:val="1"/>
          <w:color w:val="1F3864"/>
          <w:sz w:val="25"/>
          <w:szCs w:val="25"/>
          <w:lang w:val="en-US"/>
        </w:rPr>
        <w:t>7  References</w:t>
      </w:r>
    </w:p>
    <w:p xmlns:wp14="http://schemas.microsoft.com/office/word/2010/wordml" w14:paraId="0657D6A0" wp14:textId="77777777"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OAC Charter v2.0 §9 (Boundary rule), §10 (QC and training).</w:t>
      </w:r>
    </w:p>
    <w:p xmlns:wp14="http://schemas.microsoft.com/office/word/2010/wordml" w14:paraId="4B249433" wp14:textId="77777777">
      <w:pPr>
        <w:pStyle w:val="Heading1"/>
        <w:spacing w:before="200" w:after="80"/>
      </w:pPr>
      <w:r w:rsidRPr="6CA6D329" w:rsidR="6CA6D329">
        <w:rPr>
          <w:rFonts w:ascii="Calibri" w:hAnsi="Calibri" w:eastAsia="Calibri" w:cs="Calibri"/>
          <w:b w:val="1"/>
          <w:bCs w:val="1"/>
          <w:color w:val="1F3864"/>
          <w:sz w:val="25"/>
          <w:szCs w:val="25"/>
          <w:lang w:val="en-US"/>
        </w:rPr>
        <w:t>8  Revision History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1400"/>
        <w:gridCol w:w="1700"/>
        <w:gridCol w:w="2600"/>
        <w:gridCol w:w="3700"/>
      </w:tblGrid>
      <w:tr xmlns:wp14="http://schemas.microsoft.com/office/word/2010/wordml" w14:paraId="3FED0B94" wp14:textId="77777777">
        <w:trPr>
          <w:tblHeader/>
        </w:trPr>
        <w:tc>
          <w:tcPr>
            <w:tcW w:w="14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E331A5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w="17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1072FA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w="26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7DF0E4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Author</w:t>
            </w:r>
          </w:p>
        </w:tc>
        <w:tc>
          <w:tcPr>
            <w:tcW w:w="37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78EC64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Summary of change</w:t>
            </w:r>
          </w:p>
        </w:tc>
      </w:tr>
      <w:tr xmlns:wp14="http://schemas.microsoft.com/office/word/2010/wordml" w14:paraId="499EECC3" wp14:textId="77777777">
        <w:tc>
          <w:tcPr>
            <w:tcW w:w="14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3AA50C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1.0</w:t>
            </w:r>
          </w:p>
        </w:tc>
        <w:tc>
          <w:tcPr>
            <w:tcW w:w="17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861B9C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2026-07-15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171E2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ACRN Clinical Operations</w:t>
            </w:r>
          </w:p>
        </w:tc>
        <w:tc>
          <w:tcPr>
            <w:tcW w:w="37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74890E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Initial issue.</w:t>
            </w:r>
          </w:p>
        </w:tc>
      </w:tr>
    </w:tbl>
    <w:p xmlns:wp14="http://schemas.microsoft.com/office/word/2010/wordml" w14:paraId="21D07E5C" wp14:textId="77777777">
      <w:pPr>
        <w:pStyle w:val="Heading1"/>
        <w:spacing w:before="200" w:after="80"/>
      </w:pPr>
      <w:r w:rsidRPr="6CA6D329" w:rsidR="6CA6D329">
        <w:rPr>
          <w:rFonts w:ascii="Calibri" w:hAnsi="Calibri" w:eastAsia="Calibri" w:cs="Calibri"/>
          <w:b w:val="1"/>
          <w:bCs w:val="1"/>
          <w:color w:val="1F3864"/>
          <w:sz w:val="25"/>
          <w:szCs w:val="25"/>
          <w:lang w:val="en-US"/>
        </w:rPr>
        <w:t>9  Approval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2600"/>
        <w:gridCol w:w="2800"/>
        <w:gridCol w:w="2500"/>
        <w:gridCol w:w="1500"/>
      </w:tblGrid>
      <w:tr xmlns:wp14="http://schemas.microsoft.com/office/word/2010/wordml" w14:paraId="2B03807F" wp14:textId="77777777">
        <w:trPr>
          <w:tblHeader/>
        </w:trPr>
        <w:tc>
          <w:tcPr>
            <w:tcW w:w="26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CD447F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w="28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909AED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w="25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CB031D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w="15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3F821A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 xmlns:wp14="http://schemas.microsoft.com/office/word/2010/wordml" w14:paraId="0DDC8D98" wp14:textId="77777777"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AF115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Author — Clinical Operations</w:t>
            </w:r>
          </w:p>
        </w:tc>
        <w:tc>
          <w:tcPr>
            <w:tcW w:w="28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D6B04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2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6959E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0C5B5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</w:tr>
      <w:tr xmlns:wp14="http://schemas.microsoft.com/office/word/2010/wordml" w14:paraId="320A22CB" wp14:textId="77777777"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C3C5B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Reviewer — Quality Assurance</w:t>
            </w:r>
          </w:p>
        </w:tc>
        <w:tc>
          <w:tcPr>
            <w:tcW w:w="28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F40E89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2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8DEACE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AC6FC9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</w:tr>
      <w:tr xmlns:wp14="http://schemas.microsoft.com/office/word/2010/wordml" w14:paraId="19042571" wp14:textId="77777777"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89C282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Approver — OAC Chair</w:t>
            </w:r>
          </w:p>
        </w:tc>
        <w:tc>
          <w:tcPr>
            <w:tcW w:w="28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6A6281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2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876B09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14666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</w:tr>
      <w:tr xmlns:wp14="http://schemas.microsoft.com/office/word/2010/wordml" w14:paraId="0A43C13C" wp14:textId="77777777"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3D48E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Approver — Sponsor Representative</w:t>
            </w:r>
          </w:p>
        </w:tc>
        <w:tc>
          <w:tcPr>
            <w:tcW w:w="28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68B9CD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2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7172F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5CE300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1080" w:right="1080" w:bottom="100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2C564599" wp14:textId="77777777">
    <w:pPr>
      <w:pBdr>
        <w:top w:val="single" w:color="B7C3D6" w:sz="4"/>
      </w:pBdr>
      <w:jc w:val="center"/>
    </w:pPr>
    <w:r>
      <w:rPr>
        <w:rFonts w:ascii="Calibri" w:hAnsi="Calibri" w:eastAsia="Calibri" w:cs="Calibri"/>
        <w:color w:val="595959"/>
        <w:sz w:val="14"/>
        <w:szCs w:val="14"/>
      </w:rPr>
      <w:t xml:space="preserve">Confidential — SOP-ADJ-004   |   Uncontrolled when printed   |   Page </w:t>
    </w:r>
    <w:r>
      <w:rPr>
        <w:rFonts w:ascii="Calibri" w:hAnsi="Calibri" w:eastAsia="Calibri" w:cs="Calibri"/>
        <w:color w:val="595959"/>
        <w:sz w:val="14"/>
        <w:szCs w:val="14"/>
      </w:rPr>
      <w:fldChar w:fldCharType="begin"/>
    </w:r>
    <w:r>
      <w:rPr>
        <w:rFonts w:ascii="Calibri" w:hAnsi="Calibri" w:eastAsia="Calibri" w:cs="Calibri"/>
        <w:color w:val="595959"/>
        <w:sz w:val="14"/>
        <w:szCs w:val="14"/>
      </w:rPr>
      <w:instrText xml:space="preserve">PAGE</w:instrText>
    </w:r>
    <w:r>
      <w:rPr>
        <w:rFonts w:ascii="Calibri" w:hAnsi="Calibri" w:eastAsia="Calibri" w:cs="Calibri"/>
        <w:color w:val="595959"/>
        <w:sz w:val="14"/>
        <w:szCs w:val="14"/>
      </w:rPr>
      <w:fldChar w:fldCharType="separate"/>
    </w:r>
    <w:r>
      <w:rPr>
        <w:rFonts w:ascii="Calibri" w:hAnsi="Calibri" w:eastAsia="Calibri" w:cs="Calibri"/>
        <w:color w:val="595959"/>
        <w:sz w:val="14"/>
        <w:szCs w:val="14"/>
      </w:rPr>
      <w:fldChar w:fldCharType="end"/>
    </w:r>
    <w:r>
      <w:rPr>
        <w:rFonts w:ascii="Calibri" w:hAnsi="Calibri" w:eastAsia="Calibri" w:cs="Calibri"/>
        <w:color w:val="595959"/>
        <w:sz w:val="14"/>
        <w:szCs w:val="14"/>
      </w:rPr>
      <w:t xml:space="preserve"> of </w:t>
    </w:r>
    <w:r>
      <w:rPr>
        <w:rFonts w:ascii="Calibri" w:hAnsi="Calibri" w:eastAsia="Calibri" w:cs="Calibri"/>
        <w:color w:val="595959"/>
        <w:sz w:val="14"/>
        <w:szCs w:val="14"/>
      </w:rPr>
      <w:fldChar w:fldCharType="begin"/>
    </w:r>
    <w:r>
      <w:rPr>
        <w:rFonts w:ascii="Calibri" w:hAnsi="Calibri" w:eastAsia="Calibri" w:cs="Calibri"/>
        <w:color w:val="595959"/>
        <w:sz w:val="14"/>
        <w:szCs w:val="14"/>
      </w:rPr>
      <w:instrText xml:space="preserve">NUMPAGES</w:instrText>
    </w:r>
    <w:r>
      <w:rPr>
        <w:rFonts w:ascii="Calibri" w:hAnsi="Calibri" w:eastAsia="Calibri" w:cs="Calibri"/>
        <w:color w:val="595959"/>
        <w:sz w:val="14"/>
        <w:szCs w:val="14"/>
      </w:rPr>
      <w:fldChar w:fldCharType="separate"/>
    </w:r>
    <w:r>
      <w:rPr>
        <w:rFonts w:ascii="Calibri" w:hAnsi="Calibri" w:eastAsia="Calibri" w:cs="Calibri"/>
        <w:color w:val="595959"/>
        <w:sz w:val="14"/>
        <w:szCs w:val="14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c4baa8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07a3fbd"/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0D030F2D"/>
  <w15:docId w15:val="{141D5A13-3D38-43A1-B3B4-F75588AA0518}"/>
  <w:rsids>
    <w:rsidRoot w:val="6CA6D329"/>
    <w:rsid w:val="6CA6D32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footer" Target="footer1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customXml" Target="../customXml/item3.xml" Id="rId11" /><Relationship Type="http://schemas.openxmlformats.org/officeDocument/2006/relationships/settings" Target="settings.xml" Id="rId5" /><Relationship Type="http://schemas.openxmlformats.org/officeDocument/2006/relationships/customXml" Target="../customXml/item2.xml" Id="rId10" /><Relationship Type="http://schemas.openxmlformats.org/officeDocument/2006/relationships/customXml" Target="../customXml/item1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EC51555B8BFE47A4CFAD7C04A353B6" ma:contentTypeVersion="13" ma:contentTypeDescription="Create a new document." ma:contentTypeScope="" ma:versionID="864d585d86900435544a3f971e060651">
  <xsd:schema xmlns:xsd="http://www.w3.org/2001/XMLSchema" xmlns:xs="http://www.w3.org/2001/XMLSchema" xmlns:p="http://schemas.microsoft.com/office/2006/metadata/properties" xmlns:ns2="1b9cae08-e700-4ddd-903a-e5ae625b7249" xmlns:ns3="ef5e9d52-c684-46df-886b-07099fa6e267" targetNamespace="http://schemas.microsoft.com/office/2006/metadata/properties" ma:root="true" ma:fieldsID="fcdde8b40362df24944794ad36aad2a1" ns2:_="" ns3:_="">
    <xsd:import namespace="1b9cae08-e700-4ddd-903a-e5ae625b7249"/>
    <xsd:import namespace="ef5e9d52-c684-46df-886b-07099fa6e2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Remind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9cae08-e700-4ddd-903a-e5ae625b72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4caa78d-8d5e-4fb5-a44a-f74055cb05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Reminder" ma:index="20" nillable="true" ma:displayName="Reminder" ma:description="To help maintain updated information" ma:format="Dropdown" ma:internalName="Reminde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5e9d52-c684-46df-886b-07099fa6e26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913440b-523d-481a-8623-875baf869bfc}" ma:internalName="TaxCatchAll" ma:showField="CatchAllData" ma:web="ef5e9d52-c684-46df-886b-07099fa6e2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5e9d52-c684-46df-886b-07099fa6e267" xsi:nil="true"/>
    <Reminder xmlns="1b9cae08-e700-4ddd-903a-e5ae625b7249" xsi:nil="true"/>
    <lcf76f155ced4ddcb4097134ff3c332f xmlns="1b9cae08-e700-4ddd-903a-e5ae625b724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7B315E3-14BA-4533-A5D9-68BCFB027910}"/>
</file>

<file path=customXml/itemProps2.xml><?xml version="1.0" encoding="utf-8"?>
<ds:datastoreItem xmlns:ds="http://schemas.openxmlformats.org/officeDocument/2006/customXml" ds:itemID="{C3B1A6B6-BC08-4D88-8D63-9B151522B8C7}"/>
</file>

<file path=customXml/itemProps3.xml><?xml version="1.0" encoding="utf-8"?>
<ds:datastoreItem xmlns:ds="http://schemas.openxmlformats.org/officeDocument/2006/customXml" ds:itemID="{3CF4D8BB-AED6-446E-BFEC-05D0B100C52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SOP-ADJ-004 Calibration, Training &amp; Consistency Monitoring</dc:title>
  <dc:creator>ACRN Clinical Operations</dc:creator>
  <cp:lastModifiedBy>Nqobani Ncube</cp:lastModifiedBy>
  <cp:revision>2</cp:revision>
  <dcterms:created xsi:type="dcterms:W3CDTF">2026-07-17T12:25:52Z</dcterms:created>
  <dcterms:modified xsi:type="dcterms:W3CDTF">2026-07-21T17:17:34Z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0x0101004EEC51555B8BFE47A4CFAD7C04A353B6</vt:lpwstr>
  </property>
  <property fmtid="{D5CDD505-2E9C-101B-9397-08002B2CF9AE}" pid="3" name="MediaServiceImageTags">
    <vt:lpwstr/>
  </property>
</Properties>
</file>