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1694C" w14:textId="76B6E93B" w:rsidR="004C3E3D" w:rsidRPr="003D2293" w:rsidRDefault="004C3E3D" w:rsidP="004C3E3D">
      <w:pPr>
        <w:autoSpaceDE w:val="0"/>
        <w:autoSpaceDN w:val="0"/>
        <w:adjustRightInd w:val="0"/>
        <w:spacing w:line="300" w:lineRule="auto"/>
        <w:rPr>
          <w:rFonts w:ascii="Poppins" w:hAnsi="Poppins" w:cs="Poppins"/>
          <w:b/>
          <w:bCs/>
          <w:color w:val="000000"/>
          <w:sz w:val="28"/>
          <w:szCs w:val="28"/>
          <w:lang w:bidi="th-TH"/>
        </w:rPr>
      </w:pPr>
      <w:bookmarkStart w:id="0" w:name="_Ref193711364"/>
      <w:bookmarkStart w:id="1" w:name="_Toc195704218"/>
      <w:r w:rsidRPr="003D2293">
        <w:rPr>
          <w:rFonts w:ascii="Poppins" w:hAnsi="Poppins" w:cs="Poppins"/>
          <w:b/>
          <w:bCs/>
          <w:color w:val="000000" w:themeColor="text1"/>
          <w:sz w:val="28"/>
          <w:szCs w:val="28"/>
          <w:lang w:bidi="th-TH"/>
        </w:rPr>
        <w:t xml:space="preserve">ACTwatch Lite </w:t>
      </w:r>
      <w:r w:rsidR="677C2E2F" w:rsidRPr="003D2293">
        <w:rPr>
          <w:rFonts w:ascii="Poppins" w:hAnsi="Poppins" w:cs="Poppins"/>
          <w:b/>
          <w:bCs/>
          <w:color w:val="000000" w:themeColor="text1"/>
          <w:sz w:val="28"/>
          <w:szCs w:val="28"/>
          <w:lang w:bidi="th-TH"/>
        </w:rPr>
        <w:t>T</w:t>
      </w:r>
      <w:r w:rsidRPr="003D2293">
        <w:rPr>
          <w:rFonts w:ascii="Poppins" w:hAnsi="Poppins" w:cs="Poppins"/>
          <w:b/>
          <w:bCs/>
          <w:color w:val="000000" w:themeColor="text1"/>
          <w:sz w:val="28"/>
          <w:szCs w:val="28"/>
          <w:lang w:bidi="th-TH"/>
        </w:rPr>
        <w:t>oolkit Stakeholder Mapping Guid</w:t>
      </w:r>
      <w:r w:rsidR="00645BFB">
        <w:rPr>
          <w:rFonts w:ascii="Poppins" w:hAnsi="Poppins" w:cs="Poppins"/>
          <w:b/>
          <w:bCs/>
          <w:color w:val="000000" w:themeColor="text1"/>
          <w:sz w:val="28"/>
          <w:szCs w:val="28"/>
          <w:lang w:bidi="th-TH"/>
        </w:rPr>
        <w:t>e</w:t>
      </w:r>
    </w:p>
    <w:p w14:paraId="21B13B57" w14:textId="77777777" w:rsidR="004C3E3D" w:rsidRPr="003D2293" w:rsidRDefault="004C3E3D" w:rsidP="004C3E3D">
      <w:pPr>
        <w:autoSpaceDE w:val="0"/>
        <w:autoSpaceDN w:val="0"/>
        <w:adjustRightInd w:val="0"/>
        <w:spacing w:line="300" w:lineRule="auto"/>
        <w:rPr>
          <w:rFonts w:ascii="Poppins" w:hAnsi="Poppins" w:cs="Poppins"/>
          <w:b/>
          <w:color w:val="000000"/>
          <w:lang w:bidi="th-TH"/>
        </w:rPr>
      </w:pPr>
    </w:p>
    <w:p w14:paraId="273E2AF6" w14:textId="77777777" w:rsidR="004C3E3D" w:rsidRPr="003D2293" w:rsidRDefault="004C3E3D" w:rsidP="004C3E3D">
      <w:pPr>
        <w:autoSpaceDE w:val="0"/>
        <w:autoSpaceDN w:val="0"/>
        <w:adjustRightInd w:val="0"/>
        <w:spacing w:line="300" w:lineRule="auto"/>
        <w:rPr>
          <w:rFonts w:ascii="Poppins" w:hAnsi="Poppins" w:cs="Poppins"/>
          <w:b/>
          <w:color w:val="000000"/>
          <w:lang w:bidi="th-TH"/>
        </w:rPr>
      </w:pPr>
      <w:r w:rsidRPr="003D2293">
        <w:rPr>
          <w:rFonts w:ascii="Poppins" w:hAnsi="Poppins" w:cs="Poppins"/>
          <w:b/>
          <w:color w:val="000000"/>
          <w:lang w:bidi="th-TH"/>
        </w:rPr>
        <w:t xml:space="preserve">Information/ instructions for users </w:t>
      </w:r>
    </w:p>
    <w:p w14:paraId="1702D53E" w14:textId="77777777" w:rsidR="004C3E3D" w:rsidRPr="00A77C7A" w:rsidRDefault="004C3E3D" w:rsidP="004C3E3D">
      <w:pPr>
        <w:autoSpaceDE w:val="0"/>
        <w:autoSpaceDN w:val="0"/>
        <w:adjustRightInd w:val="0"/>
        <w:spacing w:line="300" w:lineRule="auto"/>
        <w:rPr>
          <w:rFonts w:cstheme="minorHAnsi"/>
          <w:bCs/>
          <w:color w:val="000000"/>
          <w:lang w:bidi="th-TH"/>
        </w:rPr>
      </w:pPr>
    </w:p>
    <w:p w14:paraId="1DE1106F" w14:textId="4FF88E50" w:rsidR="008A085B" w:rsidRPr="008A085B" w:rsidRDefault="008A085B" w:rsidP="008A085B">
      <w:pPr>
        <w:autoSpaceDE w:val="0"/>
        <w:autoSpaceDN w:val="0"/>
        <w:adjustRightInd w:val="0"/>
        <w:spacing w:line="300" w:lineRule="auto"/>
        <w:rPr>
          <w:rFonts w:cstheme="minorHAnsi"/>
          <w:bCs/>
          <w:color w:val="000000"/>
          <w:sz w:val="22"/>
          <w:szCs w:val="22"/>
          <w:lang w:bidi="th-TH"/>
        </w:rPr>
      </w:pPr>
      <w:r w:rsidRPr="008A085B">
        <w:rPr>
          <w:rFonts w:cstheme="minorHAnsi"/>
          <w:bCs/>
          <w:color w:val="000000"/>
          <w:sz w:val="22"/>
          <w:szCs w:val="22"/>
          <w:lang w:bidi="th-TH"/>
        </w:rPr>
        <w:t>This tool is designed to guide stakeholder</w:t>
      </w:r>
      <w:r w:rsidR="005B3A1D" w:rsidRPr="005B3A1D">
        <w:rPr>
          <w:rStyle w:val="FootnoteReference"/>
          <w:rFonts w:cstheme="minorHAnsi"/>
          <w:bCs/>
          <w:color w:val="000000"/>
          <w:sz w:val="22"/>
          <w:szCs w:val="22"/>
          <w:lang w:bidi="th-TH"/>
        </w:rPr>
        <w:footnoteReference w:id="1"/>
      </w:r>
      <w:r w:rsidRPr="008A085B">
        <w:rPr>
          <w:rFonts w:cstheme="minorHAnsi"/>
          <w:bCs/>
          <w:color w:val="000000"/>
          <w:sz w:val="22"/>
          <w:szCs w:val="22"/>
          <w:lang w:bidi="th-TH"/>
        </w:rPr>
        <w:t xml:space="preserve"> mapping and engagement as part of an ACTwatch Lite study. The purpose of stakeholder mapping is to identify and engage key actors who influence or are impacted by private sector malaria case management.</w:t>
      </w:r>
    </w:p>
    <w:p w14:paraId="6028BAA5" w14:textId="77777777" w:rsidR="008A085B" w:rsidRPr="005B3A1D" w:rsidRDefault="008A085B" w:rsidP="008A085B">
      <w:pPr>
        <w:autoSpaceDE w:val="0"/>
        <w:autoSpaceDN w:val="0"/>
        <w:adjustRightInd w:val="0"/>
        <w:spacing w:line="300" w:lineRule="auto"/>
        <w:rPr>
          <w:rFonts w:cstheme="minorHAnsi"/>
          <w:bCs/>
          <w:color w:val="000000"/>
          <w:sz w:val="22"/>
          <w:szCs w:val="22"/>
          <w:lang w:bidi="th-TH"/>
        </w:rPr>
      </w:pPr>
    </w:p>
    <w:p w14:paraId="5E404378" w14:textId="67238D08" w:rsidR="008A085B" w:rsidRPr="005B3A1D" w:rsidRDefault="008A085B" w:rsidP="008A085B">
      <w:pPr>
        <w:autoSpaceDE w:val="0"/>
        <w:autoSpaceDN w:val="0"/>
        <w:adjustRightInd w:val="0"/>
        <w:spacing w:line="300" w:lineRule="auto"/>
        <w:rPr>
          <w:rFonts w:cstheme="minorHAnsi"/>
          <w:bCs/>
          <w:color w:val="000000"/>
          <w:sz w:val="22"/>
          <w:szCs w:val="22"/>
          <w:lang w:bidi="th-TH"/>
        </w:rPr>
      </w:pPr>
      <w:r w:rsidRPr="008A085B">
        <w:rPr>
          <w:rFonts w:cstheme="minorHAnsi"/>
          <w:bCs/>
          <w:color w:val="000000"/>
          <w:sz w:val="22"/>
          <w:szCs w:val="22"/>
          <w:lang w:bidi="th-TH"/>
        </w:rPr>
        <w:t>Use</w:t>
      </w:r>
      <w:r w:rsidR="00F943EB">
        <w:rPr>
          <w:rFonts w:cstheme="minorHAnsi"/>
          <w:bCs/>
          <w:color w:val="000000"/>
          <w:sz w:val="22"/>
          <w:szCs w:val="22"/>
          <w:lang w:bidi="th-TH"/>
        </w:rPr>
        <w:t>rs should use</w:t>
      </w:r>
      <w:r w:rsidRPr="008A085B">
        <w:rPr>
          <w:rFonts w:cstheme="minorHAnsi"/>
          <w:bCs/>
          <w:color w:val="000000"/>
          <w:sz w:val="22"/>
          <w:szCs w:val="22"/>
          <w:lang w:bidi="th-TH"/>
        </w:rPr>
        <w:t xml:space="preserve"> this document as a starting point and </w:t>
      </w:r>
      <w:r w:rsidRPr="008A085B">
        <w:rPr>
          <w:rFonts w:cstheme="minorHAnsi"/>
          <w:b/>
          <w:color w:val="000000"/>
          <w:sz w:val="22"/>
          <w:szCs w:val="22"/>
          <w:u w:val="single"/>
          <w:lang w:bidi="th-TH"/>
        </w:rPr>
        <w:t xml:space="preserve">adapt it to </w:t>
      </w:r>
      <w:r w:rsidR="00F943EB">
        <w:rPr>
          <w:rFonts w:cstheme="minorHAnsi"/>
          <w:b/>
          <w:color w:val="000000"/>
          <w:sz w:val="22"/>
          <w:szCs w:val="22"/>
          <w:u w:val="single"/>
          <w:lang w:bidi="th-TH"/>
        </w:rPr>
        <w:t>their</w:t>
      </w:r>
      <w:r w:rsidRPr="008A085B">
        <w:rPr>
          <w:rFonts w:cstheme="minorHAnsi"/>
          <w:b/>
          <w:color w:val="000000"/>
          <w:sz w:val="22"/>
          <w:szCs w:val="22"/>
          <w:u w:val="single"/>
          <w:lang w:bidi="th-TH"/>
        </w:rPr>
        <w:t xml:space="preserve"> local context and study-specific needs</w:t>
      </w:r>
      <w:r w:rsidRPr="008A085B">
        <w:rPr>
          <w:rFonts w:cstheme="minorHAnsi"/>
          <w:bCs/>
          <w:color w:val="000000"/>
          <w:sz w:val="22"/>
          <w:szCs w:val="22"/>
          <w:lang w:bidi="th-TH"/>
        </w:rPr>
        <w:t>. The tool draws on lessons from the ACTwatch Lite pilot in Benin, Nigeria, and Cameroon, and incorporates elements from global stakeholder mapping frameworks (e.g., WHO guidance</w:t>
      </w:r>
      <w:r w:rsidR="005B3A1D" w:rsidRPr="005B3A1D">
        <w:rPr>
          <w:rStyle w:val="FootnoteReference"/>
          <w:sz w:val="22"/>
          <w:szCs w:val="22"/>
        </w:rPr>
        <w:footnoteReference w:id="2"/>
      </w:r>
      <w:r w:rsidRPr="008A085B">
        <w:rPr>
          <w:rFonts w:cstheme="minorHAnsi"/>
          <w:bCs/>
          <w:color w:val="000000"/>
          <w:sz w:val="22"/>
          <w:szCs w:val="22"/>
          <w:lang w:bidi="th-TH"/>
        </w:rPr>
        <w:t>).</w:t>
      </w:r>
    </w:p>
    <w:p w14:paraId="6E633594" w14:textId="77777777" w:rsidR="006E5A6F" w:rsidRPr="005B3A1D" w:rsidRDefault="006E5A6F" w:rsidP="008A085B">
      <w:pPr>
        <w:autoSpaceDE w:val="0"/>
        <w:autoSpaceDN w:val="0"/>
        <w:adjustRightInd w:val="0"/>
        <w:spacing w:line="300" w:lineRule="auto"/>
        <w:rPr>
          <w:rFonts w:cstheme="minorHAnsi"/>
          <w:bCs/>
          <w:color w:val="000000"/>
          <w:sz w:val="22"/>
          <w:szCs w:val="22"/>
          <w:lang w:bidi="th-TH"/>
        </w:rPr>
      </w:pPr>
    </w:p>
    <w:p w14:paraId="479E202F" w14:textId="5756DA99" w:rsidR="006E5A6F" w:rsidRPr="005B3A1D" w:rsidRDefault="006E5A6F" w:rsidP="006E5A6F">
      <w:pPr>
        <w:autoSpaceDE w:val="0"/>
        <w:autoSpaceDN w:val="0"/>
        <w:adjustRightInd w:val="0"/>
        <w:spacing w:line="300" w:lineRule="auto"/>
        <w:rPr>
          <w:rFonts w:cstheme="minorHAnsi"/>
          <w:bCs/>
          <w:color w:val="000000"/>
          <w:sz w:val="22"/>
          <w:szCs w:val="22"/>
          <w:lang w:bidi="th-TH"/>
        </w:rPr>
      </w:pPr>
      <w:r w:rsidRPr="006E5A6F">
        <w:rPr>
          <w:rFonts w:cstheme="minorHAnsi"/>
          <w:bCs/>
          <w:color w:val="000000"/>
          <w:sz w:val="22"/>
          <w:szCs w:val="22"/>
          <w:lang w:bidi="th-TH"/>
        </w:rPr>
        <w:t>Stakeholder mapping should begin during the inception phase and be revisited throughout the study as new actors are identified or roles change</w:t>
      </w:r>
      <w:r w:rsidRPr="005B3A1D">
        <w:rPr>
          <w:rStyle w:val="FootnoteReference"/>
          <w:sz w:val="22"/>
          <w:szCs w:val="22"/>
        </w:rPr>
        <w:footnoteReference w:id="3"/>
      </w:r>
      <w:r w:rsidRPr="006E5A6F">
        <w:rPr>
          <w:rFonts w:cstheme="minorHAnsi"/>
          <w:bCs/>
          <w:color w:val="000000"/>
          <w:sz w:val="22"/>
          <w:szCs w:val="22"/>
          <w:lang w:bidi="th-TH"/>
        </w:rPr>
        <w:t>. In decentralized health systems, consider conducting the mapping at multiple administrative levels (e.g., national, state, district).</w:t>
      </w:r>
    </w:p>
    <w:p w14:paraId="6F5F8BED" w14:textId="77777777" w:rsidR="006E5A6F" w:rsidRPr="006E5A6F" w:rsidRDefault="006E5A6F" w:rsidP="006E5A6F">
      <w:pPr>
        <w:autoSpaceDE w:val="0"/>
        <w:autoSpaceDN w:val="0"/>
        <w:adjustRightInd w:val="0"/>
        <w:spacing w:line="300" w:lineRule="auto"/>
        <w:rPr>
          <w:rFonts w:cstheme="minorHAnsi"/>
          <w:bCs/>
          <w:color w:val="000000"/>
          <w:sz w:val="22"/>
          <w:szCs w:val="22"/>
          <w:lang w:bidi="th-TH"/>
        </w:rPr>
      </w:pPr>
    </w:p>
    <w:p w14:paraId="18457A34" w14:textId="571BD818" w:rsidR="006E5A6F" w:rsidRPr="006E5A6F" w:rsidRDefault="006E5A6F" w:rsidP="006E5A6F">
      <w:pPr>
        <w:autoSpaceDE w:val="0"/>
        <w:autoSpaceDN w:val="0"/>
        <w:adjustRightInd w:val="0"/>
        <w:spacing w:line="300" w:lineRule="auto"/>
        <w:rPr>
          <w:rFonts w:cstheme="minorHAnsi"/>
          <w:color w:val="000000"/>
          <w:sz w:val="22"/>
          <w:szCs w:val="22"/>
          <w:lang w:bidi="th-TH"/>
        </w:rPr>
      </w:pPr>
      <w:r w:rsidRPr="006E5A6F">
        <w:rPr>
          <w:rFonts w:cstheme="minorHAnsi"/>
          <w:color w:val="000000"/>
          <w:sz w:val="22"/>
          <w:szCs w:val="22"/>
          <w:lang w:bidi="th-TH"/>
        </w:rPr>
        <w:t xml:space="preserve">Why this </w:t>
      </w:r>
      <w:r w:rsidR="00F943EB">
        <w:rPr>
          <w:rFonts w:cstheme="minorHAnsi"/>
          <w:color w:val="000000"/>
          <w:sz w:val="22"/>
          <w:szCs w:val="22"/>
          <w:lang w:bidi="th-TH"/>
        </w:rPr>
        <w:t xml:space="preserve">step </w:t>
      </w:r>
      <w:r w:rsidRPr="006E5A6F">
        <w:rPr>
          <w:rFonts w:cstheme="minorHAnsi"/>
          <w:color w:val="000000"/>
          <w:sz w:val="22"/>
          <w:szCs w:val="22"/>
          <w:lang w:bidi="th-TH"/>
        </w:rPr>
        <w:t>is important:</w:t>
      </w:r>
    </w:p>
    <w:p w14:paraId="3C6DC92C" w14:textId="77777777" w:rsidR="006E5A6F" w:rsidRPr="006E5A6F" w:rsidRDefault="006E5A6F" w:rsidP="006E5A6F">
      <w:pPr>
        <w:numPr>
          <w:ilvl w:val="0"/>
          <w:numId w:val="18"/>
        </w:numPr>
        <w:autoSpaceDE w:val="0"/>
        <w:autoSpaceDN w:val="0"/>
        <w:adjustRightInd w:val="0"/>
        <w:spacing w:line="300" w:lineRule="auto"/>
        <w:rPr>
          <w:rFonts w:cstheme="minorHAnsi"/>
          <w:bCs/>
          <w:color w:val="000000"/>
          <w:sz w:val="22"/>
          <w:szCs w:val="22"/>
          <w:lang w:bidi="th-TH"/>
        </w:rPr>
      </w:pPr>
      <w:r w:rsidRPr="006E5A6F">
        <w:rPr>
          <w:rFonts w:cstheme="minorHAnsi"/>
          <w:bCs/>
          <w:color w:val="000000"/>
          <w:sz w:val="22"/>
          <w:szCs w:val="22"/>
          <w:lang w:bidi="th-TH"/>
        </w:rPr>
        <w:t>Ensures the right actors are engaged across all phases of study implementation.</w:t>
      </w:r>
    </w:p>
    <w:p w14:paraId="5ACB843C" w14:textId="77777777" w:rsidR="006E5A6F" w:rsidRPr="006E5A6F" w:rsidRDefault="006E5A6F" w:rsidP="006E5A6F">
      <w:pPr>
        <w:numPr>
          <w:ilvl w:val="0"/>
          <w:numId w:val="18"/>
        </w:numPr>
        <w:autoSpaceDE w:val="0"/>
        <w:autoSpaceDN w:val="0"/>
        <w:adjustRightInd w:val="0"/>
        <w:spacing w:line="300" w:lineRule="auto"/>
        <w:rPr>
          <w:rFonts w:cstheme="minorHAnsi"/>
          <w:bCs/>
          <w:color w:val="000000"/>
          <w:sz w:val="22"/>
          <w:szCs w:val="22"/>
          <w:lang w:bidi="th-TH"/>
        </w:rPr>
      </w:pPr>
      <w:r w:rsidRPr="006E5A6F">
        <w:rPr>
          <w:rFonts w:cstheme="minorHAnsi"/>
          <w:bCs/>
          <w:color w:val="000000"/>
          <w:sz w:val="22"/>
          <w:szCs w:val="22"/>
          <w:lang w:bidi="th-TH"/>
        </w:rPr>
        <w:t>Supports context-appropriate data collection, validation, and interpretation.</w:t>
      </w:r>
    </w:p>
    <w:p w14:paraId="4C9CD72D" w14:textId="77777777" w:rsidR="006E5A6F" w:rsidRPr="006E5A6F" w:rsidRDefault="006E5A6F" w:rsidP="006E5A6F">
      <w:pPr>
        <w:numPr>
          <w:ilvl w:val="0"/>
          <w:numId w:val="18"/>
        </w:numPr>
        <w:autoSpaceDE w:val="0"/>
        <w:autoSpaceDN w:val="0"/>
        <w:adjustRightInd w:val="0"/>
        <w:spacing w:line="300" w:lineRule="auto"/>
        <w:rPr>
          <w:rFonts w:cstheme="minorHAnsi"/>
          <w:bCs/>
          <w:color w:val="000000"/>
          <w:sz w:val="22"/>
          <w:szCs w:val="22"/>
          <w:lang w:bidi="th-TH"/>
        </w:rPr>
      </w:pPr>
      <w:r w:rsidRPr="006E5A6F">
        <w:rPr>
          <w:rFonts w:cstheme="minorHAnsi"/>
          <w:bCs/>
          <w:color w:val="000000"/>
          <w:sz w:val="22"/>
          <w:szCs w:val="22"/>
          <w:lang w:bidi="th-TH"/>
        </w:rPr>
        <w:t>Promotes use of study findings to inform national policies and strategies (e.g., regulation, MFT, case management improvements).</w:t>
      </w:r>
    </w:p>
    <w:p w14:paraId="17B94D40" w14:textId="77777777" w:rsidR="006E5A6F" w:rsidRPr="008A085B" w:rsidRDefault="006E5A6F" w:rsidP="008A085B">
      <w:pPr>
        <w:autoSpaceDE w:val="0"/>
        <w:autoSpaceDN w:val="0"/>
        <w:adjustRightInd w:val="0"/>
        <w:spacing w:line="300" w:lineRule="auto"/>
        <w:rPr>
          <w:rFonts w:cstheme="minorHAnsi"/>
          <w:bCs/>
          <w:color w:val="000000"/>
          <w:sz w:val="22"/>
          <w:szCs w:val="22"/>
          <w:lang w:bidi="th-TH"/>
        </w:rPr>
      </w:pPr>
    </w:p>
    <w:p w14:paraId="4CAACCF8" w14:textId="1F5F2E59" w:rsidR="004C3E3D" w:rsidRPr="008E6632" w:rsidRDefault="007C50E9" w:rsidP="004C3E3D">
      <w:pPr>
        <w:autoSpaceDE w:val="0"/>
        <w:autoSpaceDN w:val="0"/>
        <w:adjustRightInd w:val="0"/>
        <w:spacing w:line="300" w:lineRule="auto"/>
        <w:rPr>
          <w:rFonts w:ascii="Roboto" w:hAnsi="Roboto" w:cstheme="minorHAnsi"/>
          <w:b/>
          <w:bCs/>
          <w:color w:val="000000"/>
          <w:sz w:val="22"/>
          <w:szCs w:val="22"/>
          <w:lang w:bidi="th-TH"/>
        </w:rPr>
      </w:pPr>
      <w:r w:rsidRPr="008E6632">
        <w:rPr>
          <w:rFonts w:ascii="Roboto" w:hAnsi="Roboto" w:cstheme="minorHAnsi"/>
          <w:b/>
          <w:bCs/>
          <w:color w:val="000000"/>
          <w:sz w:val="22"/>
          <w:szCs w:val="22"/>
          <w:lang w:bidi="th-TH"/>
        </w:rPr>
        <w:t>Instructions:</w:t>
      </w:r>
      <w:r w:rsidR="008E6632" w:rsidRPr="008E6632">
        <w:rPr>
          <w:rFonts w:ascii="Roboto" w:hAnsi="Roboto" w:cstheme="minorHAnsi"/>
          <w:b/>
          <w:bCs/>
          <w:color w:val="000000"/>
          <w:sz w:val="22"/>
          <w:szCs w:val="22"/>
          <w:lang w:bidi="th-TH"/>
        </w:rPr>
        <w:t xml:space="preserve"> Read the stakeholder mapping steps (Table A</w:t>
      </w:r>
      <w:proofErr w:type="gramStart"/>
      <w:r w:rsidR="008E6632" w:rsidRPr="008E6632">
        <w:rPr>
          <w:rFonts w:ascii="Roboto" w:hAnsi="Roboto" w:cstheme="minorHAnsi"/>
          <w:b/>
          <w:bCs/>
          <w:color w:val="000000"/>
          <w:sz w:val="22"/>
          <w:szCs w:val="22"/>
          <w:lang w:bidi="th-TH"/>
        </w:rPr>
        <w:t>)</w:t>
      </w:r>
      <w:proofErr w:type="gramEnd"/>
      <w:r w:rsidR="008E6632" w:rsidRPr="008E6632">
        <w:rPr>
          <w:rFonts w:ascii="Roboto" w:hAnsi="Roboto" w:cstheme="minorHAnsi"/>
          <w:b/>
          <w:bCs/>
          <w:color w:val="000000"/>
          <w:sz w:val="22"/>
          <w:szCs w:val="22"/>
          <w:lang w:bidi="th-TH"/>
        </w:rPr>
        <w:t xml:space="preserve"> and complete Table B and Table C </w:t>
      </w:r>
      <w:r w:rsidRPr="008E6632">
        <w:rPr>
          <w:rFonts w:ascii="Roboto" w:hAnsi="Roboto" w:cstheme="minorHAnsi"/>
          <w:b/>
          <w:bCs/>
          <w:color w:val="000000"/>
          <w:sz w:val="22"/>
          <w:szCs w:val="22"/>
          <w:lang w:bidi="th-TH"/>
        </w:rPr>
        <w:t>provided. Add notes on each stakeholder’s role, level of influence, interest, and recommended engagement approach. Update this document regularly and link to relevant documents where applicable. This tool will serve as a resource throughout study planning, implementation, dissemination, and actioning results.</w:t>
      </w:r>
    </w:p>
    <w:tbl>
      <w:tblPr>
        <w:tblW w:w="9360" w:type="dxa"/>
        <w:tblBorders>
          <w:bottom w:val="single" w:sz="6" w:space="0" w:color="FF84C1"/>
          <w:insideH w:val="single" w:sz="4" w:space="0" w:color="D9D9D9" w:themeColor="background1" w:themeShade="D9"/>
        </w:tblBorders>
        <w:tblCellMar>
          <w:left w:w="0" w:type="dxa"/>
          <w:right w:w="0" w:type="dxa"/>
        </w:tblCellMar>
        <w:tblLook w:val="04A0" w:firstRow="1" w:lastRow="0" w:firstColumn="1" w:lastColumn="0" w:noHBand="0" w:noVBand="1"/>
      </w:tblPr>
      <w:tblGrid>
        <w:gridCol w:w="2790"/>
        <w:gridCol w:w="6570"/>
      </w:tblGrid>
      <w:tr w:rsidR="004C3E3D" w:rsidRPr="002C7E7A" w14:paraId="5B474CD7" w14:textId="77777777" w:rsidTr="006D2459">
        <w:trPr>
          <w:trHeight w:val="300"/>
        </w:trPr>
        <w:tc>
          <w:tcPr>
            <w:tcW w:w="9360" w:type="dxa"/>
            <w:gridSpan w:val="2"/>
            <w:tcBorders>
              <w:top w:val="nil"/>
              <w:bottom w:val="single" w:sz="4" w:space="0" w:color="7F7F7F" w:themeColor="text1" w:themeTint="80"/>
            </w:tcBorders>
            <w:shd w:val="clear" w:color="auto" w:fill="FFFFFF" w:themeFill="background1"/>
            <w:hideMark/>
          </w:tcPr>
          <w:bookmarkEnd w:id="0"/>
          <w:bookmarkEnd w:id="1"/>
          <w:p w14:paraId="5B21287A" w14:textId="4710ABC5" w:rsidR="006D2459" w:rsidRPr="002C7E7A" w:rsidRDefault="004C3E3D" w:rsidP="004C3E3D">
            <w:pPr>
              <w:pStyle w:val="Heading3Calibri"/>
            </w:pPr>
            <w:r w:rsidRPr="002C7E7A">
              <w:lastRenderedPageBreak/>
              <w:t xml:space="preserve">Table </w:t>
            </w:r>
            <w:r w:rsidR="00514FC2">
              <w:t>A</w:t>
            </w:r>
            <w:r w:rsidRPr="002C7E7A">
              <w:t>)</w:t>
            </w:r>
            <w:r>
              <w:t xml:space="preserve"> Stakeholder mapping steps</w:t>
            </w:r>
          </w:p>
          <w:p w14:paraId="36FE77D1" w14:textId="0D1608A7" w:rsidR="004C3E3D" w:rsidRPr="002C7E7A" w:rsidRDefault="004C3E3D" w:rsidP="00B22D46">
            <w:pPr>
              <w:rPr>
                <w:b/>
                <w:bCs/>
                <w:sz w:val="18"/>
                <w:szCs w:val="18"/>
              </w:rPr>
            </w:pPr>
          </w:p>
        </w:tc>
      </w:tr>
      <w:tr w:rsidR="006D2459" w:rsidRPr="002C7E7A" w14:paraId="73E08A1F" w14:textId="77777777">
        <w:trPr>
          <w:trHeight w:val="300"/>
        </w:trPr>
        <w:tc>
          <w:tcPr>
            <w:tcW w:w="9360" w:type="dxa"/>
            <w:gridSpan w:val="2"/>
            <w:tcBorders>
              <w:top w:val="single" w:sz="4" w:space="0" w:color="7F7F7F" w:themeColor="text1" w:themeTint="80"/>
              <w:left w:val="nil"/>
              <w:bottom w:val="single" w:sz="4" w:space="0" w:color="7F7F7F" w:themeColor="text1" w:themeTint="80"/>
              <w:right w:val="nil"/>
            </w:tcBorders>
          </w:tcPr>
          <w:p w14:paraId="183CE9C3" w14:textId="0770F201" w:rsidR="006D2459" w:rsidRPr="6E684C66" w:rsidRDefault="006D2459" w:rsidP="006D2459">
            <w:pPr>
              <w:jc w:val="center"/>
              <w:rPr>
                <w:sz w:val="18"/>
                <w:szCs w:val="18"/>
              </w:rPr>
            </w:pPr>
            <w:r w:rsidRPr="00AD600E">
              <w:rPr>
                <w:b/>
                <w:bCs/>
                <w:noProof/>
                <w:sz w:val="18"/>
                <w:szCs w:val="18"/>
              </w:rPr>
              <w:drawing>
                <wp:inline distT="0" distB="0" distL="0" distR="0" wp14:anchorId="1300D1A1" wp14:editId="44D3C048">
                  <wp:extent cx="5873375" cy="3579963"/>
                  <wp:effectExtent l="0" t="0" r="0" b="1905"/>
                  <wp:docPr id="785312812"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62370" name="Picture 4" descr="A diagram of a dia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301" cy="3623804"/>
                          </a:xfrm>
                          <a:prstGeom prst="rect">
                            <a:avLst/>
                          </a:prstGeom>
                          <a:noFill/>
                          <a:ln>
                            <a:noFill/>
                          </a:ln>
                        </pic:spPr>
                      </pic:pic>
                    </a:graphicData>
                  </a:graphic>
                </wp:inline>
              </w:drawing>
            </w:r>
          </w:p>
        </w:tc>
      </w:tr>
      <w:tr w:rsidR="004C3E3D" w:rsidRPr="005B3A1D" w14:paraId="53139BF1" w14:textId="77777777" w:rsidTr="006D2459">
        <w:trPr>
          <w:trHeight w:val="300"/>
        </w:trPr>
        <w:tc>
          <w:tcPr>
            <w:tcW w:w="2790" w:type="dxa"/>
            <w:tcBorders>
              <w:top w:val="single" w:sz="4" w:space="0" w:color="7F7F7F" w:themeColor="text1" w:themeTint="80"/>
              <w:left w:val="nil"/>
              <w:bottom w:val="single" w:sz="4" w:space="0" w:color="7F7F7F" w:themeColor="text1" w:themeTint="80"/>
              <w:right w:val="nil"/>
            </w:tcBorders>
            <w:hideMark/>
          </w:tcPr>
          <w:p w14:paraId="595BAB9F" w14:textId="77777777" w:rsidR="004C3E3D" w:rsidRPr="005B3A1D" w:rsidRDefault="004C3E3D" w:rsidP="004C3E3D">
            <w:pPr>
              <w:numPr>
                <w:ilvl w:val="0"/>
                <w:numId w:val="4"/>
              </w:numPr>
              <w:rPr>
                <w:rFonts w:ascii="Roboto" w:hAnsi="Roboto"/>
                <w:b/>
                <w:bCs/>
                <w:sz w:val="22"/>
                <w:szCs w:val="22"/>
              </w:rPr>
            </w:pPr>
            <w:r w:rsidRPr="005B3A1D">
              <w:rPr>
                <w:rFonts w:ascii="Roboto" w:hAnsi="Roboto"/>
                <w:b/>
                <w:bCs/>
                <w:sz w:val="22"/>
                <w:szCs w:val="22"/>
              </w:rPr>
              <w:t>Identifying Key Stakeholders:  </w:t>
            </w:r>
          </w:p>
        </w:tc>
        <w:tc>
          <w:tcPr>
            <w:tcW w:w="6570" w:type="dxa"/>
            <w:tcBorders>
              <w:top w:val="single" w:sz="4" w:space="0" w:color="7F7F7F" w:themeColor="text1" w:themeTint="80"/>
              <w:left w:val="nil"/>
              <w:bottom w:val="single" w:sz="4" w:space="0" w:color="7F7F7F" w:themeColor="text1" w:themeTint="80"/>
              <w:right w:val="nil"/>
            </w:tcBorders>
            <w:hideMark/>
          </w:tcPr>
          <w:p w14:paraId="2CD3D299" w14:textId="09432977" w:rsidR="004C3E3D" w:rsidRPr="0074458D" w:rsidRDefault="004C3E3D" w:rsidP="0074458D">
            <w:pPr>
              <w:numPr>
                <w:ilvl w:val="0"/>
                <w:numId w:val="5"/>
              </w:numPr>
              <w:spacing w:before="120" w:after="120"/>
              <w:rPr>
                <w:sz w:val="20"/>
                <w:szCs w:val="20"/>
              </w:rPr>
            </w:pPr>
            <w:r w:rsidRPr="0074458D">
              <w:rPr>
                <w:sz w:val="20"/>
                <w:szCs w:val="20"/>
              </w:rPr>
              <w:t xml:space="preserve">Determine individuals, organizations, and </w:t>
            </w:r>
            <w:r w:rsidR="00460870" w:rsidRPr="0074458D">
              <w:rPr>
                <w:sz w:val="20"/>
                <w:szCs w:val="20"/>
              </w:rPr>
              <w:t>entities</w:t>
            </w:r>
            <w:r w:rsidRPr="0074458D">
              <w:rPr>
                <w:sz w:val="20"/>
                <w:szCs w:val="20"/>
              </w:rPr>
              <w:t xml:space="preserve"> with influence over or interest in private sector malaria </w:t>
            </w:r>
            <w:r w:rsidR="5753B93F" w:rsidRPr="0074458D">
              <w:rPr>
                <w:sz w:val="20"/>
                <w:szCs w:val="20"/>
              </w:rPr>
              <w:t xml:space="preserve">case management and </w:t>
            </w:r>
            <w:r w:rsidRPr="0074458D">
              <w:rPr>
                <w:sz w:val="20"/>
                <w:szCs w:val="20"/>
              </w:rPr>
              <w:t>surveillance. </w:t>
            </w:r>
          </w:p>
          <w:p w14:paraId="5542F745" w14:textId="77777777" w:rsidR="004C3E3D" w:rsidRPr="0074458D" w:rsidRDefault="004C3E3D" w:rsidP="0074458D">
            <w:pPr>
              <w:numPr>
                <w:ilvl w:val="0"/>
                <w:numId w:val="6"/>
              </w:numPr>
              <w:spacing w:before="120" w:after="120"/>
              <w:rPr>
                <w:sz w:val="20"/>
                <w:szCs w:val="20"/>
              </w:rPr>
            </w:pPr>
            <w:r w:rsidRPr="0074458D">
              <w:rPr>
                <w:sz w:val="20"/>
                <w:szCs w:val="20"/>
              </w:rPr>
              <w:t>Consider the 7P’s Framework (Patients/Public, Providers, Purchasers, Payers, Policy Makers, Product Makers, Principal Investigators) to list stakeholders and structure engagement. </w:t>
            </w:r>
          </w:p>
          <w:p w14:paraId="0514FB0B" w14:textId="1D360C93" w:rsidR="004C3E3D" w:rsidRPr="0074458D" w:rsidRDefault="004C3E3D" w:rsidP="0074458D">
            <w:pPr>
              <w:numPr>
                <w:ilvl w:val="0"/>
                <w:numId w:val="7"/>
              </w:numPr>
              <w:spacing w:before="120" w:after="120"/>
              <w:rPr>
                <w:sz w:val="20"/>
                <w:szCs w:val="20"/>
              </w:rPr>
            </w:pPr>
            <w:r w:rsidRPr="0074458D">
              <w:rPr>
                <w:sz w:val="20"/>
                <w:szCs w:val="20"/>
              </w:rPr>
              <w:t xml:space="preserve">Reference </w:t>
            </w:r>
            <w:r w:rsidRPr="0074458D">
              <w:rPr>
                <w:b/>
                <w:bCs/>
                <w:color w:val="FF3399" w:themeColor="accent6"/>
                <w:sz w:val="20"/>
                <w:szCs w:val="20"/>
              </w:rPr>
              <w:t xml:space="preserve">Table </w:t>
            </w:r>
            <w:r w:rsidR="00000F01" w:rsidRPr="0074458D">
              <w:rPr>
                <w:b/>
                <w:bCs/>
                <w:color w:val="FF3399" w:themeColor="accent6"/>
                <w:sz w:val="20"/>
                <w:szCs w:val="20"/>
              </w:rPr>
              <w:t>B</w:t>
            </w:r>
            <w:r w:rsidR="005B3A1D" w:rsidRPr="0074458D">
              <w:rPr>
                <w:b/>
                <w:bCs/>
                <w:color w:val="FF3399" w:themeColor="accent6"/>
                <w:sz w:val="20"/>
                <w:szCs w:val="20"/>
              </w:rPr>
              <w:t xml:space="preserve"> </w:t>
            </w:r>
            <w:r w:rsidR="004A4AEC" w:rsidRPr="0074458D">
              <w:rPr>
                <w:sz w:val="20"/>
                <w:szCs w:val="20"/>
              </w:rPr>
              <w:t>below</w:t>
            </w:r>
          </w:p>
          <w:p w14:paraId="10EF9AD5" w14:textId="77777777" w:rsidR="004C3E3D" w:rsidRPr="0074458D" w:rsidRDefault="004C3E3D" w:rsidP="0074458D">
            <w:pPr>
              <w:spacing w:before="120" w:after="120"/>
              <w:rPr>
                <w:sz w:val="20"/>
                <w:szCs w:val="20"/>
              </w:rPr>
            </w:pPr>
            <w:r w:rsidRPr="0074458D">
              <w:rPr>
                <w:sz w:val="20"/>
                <w:szCs w:val="20"/>
              </w:rPr>
              <w:t> </w:t>
            </w:r>
          </w:p>
        </w:tc>
      </w:tr>
      <w:tr w:rsidR="004C3E3D" w:rsidRPr="005B3A1D" w14:paraId="19CE9CFE" w14:textId="77777777" w:rsidTr="006D2459">
        <w:trPr>
          <w:trHeight w:val="300"/>
        </w:trPr>
        <w:tc>
          <w:tcPr>
            <w:tcW w:w="2790" w:type="dxa"/>
            <w:tcBorders>
              <w:top w:val="single" w:sz="4" w:space="0" w:color="7F7F7F" w:themeColor="text1" w:themeTint="80"/>
              <w:left w:val="nil"/>
              <w:bottom w:val="single" w:sz="4" w:space="0" w:color="7F7F7F" w:themeColor="text1" w:themeTint="80"/>
              <w:right w:val="nil"/>
            </w:tcBorders>
            <w:hideMark/>
          </w:tcPr>
          <w:p w14:paraId="32526017" w14:textId="77777777" w:rsidR="004C3E3D" w:rsidRPr="005B3A1D" w:rsidRDefault="004C3E3D" w:rsidP="004C3E3D">
            <w:pPr>
              <w:numPr>
                <w:ilvl w:val="0"/>
                <w:numId w:val="8"/>
              </w:numPr>
              <w:rPr>
                <w:rFonts w:ascii="Roboto" w:hAnsi="Roboto"/>
                <w:b/>
                <w:bCs/>
                <w:sz w:val="22"/>
                <w:szCs w:val="22"/>
              </w:rPr>
            </w:pPr>
            <w:r w:rsidRPr="005B3A1D">
              <w:rPr>
                <w:rFonts w:ascii="Roboto" w:hAnsi="Roboto"/>
                <w:b/>
                <w:bCs/>
                <w:sz w:val="22"/>
                <w:szCs w:val="22"/>
              </w:rPr>
              <w:t>Analyzing Stakeholder Influence and Interest:  </w:t>
            </w:r>
          </w:p>
          <w:p w14:paraId="1D3D2FA5" w14:textId="77777777" w:rsidR="004C3E3D" w:rsidRPr="005B3A1D" w:rsidRDefault="004C3E3D" w:rsidP="00B22D46">
            <w:pPr>
              <w:rPr>
                <w:rFonts w:ascii="Roboto" w:hAnsi="Roboto"/>
                <w:b/>
                <w:bCs/>
                <w:sz w:val="22"/>
                <w:szCs w:val="22"/>
              </w:rPr>
            </w:pPr>
            <w:r w:rsidRPr="005B3A1D">
              <w:rPr>
                <w:rFonts w:ascii="Roboto" w:hAnsi="Roboto"/>
                <w:b/>
                <w:bCs/>
                <w:sz w:val="22"/>
                <w:szCs w:val="22"/>
              </w:rPr>
              <w:t> </w:t>
            </w:r>
          </w:p>
        </w:tc>
        <w:tc>
          <w:tcPr>
            <w:tcW w:w="6570" w:type="dxa"/>
            <w:tcBorders>
              <w:top w:val="single" w:sz="4" w:space="0" w:color="7F7F7F" w:themeColor="text1" w:themeTint="80"/>
              <w:left w:val="nil"/>
              <w:bottom w:val="single" w:sz="4" w:space="0" w:color="7F7F7F" w:themeColor="text1" w:themeTint="80"/>
              <w:right w:val="nil"/>
            </w:tcBorders>
            <w:hideMark/>
          </w:tcPr>
          <w:p w14:paraId="4F5985E3" w14:textId="77777777" w:rsidR="004C3E3D" w:rsidRPr="0074458D" w:rsidRDefault="004C3E3D" w:rsidP="0074458D">
            <w:pPr>
              <w:numPr>
                <w:ilvl w:val="0"/>
                <w:numId w:val="9"/>
              </w:numPr>
              <w:spacing w:before="120" w:after="120"/>
              <w:rPr>
                <w:sz w:val="20"/>
                <w:szCs w:val="20"/>
              </w:rPr>
            </w:pPr>
            <w:r w:rsidRPr="0074458D">
              <w:rPr>
                <w:sz w:val="20"/>
                <w:szCs w:val="20"/>
              </w:rPr>
              <w:t>Use a stakeholder matrix (below) to classify actors based on interest and influence (e.g., high-influence/high-interest stakeholders should be closely engaged throughout). </w:t>
            </w:r>
          </w:p>
          <w:p w14:paraId="3872311A" w14:textId="77777777" w:rsidR="004C3E3D" w:rsidRPr="0074458D" w:rsidRDefault="004C3E3D" w:rsidP="0074458D">
            <w:pPr>
              <w:numPr>
                <w:ilvl w:val="0"/>
                <w:numId w:val="10"/>
              </w:numPr>
              <w:spacing w:before="120" w:after="120"/>
              <w:rPr>
                <w:sz w:val="20"/>
                <w:szCs w:val="20"/>
              </w:rPr>
            </w:pPr>
            <w:r w:rsidRPr="0074458D">
              <w:rPr>
                <w:sz w:val="20"/>
                <w:szCs w:val="20"/>
              </w:rPr>
              <w:t>Consider decision-making authority and map power dynamics </w:t>
            </w:r>
          </w:p>
          <w:p w14:paraId="0FD291E8" w14:textId="3D8D25B7" w:rsidR="004C3E3D" w:rsidRPr="0074458D" w:rsidRDefault="004C3E3D" w:rsidP="0074458D">
            <w:pPr>
              <w:numPr>
                <w:ilvl w:val="0"/>
                <w:numId w:val="11"/>
              </w:numPr>
              <w:spacing w:before="120" w:after="120"/>
              <w:rPr>
                <w:sz w:val="20"/>
                <w:szCs w:val="20"/>
              </w:rPr>
            </w:pPr>
            <w:r w:rsidRPr="0074458D">
              <w:rPr>
                <w:sz w:val="20"/>
                <w:szCs w:val="20"/>
              </w:rPr>
              <w:t xml:space="preserve">Use </w:t>
            </w:r>
            <w:r w:rsidRPr="0074458D">
              <w:rPr>
                <w:b/>
                <w:bCs/>
                <w:color w:val="FF3399" w:themeColor="accent6"/>
                <w:sz w:val="20"/>
                <w:szCs w:val="20"/>
              </w:rPr>
              <w:t xml:space="preserve">Table </w:t>
            </w:r>
            <w:r w:rsidR="004A4AEC" w:rsidRPr="0074458D">
              <w:rPr>
                <w:b/>
                <w:bCs/>
                <w:color w:val="FF3399" w:themeColor="accent6"/>
                <w:sz w:val="20"/>
                <w:szCs w:val="20"/>
              </w:rPr>
              <w:t>C</w:t>
            </w:r>
            <w:r w:rsidR="00001379" w:rsidRPr="0074458D">
              <w:rPr>
                <w:b/>
                <w:bCs/>
                <w:sz w:val="20"/>
                <w:szCs w:val="20"/>
              </w:rPr>
              <w:t xml:space="preserve"> </w:t>
            </w:r>
            <w:r w:rsidR="00001379" w:rsidRPr="0074458D">
              <w:rPr>
                <w:sz w:val="20"/>
                <w:szCs w:val="20"/>
              </w:rPr>
              <w:t>below</w:t>
            </w:r>
            <w:r w:rsidRPr="0074458D">
              <w:rPr>
                <w:sz w:val="20"/>
                <w:szCs w:val="20"/>
              </w:rPr>
              <w:t> </w:t>
            </w:r>
          </w:p>
          <w:p w14:paraId="1C34347F" w14:textId="77777777" w:rsidR="004C3E3D" w:rsidRPr="0074458D" w:rsidRDefault="004C3E3D" w:rsidP="0074458D">
            <w:pPr>
              <w:spacing w:before="120" w:after="120"/>
              <w:rPr>
                <w:sz w:val="20"/>
                <w:szCs w:val="20"/>
              </w:rPr>
            </w:pPr>
            <w:r w:rsidRPr="0074458D">
              <w:rPr>
                <w:sz w:val="20"/>
                <w:szCs w:val="20"/>
              </w:rPr>
              <w:t> </w:t>
            </w:r>
          </w:p>
        </w:tc>
      </w:tr>
      <w:tr w:rsidR="004C3E3D" w:rsidRPr="005B3A1D" w14:paraId="665F56F5" w14:textId="77777777" w:rsidTr="006D2459">
        <w:trPr>
          <w:trHeight w:val="300"/>
        </w:trPr>
        <w:tc>
          <w:tcPr>
            <w:tcW w:w="2790" w:type="dxa"/>
            <w:tcBorders>
              <w:top w:val="single" w:sz="4" w:space="0" w:color="7F7F7F" w:themeColor="text1" w:themeTint="80"/>
              <w:left w:val="nil"/>
              <w:bottom w:val="single" w:sz="4" w:space="0" w:color="7F7F7F" w:themeColor="text1" w:themeTint="80"/>
              <w:right w:val="nil"/>
            </w:tcBorders>
            <w:hideMark/>
          </w:tcPr>
          <w:p w14:paraId="2669803C" w14:textId="77777777" w:rsidR="004C3E3D" w:rsidRPr="005B3A1D" w:rsidRDefault="004C3E3D" w:rsidP="004C3E3D">
            <w:pPr>
              <w:numPr>
                <w:ilvl w:val="0"/>
                <w:numId w:val="12"/>
              </w:numPr>
              <w:rPr>
                <w:rFonts w:ascii="Roboto" w:hAnsi="Roboto"/>
                <w:b/>
                <w:bCs/>
                <w:sz w:val="22"/>
                <w:szCs w:val="22"/>
              </w:rPr>
            </w:pPr>
            <w:r w:rsidRPr="005B3A1D">
              <w:rPr>
                <w:rFonts w:ascii="Roboto" w:hAnsi="Roboto"/>
                <w:b/>
                <w:bCs/>
                <w:sz w:val="22"/>
                <w:szCs w:val="22"/>
              </w:rPr>
              <w:t>Mapping Relationships and Engagement Pathways: </w:t>
            </w:r>
          </w:p>
        </w:tc>
        <w:tc>
          <w:tcPr>
            <w:tcW w:w="6570" w:type="dxa"/>
            <w:tcBorders>
              <w:top w:val="single" w:sz="4" w:space="0" w:color="7F7F7F" w:themeColor="text1" w:themeTint="80"/>
              <w:left w:val="nil"/>
              <w:bottom w:val="single" w:sz="4" w:space="0" w:color="7F7F7F" w:themeColor="text1" w:themeTint="80"/>
              <w:right w:val="nil"/>
            </w:tcBorders>
            <w:hideMark/>
          </w:tcPr>
          <w:p w14:paraId="38694DF9" w14:textId="77777777" w:rsidR="004C3E3D" w:rsidRPr="0074458D" w:rsidRDefault="004C3E3D" w:rsidP="0074458D">
            <w:pPr>
              <w:numPr>
                <w:ilvl w:val="0"/>
                <w:numId w:val="13"/>
              </w:numPr>
              <w:spacing w:before="120" w:after="120"/>
              <w:rPr>
                <w:sz w:val="20"/>
                <w:szCs w:val="20"/>
              </w:rPr>
            </w:pPr>
            <w:r w:rsidRPr="0074458D">
              <w:rPr>
                <w:sz w:val="20"/>
                <w:szCs w:val="20"/>
              </w:rPr>
              <w:t>Use flow diagrams to visualize stakeholder connections (e.g., MoH–Private Sector linkages, regulatory oversight) to facilitate coordination, collaboration, and advocacy </w:t>
            </w:r>
          </w:p>
          <w:p w14:paraId="3AE10A92" w14:textId="77777777" w:rsidR="004C3E3D" w:rsidRPr="0074458D" w:rsidRDefault="004C3E3D" w:rsidP="0074458D">
            <w:pPr>
              <w:numPr>
                <w:ilvl w:val="0"/>
                <w:numId w:val="14"/>
              </w:numPr>
              <w:spacing w:before="120" w:after="120"/>
              <w:rPr>
                <w:sz w:val="20"/>
                <w:szCs w:val="20"/>
              </w:rPr>
            </w:pPr>
            <w:r w:rsidRPr="0074458D">
              <w:rPr>
                <w:sz w:val="20"/>
                <w:szCs w:val="20"/>
              </w:rPr>
              <w:t>Identify champions who can advocate for the integration of ACTwatch Lite findings into national strategies. </w:t>
            </w:r>
          </w:p>
        </w:tc>
      </w:tr>
      <w:tr w:rsidR="004C3E3D" w:rsidRPr="005B3A1D" w14:paraId="2B8B333D" w14:textId="77777777" w:rsidTr="006D2459">
        <w:trPr>
          <w:trHeight w:val="300"/>
        </w:trPr>
        <w:tc>
          <w:tcPr>
            <w:tcW w:w="2790" w:type="dxa"/>
            <w:tcBorders>
              <w:top w:val="single" w:sz="4" w:space="0" w:color="7F7F7F" w:themeColor="text1" w:themeTint="80"/>
              <w:left w:val="nil"/>
              <w:bottom w:val="nil"/>
              <w:right w:val="nil"/>
            </w:tcBorders>
            <w:hideMark/>
          </w:tcPr>
          <w:p w14:paraId="7297DFA0" w14:textId="77777777" w:rsidR="004C3E3D" w:rsidRPr="005B3A1D" w:rsidRDefault="004C3E3D" w:rsidP="004C3E3D">
            <w:pPr>
              <w:numPr>
                <w:ilvl w:val="0"/>
                <w:numId w:val="15"/>
              </w:numPr>
              <w:rPr>
                <w:rFonts w:ascii="Roboto" w:hAnsi="Roboto"/>
                <w:b/>
                <w:bCs/>
                <w:sz w:val="22"/>
                <w:szCs w:val="22"/>
              </w:rPr>
            </w:pPr>
            <w:r w:rsidRPr="005B3A1D">
              <w:rPr>
                <w:rFonts w:ascii="Roboto" w:hAnsi="Roboto"/>
                <w:b/>
                <w:bCs/>
                <w:sz w:val="22"/>
                <w:szCs w:val="22"/>
              </w:rPr>
              <w:t>Prioritizing and Engaging Stakeholders:  </w:t>
            </w:r>
          </w:p>
          <w:p w14:paraId="476AE92C" w14:textId="77777777" w:rsidR="004C3E3D" w:rsidRPr="005B3A1D" w:rsidRDefault="004C3E3D" w:rsidP="00B22D46">
            <w:pPr>
              <w:rPr>
                <w:rFonts w:ascii="Roboto" w:hAnsi="Roboto"/>
                <w:b/>
                <w:bCs/>
                <w:sz w:val="22"/>
                <w:szCs w:val="22"/>
              </w:rPr>
            </w:pPr>
            <w:r w:rsidRPr="005B3A1D">
              <w:rPr>
                <w:rFonts w:ascii="Roboto" w:hAnsi="Roboto"/>
                <w:b/>
                <w:bCs/>
                <w:sz w:val="22"/>
                <w:szCs w:val="22"/>
              </w:rPr>
              <w:t> </w:t>
            </w:r>
          </w:p>
        </w:tc>
        <w:tc>
          <w:tcPr>
            <w:tcW w:w="6570" w:type="dxa"/>
            <w:tcBorders>
              <w:top w:val="single" w:sz="4" w:space="0" w:color="7F7F7F" w:themeColor="text1" w:themeTint="80"/>
              <w:left w:val="nil"/>
              <w:bottom w:val="nil"/>
              <w:right w:val="nil"/>
            </w:tcBorders>
            <w:hideMark/>
          </w:tcPr>
          <w:p w14:paraId="6B8013F9" w14:textId="24E70CD1" w:rsidR="004C3E3D" w:rsidRPr="0074458D" w:rsidRDefault="004C3E3D" w:rsidP="0074458D">
            <w:pPr>
              <w:numPr>
                <w:ilvl w:val="0"/>
                <w:numId w:val="16"/>
              </w:numPr>
              <w:spacing w:before="120" w:after="120"/>
              <w:rPr>
                <w:sz w:val="20"/>
                <w:szCs w:val="20"/>
              </w:rPr>
            </w:pPr>
            <w:r w:rsidRPr="0074458D">
              <w:rPr>
                <w:sz w:val="20"/>
                <w:szCs w:val="20"/>
              </w:rPr>
              <w:t xml:space="preserve">Establish a stakeholder engagement plan, including policy dialogues, workshops, and dissemination events to </w:t>
            </w:r>
            <w:r w:rsidR="008C4A1C" w:rsidRPr="0074458D">
              <w:rPr>
                <w:sz w:val="20"/>
                <w:szCs w:val="20"/>
              </w:rPr>
              <w:t>ensure continuous</w:t>
            </w:r>
            <w:r w:rsidRPr="0074458D">
              <w:rPr>
                <w:sz w:val="20"/>
                <w:szCs w:val="20"/>
              </w:rPr>
              <w:t xml:space="preserve"> communication and feedback loops throughout the study. </w:t>
            </w:r>
          </w:p>
        </w:tc>
      </w:tr>
    </w:tbl>
    <w:p w14:paraId="38179E04" w14:textId="77777777" w:rsidR="004C3E3D" w:rsidRDefault="004C3E3D" w:rsidP="004C3E3D"/>
    <w:p w14:paraId="7D15DDEF" w14:textId="61711496" w:rsidR="004C3E3D" w:rsidRDefault="004C3E3D" w:rsidP="004C3E3D">
      <w:pPr>
        <w:pStyle w:val="Heading3Calibri"/>
      </w:pPr>
      <w:bookmarkStart w:id="2" w:name="_Toc195704219"/>
      <w:r>
        <w:lastRenderedPageBreak/>
        <w:t xml:space="preserve">Table B) </w:t>
      </w:r>
      <w:r w:rsidR="00DE473C">
        <w:t>P</w:t>
      </w:r>
      <w:r w:rsidR="00DE473C" w:rsidRPr="00DE473C">
        <w:t>rivate sector malaria case management and surveillance</w:t>
      </w:r>
      <w:r w:rsidR="00D23C1E">
        <w:t xml:space="preserve"> stakeholder</w:t>
      </w:r>
      <w:r w:rsidR="009A6FE4">
        <w:t xml:space="preserve"> </w:t>
      </w:r>
      <w:r>
        <w:t xml:space="preserve">list </w:t>
      </w:r>
      <w:bookmarkEnd w:id="2"/>
      <w:r w:rsidR="00D23C1E">
        <w:t>for potential inclusion in ACTwatch Lite study</w:t>
      </w:r>
    </w:p>
    <w:p w14:paraId="05374716" w14:textId="6C7FD548" w:rsidR="00F521F1" w:rsidRPr="005B3A1D" w:rsidRDefault="00F521F1" w:rsidP="0064766D">
      <w:pPr>
        <w:spacing w:before="120" w:after="100" w:afterAutospacing="1" w:line="288" w:lineRule="auto"/>
        <w:rPr>
          <w:i/>
          <w:iCs/>
          <w:caps/>
          <w:sz w:val="18"/>
          <w:szCs w:val="18"/>
        </w:rPr>
      </w:pPr>
      <w:r w:rsidRPr="005B3A1D">
        <w:rPr>
          <w:i/>
          <w:iCs/>
          <w:caps/>
          <w:sz w:val="18"/>
          <w:szCs w:val="18"/>
        </w:rPr>
        <w:t>This is not a comprehensive list for all countries or areas of implementation. Users should edit or expand given the local context.</w:t>
      </w:r>
    </w:p>
    <w:tbl>
      <w:tblPr>
        <w:tblW w:w="9350" w:type="dxa"/>
        <w:tblBorders>
          <w:insideH w:val="single" w:sz="4" w:space="0" w:color="7F7F7F" w:themeColor="text1" w:themeTint="80"/>
        </w:tblBorders>
        <w:tblCellMar>
          <w:left w:w="0" w:type="dxa"/>
          <w:right w:w="0" w:type="dxa"/>
        </w:tblCellMar>
        <w:tblLook w:val="04A0" w:firstRow="1" w:lastRow="0" w:firstColumn="1" w:lastColumn="0" w:noHBand="0" w:noVBand="1"/>
      </w:tblPr>
      <w:tblGrid>
        <w:gridCol w:w="1576"/>
        <w:gridCol w:w="2914"/>
        <w:gridCol w:w="4860"/>
      </w:tblGrid>
      <w:tr w:rsidR="004C3E3D" w:rsidRPr="002C7E7A" w14:paraId="7B6C0ACD" w14:textId="77777777" w:rsidTr="005B3A1D">
        <w:trPr>
          <w:trHeight w:val="300"/>
        </w:trPr>
        <w:tc>
          <w:tcPr>
            <w:tcW w:w="1576" w:type="dxa"/>
            <w:hideMark/>
          </w:tcPr>
          <w:p w14:paraId="4AF01BE6" w14:textId="77777777" w:rsidR="004C3E3D" w:rsidRPr="0074458D" w:rsidRDefault="004C3E3D" w:rsidP="005B3A1D">
            <w:pPr>
              <w:spacing w:line="360" w:lineRule="auto"/>
              <w:rPr>
                <w:rFonts w:ascii="Roboto" w:hAnsi="Roboto"/>
                <w:b/>
                <w:bCs/>
                <w:sz w:val="18"/>
                <w:szCs w:val="18"/>
              </w:rPr>
            </w:pPr>
            <w:r w:rsidRPr="0074458D">
              <w:rPr>
                <w:rFonts w:ascii="Roboto" w:hAnsi="Roboto"/>
                <w:b/>
                <w:bCs/>
                <w:sz w:val="18"/>
                <w:szCs w:val="18"/>
              </w:rPr>
              <w:t>Stakeholder Category </w:t>
            </w:r>
          </w:p>
        </w:tc>
        <w:tc>
          <w:tcPr>
            <w:tcW w:w="2914" w:type="dxa"/>
            <w:hideMark/>
          </w:tcPr>
          <w:p w14:paraId="786B2CFB" w14:textId="77777777" w:rsidR="004C3E3D" w:rsidRPr="0074458D" w:rsidRDefault="004C3E3D" w:rsidP="005B3A1D">
            <w:pPr>
              <w:spacing w:line="360" w:lineRule="auto"/>
              <w:rPr>
                <w:rFonts w:ascii="Roboto" w:hAnsi="Roboto"/>
                <w:b/>
                <w:bCs/>
                <w:sz w:val="18"/>
                <w:szCs w:val="18"/>
              </w:rPr>
            </w:pPr>
            <w:r w:rsidRPr="0074458D">
              <w:rPr>
                <w:rFonts w:ascii="Roboto" w:hAnsi="Roboto"/>
                <w:b/>
                <w:bCs/>
                <w:sz w:val="18"/>
                <w:szCs w:val="18"/>
              </w:rPr>
              <w:t>Key Stakeholders </w:t>
            </w:r>
          </w:p>
        </w:tc>
        <w:tc>
          <w:tcPr>
            <w:tcW w:w="4860" w:type="dxa"/>
            <w:hideMark/>
          </w:tcPr>
          <w:p w14:paraId="42A97EA3" w14:textId="77777777" w:rsidR="004C3E3D" w:rsidRPr="0074458D" w:rsidRDefault="004C3E3D" w:rsidP="005B3A1D">
            <w:pPr>
              <w:spacing w:line="360" w:lineRule="auto"/>
              <w:rPr>
                <w:rFonts w:ascii="Roboto" w:hAnsi="Roboto"/>
                <w:b/>
                <w:bCs/>
                <w:sz w:val="18"/>
                <w:szCs w:val="18"/>
              </w:rPr>
            </w:pPr>
            <w:r w:rsidRPr="0074458D">
              <w:rPr>
                <w:rFonts w:ascii="Roboto" w:hAnsi="Roboto"/>
                <w:b/>
                <w:bCs/>
                <w:sz w:val="18"/>
                <w:szCs w:val="18"/>
              </w:rPr>
              <w:t>Role in ACTwatch Lite </w:t>
            </w:r>
          </w:p>
        </w:tc>
      </w:tr>
      <w:tr w:rsidR="004C3E3D" w:rsidRPr="002C7E7A" w14:paraId="0EB53BEF" w14:textId="77777777" w:rsidTr="005B3A1D">
        <w:trPr>
          <w:trHeight w:val="300"/>
        </w:trPr>
        <w:tc>
          <w:tcPr>
            <w:tcW w:w="1576" w:type="dxa"/>
            <w:hideMark/>
          </w:tcPr>
          <w:p w14:paraId="7AE767A2" w14:textId="77777777" w:rsidR="004C3E3D" w:rsidRPr="00295A0B" w:rsidRDefault="004C3E3D" w:rsidP="005B3A1D">
            <w:pPr>
              <w:spacing w:line="360" w:lineRule="auto"/>
              <w:rPr>
                <w:sz w:val="18"/>
                <w:szCs w:val="18"/>
              </w:rPr>
            </w:pPr>
            <w:r w:rsidRPr="00295A0B">
              <w:rPr>
                <w:sz w:val="18"/>
                <w:szCs w:val="18"/>
              </w:rPr>
              <w:t>Government &amp; Policy Actors </w:t>
            </w:r>
          </w:p>
        </w:tc>
        <w:tc>
          <w:tcPr>
            <w:tcW w:w="2914" w:type="dxa"/>
            <w:hideMark/>
          </w:tcPr>
          <w:p w14:paraId="1A7FBA26" w14:textId="77777777" w:rsidR="004C3E3D" w:rsidRPr="002C7E7A" w:rsidRDefault="004C3E3D" w:rsidP="005B3A1D">
            <w:pPr>
              <w:spacing w:line="360" w:lineRule="auto"/>
              <w:rPr>
                <w:sz w:val="18"/>
                <w:szCs w:val="18"/>
              </w:rPr>
            </w:pPr>
            <w:r w:rsidRPr="002C7E7A">
              <w:rPr>
                <w:sz w:val="18"/>
                <w:szCs w:val="18"/>
              </w:rPr>
              <w:t>National Malaria Program (NMP) </w:t>
            </w:r>
          </w:p>
        </w:tc>
        <w:tc>
          <w:tcPr>
            <w:tcW w:w="4860" w:type="dxa"/>
            <w:hideMark/>
          </w:tcPr>
          <w:p w14:paraId="311506DE" w14:textId="77777777" w:rsidR="004C3E3D" w:rsidRPr="002C7E7A" w:rsidRDefault="004C3E3D" w:rsidP="005B3A1D">
            <w:pPr>
              <w:spacing w:line="360" w:lineRule="auto"/>
              <w:rPr>
                <w:sz w:val="18"/>
                <w:szCs w:val="18"/>
              </w:rPr>
            </w:pPr>
            <w:r w:rsidRPr="002C7E7A">
              <w:rPr>
                <w:sz w:val="18"/>
                <w:szCs w:val="18"/>
              </w:rPr>
              <w:t>Leads coordination and integration of ACTwatch Lite within national malaria surveillance strategies. </w:t>
            </w:r>
          </w:p>
        </w:tc>
      </w:tr>
      <w:tr w:rsidR="004C3E3D" w:rsidRPr="002C7E7A" w14:paraId="61641F33" w14:textId="77777777" w:rsidTr="005B3A1D">
        <w:trPr>
          <w:trHeight w:val="300"/>
        </w:trPr>
        <w:tc>
          <w:tcPr>
            <w:tcW w:w="1576" w:type="dxa"/>
            <w:hideMark/>
          </w:tcPr>
          <w:p w14:paraId="59C8E5A9" w14:textId="77777777" w:rsidR="004C3E3D" w:rsidRPr="00295A0B" w:rsidRDefault="004C3E3D" w:rsidP="005B3A1D">
            <w:pPr>
              <w:spacing w:line="360" w:lineRule="auto"/>
              <w:rPr>
                <w:sz w:val="18"/>
                <w:szCs w:val="18"/>
              </w:rPr>
            </w:pPr>
            <w:r w:rsidRPr="00295A0B">
              <w:rPr>
                <w:sz w:val="18"/>
                <w:szCs w:val="18"/>
              </w:rPr>
              <w:t> </w:t>
            </w:r>
          </w:p>
        </w:tc>
        <w:tc>
          <w:tcPr>
            <w:tcW w:w="2914" w:type="dxa"/>
            <w:hideMark/>
          </w:tcPr>
          <w:p w14:paraId="0B1F7A2F" w14:textId="77777777" w:rsidR="004C3E3D" w:rsidRPr="002C7E7A" w:rsidRDefault="004C3E3D" w:rsidP="005B3A1D">
            <w:pPr>
              <w:spacing w:line="360" w:lineRule="auto"/>
              <w:rPr>
                <w:sz w:val="18"/>
                <w:szCs w:val="18"/>
              </w:rPr>
            </w:pPr>
            <w:r w:rsidRPr="002C7E7A">
              <w:rPr>
                <w:sz w:val="18"/>
                <w:szCs w:val="18"/>
              </w:rPr>
              <w:t>Ministry of Health (MoH) Departments </w:t>
            </w:r>
          </w:p>
        </w:tc>
        <w:tc>
          <w:tcPr>
            <w:tcW w:w="4860" w:type="dxa"/>
            <w:hideMark/>
          </w:tcPr>
          <w:p w14:paraId="519F253B" w14:textId="77777777" w:rsidR="004C3E3D" w:rsidRPr="002C7E7A" w:rsidRDefault="004C3E3D" w:rsidP="005B3A1D">
            <w:pPr>
              <w:spacing w:line="360" w:lineRule="auto"/>
              <w:rPr>
                <w:sz w:val="18"/>
                <w:szCs w:val="18"/>
              </w:rPr>
            </w:pPr>
            <w:r w:rsidRPr="002C7E7A">
              <w:rPr>
                <w:sz w:val="18"/>
                <w:szCs w:val="18"/>
              </w:rPr>
              <w:t>Oversees surveillance, private sector engagement, and pharmaceutical regulation. </w:t>
            </w:r>
          </w:p>
        </w:tc>
      </w:tr>
      <w:tr w:rsidR="004C3E3D" w:rsidRPr="002C7E7A" w14:paraId="58DBF5B8" w14:textId="77777777" w:rsidTr="005B3A1D">
        <w:trPr>
          <w:trHeight w:val="300"/>
        </w:trPr>
        <w:tc>
          <w:tcPr>
            <w:tcW w:w="1576" w:type="dxa"/>
            <w:hideMark/>
          </w:tcPr>
          <w:p w14:paraId="590DCE67" w14:textId="77777777" w:rsidR="004C3E3D" w:rsidRPr="00295A0B" w:rsidRDefault="004C3E3D" w:rsidP="005B3A1D">
            <w:pPr>
              <w:spacing w:line="360" w:lineRule="auto"/>
              <w:rPr>
                <w:sz w:val="18"/>
                <w:szCs w:val="18"/>
              </w:rPr>
            </w:pPr>
            <w:r w:rsidRPr="00295A0B">
              <w:rPr>
                <w:sz w:val="18"/>
                <w:szCs w:val="18"/>
              </w:rPr>
              <w:t> </w:t>
            </w:r>
          </w:p>
        </w:tc>
        <w:tc>
          <w:tcPr>
            <w:tcW w:w="2914" w:type="dxa"/>
            <w:hideMark/>
          </w:tcPr>
          <w:p w14:paraId="01B42E52" w14:textId="77777777" w:rsidR="004C3E3D" w:rsidRPr="002C7E7A" w:rsidRDefault="004C3E3D" w:rsidP="005B3A1D">
            <w:pPr>
              <w:spacing w:line="360" w:lineRule="auto"/>
              <w:rPr>
                <w:sz w:val="18"/>
                <w:szCs w:val="18"/>
              </w:rPr>
            </w:pPr>
            <w:r w:rsidRPr="002C7E7A">
              <w:rPr>
                <w:sz w:val="18"/>
                <w:szCs w:val="18"/>
              </w:rPr>
              <w:t>Pharmaceutical Regulatory Agencies </w:t>
            </w:r>
          </w:p>
        </w:tc>
        <w:tc>
          <w:tcPr>
            <w:tcW w:w="4860" w:type="dxa"/>
            <w:hideMark/>
          </w:tcPr>
          <w:p w14:paraId="7861BEA7" w14:textId="77777777" w:rsidR="004C3E3D" w:rsidRPr="002C7E7A" w:rsidRDefault="004C3E3D" w:rsidP="005B3A1D">
            <w:pPr>
              <w:spacing w:line="360" w:lineRule="auto"/>
              <w:rPr>
                <w:sz w:val="18"/>
                <w:szCs w:val="18"/>
              </w:rPr>
            </w:pPr>
            <w:r w:rsidRPr="002C7E7A">
              <w:rPr>
                <w:sz w:val="18"/>
                <w:szCs w:val="18"/>
              </w:rPr>
              <w:t>Assesses antimalarial product registration, ensures quality assurance, and enforces policies. </w:t>
            </w:r>
          </w:p>
        </w:tc>
      </w:tr>
      <w:tr w:rsidR="004C3E3D" w:rsidRPr="002C7E7A" w14:paraId="199C72DC" w14:textId="77777777" w:rsidTr="005B3A1D">
        <w:trPr>
          <w:trHeight w:val="300"/>
        </w:trPr>
        <w:tc>
          <w:tcPr>
            <w:tcW w:w="1576" w:type="dxa"/>
            <w:hideMark/>
          </w:tcPr>
          <w:p w14:paraId="096E7794" w14:textId="77777777" w:rsidR="004C3E3D" w:rsidRPr="00295A0B" w:rsidRDefault="004C3E3D" w:rsidP="005B3A1D">
            <w:pPr>
              <w:spacing w:line="360" w:lineRule="auto"/>
              <w:rPr>
                <w:sz w:val="18"/>
                <w:szCs w:val="18"/>
              </w:rPr>
            </w:pPr>
            <w:r w:rsidRPr="00295A0B">
              <w:rPr>
                <w:sz w:val="18"/>
                <w:szCs w:val="18"/>
              </w:rPr>
              <w:t> </w:t>
            </w:r>
          </w:p>
        </w:tc>
        <w:tc>
          <w:tcPr>
            <w:tcW w:w="2914" w:type="dxa"/>
            <w:hideMark/>
          </w:tcPr>
          <w:p w14:paraId="6DEE132C" w14:textId="77777777" w:rsidR="004C3E3D" w:rsidRPr="002C7E7A" w:rsidRDefault="004C3E3D" w:rsidP="005B3A1D">
            <w:pPr>
              <w:spacing w:line="360" w:lineRule="auto"/>
              <w:rPr>
                <w:sz w:val="18"/>
                <w:szCs w:val="18"/>
              </w:rPr>
            </w:pPr>
            <w:r w:rsidRPr="002C7E7A">
              <w:rPr>
                <w:sz w:val="18"/>
                <w:szCs w:val="18"/>
              </w:rPr>
              <w:t>Public Sector Health Facilities &amp; Providers </w:t>
            </w:r>
          </w:p>
        </w:tc>
        <w:tc>
          <w:tcPr>
            <w:tcW w:w="4860" w:type="dxa"/>
            <w:hideMark/>
          </w:tcPr>
          <w:p w14:paraId="616277D8" w14:textId="77777777" w:rsidR="004C3E3D" w:rsidRPr="002C7E7A" w:rsidRDefault="004C3E3D" w:rsidP="005B3A1D">
            <w:pPr>
              <w:spacing w:line="360" w:lineRule="auto"/>
              <w:rPr>
                <w:sz w:val="18"/>
                <w:szCs w:val="18"/>
              </w:rPr>
            </w:pPr>
            <w:r w:rsidRPr="002C7E7A">
              <w:rPr>
                <w:sz w:val="18"/>
                <w:szCs w:val="18"/>
              </w:rPr>
              <w:t>Contextualizes findings and aligns with national case management policies. </w:t>
            </w:r>
          </w:p>
        </w:tc>
      </w:tr>
      <w:tr w:rsidR="004C3E3D" w:rsidRPr="002C7E7A" w14:paraId="4D0E2EFB" w14:textId="77777777" w:rsidTr="005B3A1D">
        <w:trPr>
          <w:trHeight w:val="300"/>
        </w:trPr>
        <w:tc>
          <w:tcPr>
            <w:tcW w:w="1576" w:type="dxa"/>
            <w:hideMark/>
          </w:tcPr>
          <w:p w14:paraId="21EF3026" w14:textId="77777777" w:rsidR="004C3E3D" w:rsidRPr="00295A0B" w:rsidRDefault="004C3E3D" w:rsidP="005B3A1D">
            <w:pPr>
              <w:spacing w:line="360" w:lineRule="auto"/>
              <w:rPr>
                <w:sz w:val="18"/>
                <w:szCs w:val="18"/>
              </w:rPr>
            </w:pPr>
            <w:r w:rsidRPr="00295A0B">
              <w:rPr>
                <w:sz w:val="18"/>
                <w:szCs w:val="18"/>
              </w:rPr>
              <w:t>Private Sector Stakeholders </w:t>
            </w:r>
          </w:p>
        </w:tc>
        <w:tc>
          <w:tcPr>
            <w:tcW w:w="2914" w:type="dxa"/>
            <w:hideMark/>
          </w:tcPr>
          <w:p w14:paraId="7016ED8E" w14:textId="77777777" w:rsidR="004C3E3D" w:rsidRPr="002C7E7A" w:rsidRDefault="004C3E3D" w:rsidP="005B3A1D">
            <w:pPr>
              <w:spacing w:line="360" w:lineRule="auto"/>
              <w:rPr>
                <w:sz w:val="18"/>
                <w:szCs w:val="18"/>
              </w:rPr>
            </w:pPr>
            <w:r w:rsidRPr="002C7E7A">
              <w:rPr>
                <w:sz w:val="18"/>
                <w:szCs w:val="18"/>
              </w:rPr>
              <w:t>Private Pharmacies &amp; Drug Shops </w:t>
            </w:r>
          </w:p>
        </w:tc>
        <w:tc>
          <w:tcPr>
            <w:tcW w:w="4860" w:type="dxa"/>
            <w:hideMark/>
          </w:tcPr>
          <w:p w14:paraId="3AA452ED" w14:textId="77777777" w:rsidR="004C3E3D" w:rsidRPr="002C7E7A" w:rsidRDefault="004C3E3D" w:rsidP="005B3A1D">
            <w:pPr>
              <w:spacing w:line="360" w:lineRule="auto"/>
              <w:rPr>
                <w:sz w:val="18"/>
                <w:szCs w:val="18"/>
              </w:rPr>
            </w:pPr>
            <w:r w:rsidRPr="002C7E7A">
              <w:rPr>
                <w:sz w:val="18"/>
                <w:szCs w:val="18"/>
              </w:rPr>
              <w:t>Primary sources of private sector malaria treatment data. </w:t>
            </w:r>
          </w:p>
        </w:tc>
      </w:tr>
      <w:tr w:rsidR="004C3E3D" w:rsidRPr="002C7E7A" w14:paraId="20038E53" w14:textId="77777777" w:rsidTr="005B3A1D">
        <w:trPr>
          <w:trHeight w:val="300"/>
        </w:trPr>
        <w:tc>
          <w:tcPr>
            <w:tcW w:w="1576" w:type="dxa"/>
            <w:hideMark/>
          </w:tcPr>
          <w:p w14:paraId="342D27B4" w14:textId="77777777" w:rsidR="004C3E3D" w:rsidRPr="00295A0B" w:rsidRDefault="004C3E3D" w:rsidP="005B3A1D">
            <w:pPr>
              <w:spacing w:line="360" w:lineRule="auto"/>
              <w:rPr>
                <w:sz w:val="18"/>
                <w:szCs w:val="18"/>
              </w:rPr>
            </w:pPr>
            <w:r w:rsidRPr="00295A0B">
              <w:rPr>
                <w:sz w:val="18"/>
                <w:szCs w:val="18"/>
              </w:rPr>
              <w:t> </w:t>
            </w:r>
          </w:p>
        </w:tc>
        <w:tc>
          <w:tcPr>
            <w:tcW w:w="2914" w:type="dxa"/>
            <w:hideMark/>
          </w:tcPr>
          <w:p w14:paraId="4358FA09" w14:textId="77777777" w:rsidR="004C3E3D" w:rsidRPr="002C7E7A" w:rsidRDefault="004C3E3D" w:rsidP="005B3A1D">
            <w:pPr>
              <w:spacing w:line="360" w:lineRule="auto"/>
              <w:rPr>
                <w:sz w:val="18"/>
                <w:szCs w:val="18"/>
              </w:rPr>
            </w:pPr>
            <w:r w:rsidRPr="002C7E7A">
              <w:rPr>
                <w:sz w:val="18"/>
                <w:szCs w:val="18"/>
              </w:rPr>
              <w:t>Importers, Wholesalers &amp; Distributors </w:t>
            </w:r>
          </w:p>
        </w:tc>
        <w:tc>
          <w:tcPr>
            <w:tcW w:w="4860" w:type="dxa"/>
            <w:hideMark/>
          </w:tcPr>
          <w:p w14:paraId="477CF659" w14:textId="77777777" w:rsidR="004C3E3D" w:rsidRPr="002C7E7A" w:rsidRDefault="004C3E3D" w:rsidP="005B3A1D">
            <w:pPr>
              <w:spacing w:line="360" w:lineRule="auto"/>
              <w:rPr>
                <w:sz w:val="18"/>
                <w:szCs w:val="18"/>
              </w:rPr>
            </w:pPr>
            <w:r w:rsidRPr="002C7E7A">
              <w:rPr>
                <w:sz w:val="18"/>
                <w:szCs w:val="18"/>
              </w:rPr>
              <w:t>Provide insights into antimalarial supply chains and market dynamics. </w:t>
            </w:r>
          </w:p>
        </w:tc>
      </w:tr>
      <w:tr w:rsidR="004C3E3D" w:rsidRPr="002C7E7A" w14:paraId="3A30C35C" w14:textId="77777777" w:rsidTr="005B3A1D">
        <w:trPr>
          <w:trHeight w:val="300"/>
        </w:trPr>
        <w:tc>
          <w:tcPr>
            <w:tcW w:w="1576" w:type="dxa"/>
            <w:hideMark/>
          </w:tcPr>
          <w:p w14:paraId="4377BF66" w14:textId="77777777" w:rsidR="004C3E3D" w:rsidRPr="00295A0B" w:rsidRDefault="004C3E3D" w:rsidP="005B3A1D">
            <w:pPr>
              <w:spacing w:line="360" w:lineRule="auto"/>
              <w:rPr>
                <w:sz w:val="18"/>
                <w:szCs w:val="18"/>
              </w:rPr>
            </w:pPr>
            <w:r w:rsidRPr="00295A0B">
              <w:rPr>
                <w:sz w:val="18"/>
                <w:szCs w:val="18"/>
              </w:rPr>
              <w:t> </w:t>
            </w:r>
          </w:p>
        </w:tc>
        <w:tc>
          <w:tcPr>
            <w:tcW w:w="2914" w:type="dxa"/>
            <w:hideMark/>
          </w:tcPr>
          <w:p w14:paraId="63F67D33" w14:textId="77777777" w:rsidR="004C3E3D" w:rsidRPr="002C7E7A" w:rsidRDefault="004C3E3D" w:rsidP="005B3A1D">
            <w:pPr>
              <w:spacing w:line="360" w:lineRule="auto"/>
              <w:rPr>
                <w:sz w:val="18"/>
                <w:szCs w:val="18"/>
              </w:rPr>
            </w:pPr>
            <w:r w:rsidRPr="002C7E7A">
              <w:rPr>
                <w:sz w:val="18"/>
                <w:szCs w:val="18"/>
              </w:rPr>
              <w:t>Professional Associations (e.g., Pharmacists’ and Medical Associations) </w:t>
            </w:r>
          </w:p>
        </w:tc>
        <w:tc>
          <w:tcPr>
            <w:tcW w:w="4860" w:type="dxa"/>
            <w:hideMark/>
          </w:tcPr>
          <w:p w14:paraId="022E02DF" w14:textId="77777777" w:rsidR="004C3E3D" w:rsidRPr="002C7E7A" w:rsidRDefault="004C3E3D" w:rsidP="005B3A1D">
            <w:pPr>
              <w:spacing w:line="360" w:lineRule="auto"/>
              <w:rPr>
                <w:sz w:val="18"/>
                <w:szCs w:val="18"/>
              </w:rPr>
            </w:pPr>
            <w:r w:rsidRPr="002C7E7A">
              <w:rPr>
                <w:sz w:val="18"/>
                <w:szCs w:val="18"/>
              </w:rPr>
              <w:t>Important for dissemination and provider engagement. </w:t>
            </w:r>
          </w:p>
        </w:tc>
      </w:tr>
      <w:tr w:rsidR="004C3E3D" w:rsidRPr="002C7E7A" w14:paraId="40B31620" w14:textId="77777777" w:rsidTr="005B3A1D">
        <w:trPr>
          <w:trHeight w:val="300"/>
        </w:trPr>
        <w:tc>
          <w:tcPr>
            <w:tcW w:w="1576" w:type="dxa"/>
            <w:hideMark/>
          </w:tcPr>
          <w:p w14:paraId="7BC3698D" w14:textId="77777777" w:rsidR="004C3E3D" w:rsidRPr="00295A0B" w:rsidRDefault="004C3E3D" w:rsidP="005B3A1D">
            <w:pPr>
              <w:spacing w:line="360" w:lineRule="auto"/>
              <w:rPr>
                <w:sz w:val="18"/>
                <w:szCs w:val="18"/>
              </w:rPr>
            </w:pPr>
            <w:r w:rsidRPr="00295A0B">
              <w:rPr>
                <w:sz w:val="18"/>
                <w:szCs w:val="18"/>
              </w:rPr>
              <w:t>Funding &amp; Technical Partners </w:t>
            </w:r>
          </w:p>
        </w:tc>
        <w:tc>
          <w:tcPr>
            <w:tcW w:w="2914" w:type="dxa"/>
            <w:hideMark/>
          </w:tcPr>
          <w:p w14:paraId="12B541DC" w14:textId="77777777" w:rsidR="004C3E3D" w:rsidRPr="002C7E7A" w:rsidRDefault="004C3E3D" w:rsidP="005B3A1D">
            <w:pPr>
              <w:spacing w:line="360" w:lineRule="auto"/>
              <w:rPr>
                <w:sz w:val="18"/>
                <w:szCs w:val="18"/>
              </w:rPr>
            </w:pPr>
            <w:r w:rsidRPr="002C7E7A">
              <w:rPr>
                <w:sz w:val="18"/>
                <w:szCs w:val="18"/>
              </w:rPr>
              <w:t>Global Fund &amp; Other Donors </w:t>
            </w:r>
          </w:p>
        </w:tc>
        <w:tc>
          <w:tcPr>
            <w:tcW w:w="4860" w:type="dxa"/>
            <w:hideMark/>
          </w:tcPr>
          <w:p w14:paraId="4EAC3D28" w14:textId="77777777" w:rsidR="004C3E3D" w:rsidRPr="002C7E7A" w:rsidRDefault="004C3E3D" w:rsidP="005B3A1D">
            <w:pPr>
              <w:spacing w:line="360" w:lineRule="auto"/>
              <w:rPr>
                <w:sz w:val="18"/>
                <w:szCs w:val="18"/>
              </w:rPr>
            </w:pPr>
            <w:r w:rsidRPr="002C7E7A">
              <w:rPr>
                <w:sz w:val="18"/>
                <w:szCs w:val="18"/>
              </w:rPr>
              <w:t>Key funders supporting surveillance and policy implementation. </w:t>
            </w:r>
          </w:p>
        </w:tc>
      </w:tr>
      <w:tr w:rsidR="004C3E3D" w:rsidRPr="002C7E7A" w14:paraId="676EAF8B" w14:textId="77777777" w:rsidTr="005B3A1D">
        <w:trPr>
          <w:trHeight w:val="300"/>
        </w:trPr>
        <w:tc>
          <w:tcPr>
            <w:tcW w:w="1576" w:type="dxa"/>
            <w:hideMark/>
          </w:tcPr>
          <w:p w14:paraId="3164A75D" w14:textId="77777777" w:rsidR="004C3E3D" w:rsidRPr="00295A0B" w:rsidRDefault="004C3E3D" w:rsidP="005B3A1D">
            <w:pPr>
              <w:spacing w:line="360" w:lineRule="auto"/>
              <w:rPr>
                <w:sz w:val="18"/>
                <w:szCs w:val="18"/>
              </w:rPr>
            </w:pPr>
            <w:r w:rsidRPr="00295A0B">
              <w:rPr>
                <w:sz w:val="18"/>
                <w:szCs w:val="18"/>
              </w:rPr>
              <w:t> </w:t>
            </w:r>
          </w:p>
        </w:tc>
        <w:tc>
          <w:tcPr>
            <w:tcW w:w="2914" w:type="dxa"/>
            <w:hideMark/>
          </w:tcPr>
          <w:p w14:paraId="7D75572D" w14:textId="77777777" w:rsidR="004C3E3D" w:rsidRPr="002C7E7A" w:rsidRDefault="004C3E3D" w:rsidP="005B3A1D">
            <w:pPr>
              <w:spacing w:line="360" w:lineRule="auto"/>
              <w:rPr>
                <w:sz w:val="18"/>
                <w:szCs w:val="18"/>
              </w:rPr>
            </w:pPr>
            <w:r w:rsidRPr="002C7E7A">
              <w:rPr>
                <w:sz w:val="18"/>
                <w:szCs w:val="18"/>
              </w:rPr>
              <w:t>WHO &amp; Technical Advisory Groups </w:t>
            </w:r>
          </w:p>
        </w:tc>
        <w:tc>
          <w:tcPr>
            <w:tcW w:w="4860" w:type="dxa"/>
            <w:hideMark/>
          </w:tcPr>
          <w:p w14:paraId="199E42A0" w14:textId="77777777" w:rsidR="004C3E3D" w:rsidRPr="002C7E7A" w:rsidRDefault="004C3E3D" w:rsidP="005B3A1D">
            <w:pPr>
              <w:spacing w:line="360" w:lineRule="auto"/>
              <w:rPr>
                <w:sz w:val="18"/>
                <w:szCs w:val="18"/>
              </w:rPr>
            </w:pPr>
            <w:r w:rsidRPr="002C7E7A">
              <w:rPr>
                <w:sz w:val="18"/>
                <w:szCs w:val="18"/>
              </w:rPr>
              <w:t>Offer normative guidance and validation of methodologies. </w:t>
            </w:r>
          </w:p>
        </w:tc>
      </w:tr>
      <w:tr w:rsidR="004C3E3D" w:rsidRPr="002C7E7A" w14:paraId="05F3468B" w14:textId="77777777" w:rsidTr="005B3A1D">
        <w:trPr>
          <w:trHeight w:val="300"/>
        </w:trPr>
        <w:tc>
          <w:tcPr>
            <w:tcW w:w="1576" w:type="dxa"/>
            <w:hideMark/>
          </w:tcPr>
          <w:p w14:paraId="1C5142E9" w14:textId="77777777" w:rsidR="004C3E3D" w:rsidRPr="00295A0B" w:rsidRDefault="004C3E3D" w:rsidP="005B3A1D">
            <w:pPr>
              <w:spacing w:line="360" w:lineRule="auto"/>
              <w:rPr>
                <w:sz w:val="18"/>
                <w:szCs w:val="18"/>
              </w:rPr>
            </w:pPr>
            <w:r w:rsidRPr="00295A0B">
              <w:rPr>
                <w:sz w:val="18"/>
                <w:szCs w:val="18"/>
              </w:rPr>
              <w:t> </w:t>
            </w:r>
          </w:p>
        </w:tc>
        <w:tc>
          <w:tcPr>
            <w:tcW w:w="2914" w:type="dxa"/>
            <w:hideMark/>
          </w:tcPr>
          <w:p w14:paraId="7480AF32" w14:textId="4C4A99C2" w:rsidR="004C3E3D" w:rsidRPr="002C7E7A" w:rsidRDefault="004C3E3D" w:rsidP="005B3A1D">
            <w:pPr>
              <w:spacing w:line="360" w:lineRule="auto"/>
              <w:rPr>
                <w:sz w:val="18"/>
                <w:szCs w:val="18"/>
              </w:rPr>
            </w:pPr>
            <w:r w:rsidRPr="002C7E7A">
              <w:rPr>
                <w:sz w:val="18"/>
                <w:szCs w:val="18"/>
              </w:rPr>
              <w:t xml:space="preserve">NGOs &amp; Research </w:t>
            </w:r>
            <w:r w:rsidR="0041655C">
              <w:rPr>
                <w:sz w:val="18"/>
                <w:szCs w:val="18"/>
              </w:rPr>
              <w:t>Entities</w:t>
            </w:r>
          </w:p>
        </w:tc>
        <w:tc>
          <w:tcPr>
            <w:tcW w:w="4860" w:type="dxa"/>
            <w:hideMark/>
          </w:tcPr>
          <w:p w14:paraId="07CE071B" w14:textId="77777777" w:rsidR="004C3E3D" w:rsidRPr="002C7E7A" w:rsidRDefault="004C3E3D" w:rsidP="005B3A1D">
            <w:pPr>
              <w:spacing w:line="360" w:lineRule="auto"/>
              <w:rPr>
                <w:sz w:val="18"/>
                <w:szCs w:val="18"/>
              </w:rPr>
            </w:pPr>
            <w:r w:rsidRPr="002C7E7A">
              <w:rPr>
                <w:sz w:val="18"/>
                <w:szCs w:val="18"/>
              </w:rPr>
              <w:t>Provide technical expertise and facilitate evidence translation into programs. </w:t>
            </w:r>
          </w:p>
        </w:tc>
      </w:tr>
      <w:tr w:rsidR="005E284C" w:rsidRPr="002C7E7A" w14:paraId="3855A61F" w14:textId="77777777" w:rsidTr="005B3A1D">
        <w:trPr>
          <w:trHeight w:val="300"/>
        </w:trPr>
        <w:tc>
          <w:tcPr>
            <w:tcW w:w="1576" w:type="dxa"/>
          </w:tcPr>
          <w:p w14:paraId="6575FB62" w14:textId="2739CD5B" w:rsidR="005E284C" w:rsidRPr="00295A0B" w:rsidRDefault="005E284C" w:rsidP="005B3A1D">
            <w:pPr>
              <w:spacing w:line="360" w:lineRule="auto"/>
              <w:rPr>
                <w:sz w:val="18"/>
                <w:szCs w:val="18"/>
              </w:rPr>
            </w:pPr>
            <w:r w:rsidRPr="00295A0B">
              <w:rPr>
                <w:sz w:val="18"/>
                <w:szCs w:val="18"/>
              </w:rPr>
              <w:t xml:space="preserve">Other </w:t>
            </w:r>
            <w:r w:rsidR="00840216" w:rsidRPr="00295A0B">
              <w:rPr>
                <w:sz w:val="18"/>
                <w:szCs w:val="18"/>
              </w:rPr>
              <w:t>Civil Society Organizations (CSOs)</w:t>
            </w:r>
          </w:p>
          <w:p w14:paraId="5455C9F2" w14:textId="44DB2D02" w:rsidR="005E284C" w:rsidRPr="00295A0B" w:rsidRDefault="005E284C" w:rsidP="005B3A1D">
            <w:pPr>
              <w:spacing w:line="360" w:lineRule="auto"/>
              <w:rPr>
                <w:sz w:val="18"/>
                <w:szCs w:val="18"/>
              </w:rPr>
            </w:pPr>
          </w:p>
        </w:tc>
        <w:tc>
          <w:tcPr>
            <w:tcW w:w="2914" w:type="dxa"/>
          </w:tcPr>
          <w:p w14:paraId="7A311CD5" w14:textId="45A2238E" w:rsidR="005E284C" w:rsidRPr="002C7E7A" w:rsidRDefault="00794145" w:rsidP="005B3A1D">
            <w:pPr>
              <w:spacing w:line="360" w:lineRule="auto"/>
              <w:rPr>
                <w:sz w:val="18"/>
                <w:szCs w:val="18"/>
              </w:rPr>
            </w:pPr>
            <w:r>
              <w:rPr>
                <w:sz w:val="18"/>
                <w:szCs w:val="18"/>
              </w:rPr>
              <w:t xml:space="preserve">e.g. </w:t>
            </w:r>
            <w:r w:rsidR="005E284C" w:rsidRPr="005E284C">
              <w:rPr>
                <w:sz w:val="18"/>
                <w:szCs w:val="18"/>
              </w:rPr>
              <w:t>Community-based organizations (CBOs)</w:t>
            </w:r>
            <w:r>
              <w:rPr>
                <w:sz w:val="18"/>
                <w:szCs w:val="18"/>
              </w:rPr>
              <w:t xml:space="preserve">, </w:t>
            </w:r>
            <w:r w:rsidR="005E284C" w:rsidRPr="005E284C">
              <w:rPr>
                <w:sz w:val="18"/>
                <w:szCs w:val="18"/>
              </w:rPr>
              <w:t xml:space="preserve"> Faith-based organizations</w:t>
            </w:r>
            <w:r>
              <w:rPr>
                <w:sz w:val="18"/>
                <w:szCs w:val="18"/>
              </w:rPr>
              <w:t xml:space="preserve">, </w:t>
            </w:r>
            <w:r w:rsidR="005E284C" w:rsidRPr="005E284C">
              <w:rPr>
                <w:sz w:val="18"/>
                <w:szCs w:val="18"/>
              </w:rPr>
              <w:t xml:space="preserve"> Advocacy groups</w:t>
            </w:r>
            <w:r>
              <w:rPr>
                <w:sz w:val="18"/>
                <w:szCs w:val="18"/>
              </w:rPr>
              <w:t>, other (non-technical)</w:t>
            </w:r>
            <w:r w:rsidR="005E284C" w:rsidRPr="005E284C">
              <w:rPr>
                <w:sz w:val="18"/>
                <w:szCs w:val="18"/>
              </w:rPr>
              <w:t xml:space="preserve"> NGOs</w:t>
            </w:r>
          </w:p>
        </w:tc>
        <w:tc>
          <w:tcPr>
            <w:tcW w:w="4860" w:type="dxa"/>
          </w:tcPr>
          <w:p w14:paraId="492C0200" w14:textId="2BE3609F" w:rsidR="005E284C" w:rsidRPr="002C7E7A" w:rsidRDefault="00F16EE6" w:rsidP="005B3A1D">
            <w:pPr>
              <w:spacing w:line="360" w:lineRule="auto"/>
              <w:rPr>
                <w:sz w:val="18"/>
                <w:szCs w:val="18"/>
              </w:rPr>
            </w:pPr>
            <w:r w:rsidRPr="00F16EE6">
              <w:rPr>
                <w:sz w:val="18"/>
                <w:szCs w:val="18"/>
              </w:rPr>
              <w:t>Support community engagement and local context validation; facilitate dissemination of findings to community levels; provide insight into treatment-seeking behaviors and access barriers; and advocate for use of evidence in local decision-making and resource allocation.</w:t>
            </w:r>
          </w:p>
        </w:tc>
      </w:tr>
    </w:tbl>
    <w:p w14:paraId="4D3566C0" w14:textId="77777777" w:rsidR="00F2670A" w:rsidRDefault="004C3E3D" w:rsidP="005A35CC">
      <w:pPr>
        <w:pStyle w:val="Heading3Calibri"/>
      </w:pPr>
      <w:r w:rsidRPr="002C7E7A">
        <w:t> </w:t>
      </w:r>
      <w:bookmarkStart w:id="3" w:name="_Toc195704220"/>
    </w:p>
    <w:p w14:paraId="636D3347" w14:textId="77777777" w:rsidR="00FB664A" w:rsidRDefault="00FB664A">
      <w:pPr>
        <w:rPr>
          <w:rFonts w:ascii="Roboto" w:eastAsiaTheme="majorEastAsia" w:hAnsi="Roboto" w:cs="Times New Roman"/>
          <w:b/>
          <w:color w:val="FF3399" w:themeColor="accent6"/>
          <w:kern w:val="0"/>
          <w:sz w:val="22"/>
          <w:szCs w:val="26"/>
          <w:lang w:eastAsia="en-US"/>
          <w14:ligatures w14:val="none"/>
        </w:rPr>
      </w:pPr>
      <w:r>
        <w:br w:type="page"/>
      </w:r>
    </w:p>
    <w:p w14:paraId="39644008" w14:textId="11EA4531" w:rsidR="00757491" w:rsidRDefault="004C3E3D" w:rsidP="005A35CC">
      <w:pPr>
        <w:pStyle w:val="Heading3Calibri"/>
      </w:pPr>
      <w:r w:rsidRPr="002C7E7A">
        <w:lastRenderedPageBreak/>
        <w:t xml:space="preserve">Table </w:t>
      </w:r>
      <w:r>
        <w:t>C</w:t>
      </w:r>
      <w:r w:rsidRPr="002C7E7A">
        <w:t>) Stakeholder Matrix</w:t>
      </w:r>
      <w:bookmarkEnd w:id="3"/>
    </w:p>
    <w:p w14:paraId="4A9FF75C" w14:textId="0F5D0959" w:rsidR="005A35CC" w:rsidRPr="005B3A1D" w:rsidRDefault="005A35CC" w:rsidP="0064766D">
      <w:pPr>
        <w:spacing w:before="120" w:after="100" w:afterAutospacing="1" w:line="288" w:lineRule="auto"/>
        <w:rPr>
          <w:caps/>
          <w:sz w:val="18"/>
          <w:szCs w:val="18"/>
        </w:rPr>
      </w:pPr>
      <w:r w:rsidRPr="005B3A1D">
        <w:rPr>
          <w:i/>
          <w:iCs/>
          <w:caps/>
          <w:sz w:val="18"/>
          <w:szCs w:val="18"/>
        </w:rPr>
        <w:t>A few examples are provided below. Complete for all actors identified in Table B</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0" w:type="dxa"/>
          <w:right w:w="0" w:type="dxa"/>
        </w:tblCellMar>
        <w:tblLook w:val="04A0" w:firstRow="1" w:lastRow="0" w:firstColumn="1" w:lastColumn="0" w:noHBand="0" w:noVBand="1"/>
      </w:tblPr>
      <w:tblGrid>
        <w:gridCol w:w="1126"/>
        <w:gridCol w:w="1387"/>
        <w:gridCol w:w="1133"/>
        <w:gridCol w:w="1491"/>
        <w:gridCol w:w="1561"/>
        <w:gridCol w:w="1471"/>
        <w:gridCol w:w="1561"/>
      </w:tblGrid>
      <w:tr w:rsidR="005A35CC" w:rsidRPr="002C7E7A" w14:paraId="20406C71" w14:textId="77777777" w:rsidTr="005B3A1D">
        <w:trPr>
          <w:trHeight w:val="300"/>
        </w:trPr>
        <w:tc>
          <w:tcPr>
            <w:tcW w:w="578" w:type="pct"/>
            <w:shd w:val="clear" w:color="auto" w:fill="FFFFFF"/>
          </w:tcPr>
          <w:p w14:paraId="758D9C97" w14:textId="1C675C54" w:rsidR="005A35CC" w:rsidRPr="0074458D" w:rsidRDefault="005A35CC" w:rsidP="005A35CC">
            <w:pPr>
              <w:rPr>
                <w:rFonts w:ascii="Roboto" w:hAnsi="Roboto"/>
                <w:b/>
                <w:bCs/>
                <w:i/>
                <w:iCs/>
                <w:sz w:val="18"/>
                <w:szCs w:val="18"/>
              </w:rPr>
            </w:pPr>
            <w:r w:rsidRPr="0074458D">
              <w:rPr>
                <w:rFonts w:ascii="Roboto" w:hAnsi="Roboto"/>
                <w:b/>
                <w:bCs/>
                <w:sz w:val="18"/>
                <w:szCs w:val="18"/>
              </w:rPr>
              <w:t>Stakeholder Category </w:t>
            </w:r>
          </w:p>
        </w:tc>
        <w:tc>
          <w:tcPr>
            <w:tcW w:w="713" w:type="pct"/>
            <w:shd w:val="clear" w:color="auto" w:fill="FFFFFF"/>
            <w:hideMark/>
          </w:tcPr>
          <w:p w14:paraId="073A0CE4" w14:textId="75F93C5C" w:rsidR="005A35CC" w:rsidRPr="0074458D" w:rsidRDefault="005A35CC" w:rsidP="005A35CC">
            <w:pPr>
              <w:rPr>
                <w:rFonts w:ascii="Roboto" w:hAnsi="Roboto"/>
                <w:b/>
                <w:bCs/>
                <w:i/>
                <w:iCs/>
                <w:sz w:val="18"/>
                <w:szCs w:val="18"/>
              </w:rPr>
            </w:pPr>
            <w:r w:rsidRPr="0074458D">
              <w:rPr>
                <w:rFonts w:ascii="Roboto" w:hAnsi="Roboto"/>
                <w:b/>
                <w:bCs/>
                <w:i/>
                <w:iCs/>
                <w:sz w:val="18"/>
                <w:szCs w:val="18"/>
              </w:rPr>
              <w:t>Name of Organization </w:t>
            </w:r>
          </w:p>
        </w:tc>
        <w:tc>
          <w:tcPr>
            <w:tcW w:w="582" w:type="pct"/>
            <w:shd w:val="clear" w:color="auto" w:fill="FFFFFF"/>
            <w:hideMark/>
          </w:tcPr>
          <w:p w14:paraId="590D42D8" w14:textId="77777777" w:rsidR="005A35CC" w:rsidRPr="0074458D" w:rsidRDefault="005A35CC" w:rsidP="005A35CC">
            <w:pPr>
              <w:rPr>
                <w:rFonts w:ascii="Roboto" w:hAnsi="Roboto"/>
                <w:b/>
                <w:bCs/>
                <w:sz w:val="18"/>
                <w:szCs w:val="18"/>
              </w:rPr>
            </w:pPr>
            <w:r w:rsidRPr="0074458D">
              <w:rPr>
                <w:rFonts w:ascii="Roboto" w:hAnsi="Roboto"/>
                <w:b/>
                <w:bCs/>
                <w:sz w:val="18"/>
                <w:szCs w:val="18"/>
              </w:rPr>
              <w:t>Name of Contact Person(s) (Title &amp; Level) </w:t>
            </w:r>
          </w:p>
        </w:tc>
        <w:tc>
          <w:tcPr>
            <w:tcW w:w="766" w:type="pct"/>
            <w:shd w:val="clear" w:color="auto" w:fill="FFFFFF"/>
          </w:tcPr>
          <w:p w14:paraId="2204A940" w14:textId="4F442FFF" w:rsidR="005A35CC" w:rsidRPr="0074458D" w:rsidRDefault="005A35CC" w:rsidP="005A35CC">
            <w:pPr>
              <w:rPr>
                <w:rFonts w:ascii="Roboto" w:hAnsi="Roboto"/>
                <w:b/>
                <w:bCs/>
                <w:sz w:val="18"/>
                <w:szCs w:val="18"/>
              </w:rPr>
            </w:pPr>
            <w:r w:rsidRPr="0074458D">
              <w:rPr>
                <w:rFonts w:ascii="Roboto" w:hAnsi="Roboto"/>
                <w:b/>
                <w:bCs/>
                <w:sz w:val="18"/>
                <w:szCs w:val="18"/>
              </w:rPr>
              <w:t>Role in the private sector malaria case management/ type of influence (Regulatory, Funding, Policy, Implementation, Advocacy, Private Sector, Research) </w:t>
            </w:r>
          </w:p>
        </w:tc>
        <w:tc>
          <w:tcPr>
            <w:tcW w:w="802" w:type="pct"/>
            <w:shd w:val="clear" w:color="auto" w:fill="FFFFFF"/>
            <w:hideMark/>
          </w:tcPr>
          <w:p w14:paraId="6CCA4543" w14:textId="5EDEBCFA" w:rsidR="005A35CC" w:rsidRPr="0074458D" w:rsidRDefault="005A35CC" w:rsidP="005A35CC">
            <w:pPr>
              <w:rPr>
                <w:rFonts w:ascii="Roboto" w:hAnsi="Roboto"/>
                <w:b/>
                <w:bCs/>
                <w:sz w:val="18"/>
                <w:szCs w:val="18"/>
              </w:rPr>
            </w:pPr>
            <w:r w:rsidRPr="0074458D">
              <w:rPr>
                <w:rFonts w:ascii="Roboto" w:hAnsi="Roboto"/>
                <w:b/>
                <w:bCs/>
                <w:sz w:val="18"/>
                <w:szCs w:val="18"/>
              </w:rPr>
              <w:t>Level of Influence (High/Med/Low) </w:t>
            </w:r>
          </w:p>
        </w:tc>
        <w:tc>
          <w:tcPr>
            <w:tcW w:w="756" w:type="pct"/>
            <w:shd w:val="clear" w:color="auto" w:fill="FFFFFF"/>
          </w:tcPr>
          <w:p w14:paraId="66EAD9F0" w14:textId="3C3FC31E" w:rsidR="005A35CC" w:rsidRPr="0074458D" w:rsidRDefault="005A35CC" w:rsidP="005A35CC">
            <w:pPr>
              <w:rPr>
                <w:rFonts w:ascii="Roboto" w:hAnsi="Roboto"/>
                <w:b/>
                <w:bCs/>
                <w:sz w:val="18"/>
                <w:szCs w:val="18"/>
              </w:rPr>
            </w:pPr>
            <w:r w:rsidRPr="0074458D">
              <w:rPr>
                <w:rFonts w:ascii="Roboto" w:hAnsi="Roboto"/>
                <w:b/>
                <w:bCs/>
                <w:sz w:val="18"/>
                <w:szCs w:val="18"/>
              </w:rPr>
              <w:t>Role &amp; Type of Engagement (Inform, Consult, Involve, Collaborate, Co-Create) </w:t>
            </w:r>
          </w:p>
        </w:tc>
        <w:tc>
          <w:tcPr>
            <w:tcW w:w="802" w:type="pct"/>
            <w:shd w:val="clear" w:color="auto" w:fill="FFFFFF"/>
            <w:hideMark/>
          </w:tcPr>
          <w:p w14:paraId="17420651" w14:textId="60137E8D" w:rsidR="005A35CC" w:rsidRPr="0074458D" w:rsidRDefault="005A35CC" w:rsidP="005A35CC">
            <w:pPr>
              <w:rPr>
                <w:rFonts w:ascii="Roboto" w:hAnsi="Roboto"/>
                <w:b/>
                <w:bCs/>
                <w:sz w:val="18"/>
                <w:szCs w:val="18"/>
              </w:rPr>
            </w:pPr>
            <w:r w:rsidRPr="0074458D">
              <w:rPr>
                <w:rFonts w:ascii="Roboto" w:hAnsi="Roboto"/>
                <w:b/>
                <w:bCs/>
                <w:sz w:val="18"/>
                <w:szCs w:val="18"/>
              </w:rPr>
              <w:t>Priority of Engagement (High/Med/Low) </w:t>
            </w:r>
          </w:p>
        </w:tc>
      </w:tr>
      <w:tr w:rsidR="005A35CC" w:rsidRPr="002C7E7A" w14:paraId="5CC82AC5" w14:textId="77777777" w:rsidTr="005B3A1D">
        <w:trPr>
          <w:trHeight w:val="300"/>
        </w:trPr>
        <w:tc>
          <w:tcPr>
            <w:tcW w:w="578" w:type="pct"/>
            <w:shd w:val="clear" w:color="auto" w:fill="FFFFFF"/>
          </w:tcPr>
          <w:p w14:paraId="6AD37DAD" w14:textId="4858D576" w:rsidR="005A35CC" w:rsidRPr="002C7E7A" w:rsidRDefault="005A35CC" w:rsidP="005A35CC">
            <w:pPr>
              <w:rPr>
                <w:i/>
                <w:iCs/>
                <w:sz w:val="18"/>
                <w:szCs w:val="18"/>
              </w:rPr>
            </w:pPr>
            <w:r w:rsidRPr="002C7E7A">
              <w:rPr>
                <w:sz w:val="18"/>
                <w:szCs w:val="18"/>
              </w:rPr>
              <w:t>Government &amp; Policy Actors</w:t>
            </w:r>
            <w:r w:rsidRPr="002C7E7A">
              <w:rPr>
                <w:b/>
                <w:bCs/>
                <w:sz w:val="18"/>
                <w:szCs w:val="18"/>
              </w:rPr>
              <w:t> </w:t>
            </w:r>
          </w:p>
        </w:tc>
        <w:tc>
          <w:tcPr>
            <w:tcW w:w="713" w:type="pct"/>
            <w:shd w:val="clear" w:color="auto" w:fill="FFFFFF"/>
            <w:hideMark/>
          </w:tcPr>
          <w:p w14:paraId="628CFBAC" w14:textId="5B840A09" w:rsidR="005A35CC" w:rsidRPr="002C7E7A" w:rsidRDefault="005A35CC" w:rsidP="005A35CC">
            <w:pPr>
              <w:rPr>
                <w:i/>
                <w:iCs/>
                <w:sz w:val="18"/>
                <w:szCs w:val="18"/>
              </w:rPr>
            </w:pPr>
            <w:r w:rsidRPr="002C7E7A">
              <w:rPr>
                <w:i/>
                <w:iCs/>
                <w:sz w:val="18"/>
                <w:szCs w:val="18"/>
              </w:rPr>
              <w:t>EXAMPLE</w:t>
            </w:r>
            <w:r w:rsidR="00D100D7">
              <w:rPr>
                <w:i/>
                <w:iCs/>
                <w:sz w:val="18"/>
                <w:szCs w:val="18"/>
              </w:rPr>
              <w:t xml:space="preserve"> </w:t>
            </w:r>
            <w:r w:rsidRPr="002C7E7A">
              <w:rPr>
                <w:i/>
                <w:iCs/>
                <w:sz w:val="18"/>
                <w:szCs w:val="18"/>
              </w:rPr>
              <w:t>1  </w:t>
            </w:r>
          </w:p>
          <w:p w14:paraId="559FE068" w14:textId="77777777" w:rsidR="005A35CC" w:rsidRPr="002C7E7A" w:rsidRDefault="005A35CC" w:rsidP="005A35CC">
            <w:pPr>
              <w:rPr>
                <w:i/>
                <w:iCs/>
                <w:sz w:val="18"/>
                <w:szCs w:val="18"/>
              </w:rPr>
            </w:pPr>
            <w:r w:rsidRPr="002C7E7A">
              <w:rPr>
                <w:i/>
                <w:iCs/>
                <w:sz w:val="18"/>
                <w:szCs w:val="18"/>
              </w:rPr>
              <w:t>National Malaria Program (NMP) </w:t>
            </w:r>
          </w:p>
        </w:tc>
        <w:tc>
          <w:tcPr>
            <w:tcW w:w="582" w:type="pct"/>
            <w:hideMark/>
          </w:tcPr>
          <w:p w14:paraId="7170D756" w14:textId="77777777" w:rsidR="005A35CC" w:rsidRPr="002C7E7A" w:rsidRDefault="005A35CC" w:rsidP="005A35CC">
            <w:pPr>
              <w:rPr>
                <w:sz w:val="18"/>
                <w:szCs w:val="18"/>
              </w:rPr>
            </w:pPr>
            <w:r w:rsidRPr="002C7E7A">
              <w:rPr>
                <w:sz w:val="18"/>
                <w:szCs w:val="18"/>
              </w:rPr>
              <w:t> [Name], Program Coordinator </w:t>
            </w:r>
          </w:p>
        </w:tc>
        <w:tc>
          <w:tcPr>
            <w:tcW w:w="766" w:type="pct"/>
          </w:tcPr>
          <w:p w14:paraId="5C4D89A9" w14:textId="4AD227BC" w:rsidR="005A35CC" w:rsidRPr="002C7E7A" w:rsidRDefault="005A35CC" w:rsidP="005A35CC">
            <w:pPr>
              <w:rPr>
                <w:sz w:val="18"/>
                <w:szCs w:val="18"/>
              </w:rPr>
            </w:pPr>
            <w:r w:rsidRPr="002C7E7A">
              <w:rPr>
                <w:sz w:val="18"/>
                <w:szCs w:val="18"/>
              </w:rPr>
              <w:t>Policy, Implementation </w:t>
            </w:r>
          </w:p>
        </w:tc>
        <w:tc>
          <w:tcPr>
            <w:tcW w:w="802" w:type="pct"/>
            <w:hideMark/>
          </w:tcPr>
          <w:p w14:paraId="1101EB1E" w14:textId="5007F4F7" w:rsidR="005A35CC" w:rsidRPr="002C7E7A" w:rsidRDefault="005A35CC" w:rsidP="005A35CC">
            <w:pPr>
              <w:rPr>
                <w:sz w:val="18"/>
                <w:szCs w:val="18"/>
              </w:rPr>
            </w:pPr>
            <w:r w:rsidRPr="002C7E7A">
              <w:rPr>
                <w:sz w:val="18"/>
                <w:szCs w:val="18"/>
              </w:rPr>
              <w:t>High </w:t>
            </w:r>
          </w:p>
        </w:tc>
        <w:tc>
          <w:tcPr>
            <w:tcW w:w="756" w:type="pct"/>
          </w:tcPr>
          <w:p w14:paraId="5C40AB44" w14:textId="752D3AAD" w:rsidR="005A35CC" w:rsidRPr="002C7E7A" w:rsidRDefault="005A35CC" w:rsidP="005A35CC">
            <w:pPr>
              <w:rPr>
                <w:sz w:val="18"/>
                <w:szCs w:val="18"/>
              </w:rPr>
            </w:pPr>
            <w:r w:rsidRPr="002C7E7A">
              <w:rPr>
                <w:sz w:val="18"/>
                <w:szCs w:val="18"/>
              </w:rPr>
              <w:t>Collaborate – Co-lead implementation, validate findings, integrate into national strategies </w:t>
            </w:r>
          </w:p>
        </w:tc>
        <w:tc>
          <w:tcPr>
            <w:tcW w:w="802" w:type="pct"/>
            <w:hideMark/>
          </w:tcPr>
          <w:p w14:paraId="1759A677" w14:textId="66BF843B" w:rsidR="005A35CC" w:rsidRPr="002C7E7A" w:rsidRDefault="005A35CC" w:rsidP="005A35CC">
            <w:pPr>
              <w:rPr>
                <w:sz w:val="18"/>
                <w:szCs w:val="18"/>
              </w:rPr>
            </w:pPr>
            <w:r w:rsidRPr="002C7E7A">
              <w:rPr>
                <w:sz w:val="18"/>
                <w:szCs w:val="18"/>
              </w:rPr>
              <w:t>High </w:t>
            </w:r>
          </w:p>
        </w:tc>
      </w:tr>
      <w:tr w:rsidR="005A35CC" w:rsidRPr="002C7E7A" w14:paraId="61EAD4FA" w14:textId="77777777" w:rsidTr="005B3A1D">
        <w:trPr>
          <w:trHeight w:val="300"/>
        </w:trPr>
        <w:tc>
          <w:tcPr>
            <w:tcW w:w="578" w:type="pct"/>
            <w:shd w:val="clear" w:color="auto" w:fill="FFFFFF"/>
          </w:tcPr>
          <w:p w14:paraId="75979BEB" w14:textId="7DB8983F" w:rsidR="005A35CC" w:rsidRPr="002C7E7A" w:rsidRDefault="005A35CC" w:rsidP="005A35CC">
            <w:pPr>
              <w:rPr>
                <w:i/>
                <w:iCs/>
                <w:sz w:val="18"/>
                <w:szCs w:val="18"/>
              </w:rPr>
            </w:pPr>
            <w:r w:rsidRPr="002C7E7A">
              <w:rPr>
                <w:sz w:val="18"/>
                <w:szCs w:val="18"/>
              </w:rPr>
              <w:t>Government &amp; Policy Actors</w:t>
            </w:r>
            <w:r w:rsidRPr="002C7E7A">
              <w:rPr>
                <w:b/>
                <w:bCs/>
                <w:sz w:val="18"/>
                <w:szCs w:val="18"/>
              </w:rPr>
              <w:t> </w:t>
            </w:r>
          </w:p>
        </w:tc>
        <w:tc>
          <w:tcPr>
            <w:tcW w:w="713" w:type="pct"/>
            <w:shd w:val="clear" w:color="auto" w:fill="FFFFFF"/>
            <w:hideMark/>
          </w:tcPr>
          <w:p w14:paraId="061DA60E" w14:textId="3370486F" w:rsidR="005A35CC" w:rsidRPr="002C7E7A" w:rsidRDefault="005A35CC" w:rsidP="005A35CC">
            <w:pPr>
              <w:rPr>
                <w:i/>
                <w:iCs/>
                <w:sz w:val="18"/>
                <w:szCs w:val="18"/>
              </w:rPr>
            </w:pPr>
            <w:r w:rsidRPr="002C7E7A">
              <w:rPr>
                <w:i/>
                <w:iCs/>
                <w:sz w:val="18"/>
                <w:szCs w:val="18"/>
              </w:rPr>
              <w:t>EXAMPLE 2 Pharmaceutical Regulatory Agency </w:t>
            </w:r>
          </w:p>
        </w:tc>
        <w:tc>
          <w:tcPr>
            <w:tcW w:w="582" w:type="pct"/>
            <w:hideMark/>
          </w:tcPr>
          <w:p w14:paraId="3A781C70" w14:textId="77777777" w:rsidR="005A35CC" w:rsidRPr="002C7E7A" w:rsidRDefault="005A35CC" w:rsidP="005A35CC">
            <w:pPr>
              <w:rPr>
                <w:sz w:val="18"/>
                <w:szCs w:val="18"/>
              </w:rPr>
            </w:pPr>
            <w:r w:rsidRPr="002C7E7A">
              <w:rPr>
                <w:sz w:val="18"/>
                <w:szCs w:val="18"/>
              </w:rPr>
              <w:t>[Name], [Role] </w:t>
            </w:r>
          </w:p>
        </w:tc>
        <w:tc>
          <w:tcPr>
            <w:tcW w:w="766" w:type="pct"/>
          </w:tcPr>
          <w:p w14:paraId="1B13D7AE" w14:textId="7B4B22BF" w:rsidR="005A35CC" w:rsidRPr="002C7E7A" w:rsidRDefault="005A35CC" w:rsidP="005A35CC">
            <w:pPr>
              <w:rPr>
                <w:sz w:val="18"/>
                <w:szCs w:val="18"/>
              </w:rPr>
            </w:pPr>
            <w:r w:rsidRPr="002C7E7A">
              <w:rPr>
                <w:sz w:val="18"/>
                <w:szCs w:val="18"/>
              </w:rPr>
              <w:t>Regulatory </w:t>
            </w:r>
          </w:p>
        </w:tc>
        <w:tc>
          <w:tcPr>
            <w:tcW w:w="802" w:type="pct"/>
            <w:hideMark/>
          </w:tcPr>
          <w:p w14:paraId="2CE7B4C1" w14:textId="6D42145B" w:rsidR="005A35CC" w:rsidRPr="002C7E7A" w:rsidRDefault="005A35CC" w:rsidP="005A35CC">
            <w:pPr>
              <w:rPr>
                <w:sz w:val="18"/>
                <w:szCs w:val="18"/>
              </w:rPr>
            </w:pPr>
            <w:r w:rsidRPr="002C7E7A">
              <w:rPr>
                <w:sz w:val="18"/>
                <w:szCs w:val="18"/>
              </w:rPr>
              <w:t>High </w:t>
            </w:r>
          </w:p>
        </w:tc>
        <w:tc>
          <w:tcPr>
            <w:tcW w:w="756" w:type="pct"/>
          </w:tcPr>
          <w:p w14:paraId="619DB45D" w14:textId="6330E473" w:rsidR="005A35CC" w:rsidRPr="002C7E7A" w:rsidRDefault="005A35CC" w:rsidP="005A35CC">
            <w:pPr>
              <w:rPr>
                <w:sz w:val="18"/>
                <w:szCs w:val="18"/>
              </w:rPr>
            </w:pPr>
            <w:r w:rsidRPr="002C7E7A">
              <w:rPr>
                <w:sz w:val="18"/>
                <w:szCs w:val="18"/>
              </w:rPr>
              <w:t>Consult – Ensure ACT market compliance, support data-driven policy revisions </w:t>
            </w:r>
          </w:p>
        </w:tc>
        <w:tc>
          <w:tcPr>
            <w:tcW w:w="802" w:type="pct"/>
            <w:hideMark/>
          </w:tcPr>
          <w:p w14:paraId="466A157B" w14:textId="2D1A3631" w:rsidR="005A35CC" w:rsidRPr="002C7E7A" w:rsidRDefault="005A35CC" w:rsidP="005A35CC">
            <w:pPr>
              <w:rPr>
                <w:sz w:val="18"/>
                <w:szCs w:val="18"/>
              </w:rPr>
            </w:pPr>
            <w:r w:rsidRPr="002C7E7A">
              <w:rPr>
                <w:sz w:val="18"/>
                <w:szCs w:val="18"/>
              </w:rPr>
              <w:t>High </w:t>
            </w:r>
          </w:p>
        </w:tc>
      </w:tr>
      <w:tr w:rsidR="005A35CC" w:rsidRPr="002C7E7A" w14:paraId="499EBCE0" w14:textId="77777777" w:rsidTr="005B3A1D">
        <w:trPr>
          <w:trHeight w:val="300"/>
        </w:trPr>
        <w:tc>
          <w:tcPr>
            <w:tcW w:w="578" w:type="pct"/>
            <w:shd w:val="clear" w:color="auto" w:fill="FFFFFF"/>
          </w:tcPr>
          <w:p w14:paraId="5551B065" w14:textId="348F05C5" w:rsidR="005A35CC" w:rsidRPr="002C7E7A" w:rsidRDefault="005A35CC" w:rsidP="005A35CC">
            <w:pPr>
              <w:rPr>
                <w:i/>
                <w:iCs/>
                <w:sz w:val="18"/>
                <w:szCs w:val="18"/>
              </w:rPr>
            </w:pPr>
            <w:r w:rsidRPr="002C7E7A">
              <w:rPr>
                <w:sz w:val="18"/>
                <w:szCs w:val="18"/>
              </w:rPr>
              <w:t>Government &amp; Policy Actors</w:t>
            </w:r>
            <w:r w:rsidRPr="002C7E7A">
              <w:rPr>
                <w:b/>
                <w:bCs/>
                <w:sz w:val="18"/>
                <w:szCs w:val="18"/>
              </w:rPr>
              <w:t> </w:t>
            </w:r>
          </w:p>
        </w:tc>
        <w:tc>
          <w:tcPr>
            <w:tcW w:w="713" w:type="pct"/>
            <w:shd w:val="clear" w:color="auto" w:fill="FFFFFF"/>
            <w:hideMark/>
          </w:tcPr>
          <w:p w14:paraId="08F96440" w14:textId="7637CA1D" w:rsidR="005A35CC" w:rsidRPr="002C7E7A" w:rsidRDefault="005A35CC" w:rsidP="005A35CC">
            <w:pPr>
              <w:rPr>
                <w:i/>
                <w:iCs/>
                <w:sz w:val="18"/>
                <w:szCs w:val="18"/>
              </w:rPr>
            </w:pPr>
            <w:r w:rsidRPr="002C7E7A">
              <w:rPr>
                <w:i/>
                <w:iCs/>
                <w:sz w:val="18"/>
                <w:szCs w:val="18"/>
              </w:rPr>
              <w:t>EXAMPLE 3 Private Pharmacies &amp; Drug Shops Association </w:t>
            </w:r>
          </w:p>
        </w:tc>
        <w:tc>
          <w:tcPr>
            <w:tcW w:w="582" w:type="pct"/>
            <w:hideMark/>
          </w:tcPr>
          <w:p w14:paraId="62878E2A" w14:textId="77777777" w:rsidR="005A35CC" w:rsidRPr="002C7E7A" w:rsidRDefault="005A35CC" w:rsidP="005A35CC">
            <w:pPr>
              <w:rPr>
                <w:sz w:val="18"/>
                <w:szCs w:val="18"/>
              </w:rPr>
            </w:pPr>
            <w:r w:rsidRPr="002C7E7A">
              <w:rPr>
                <w:sz w:val="18"/>
                <w:szCs w:val="18"/>
              </w:rPr>
              <w:t>[Name], Executive Director </w:t>
            </w:r>
          </w:p>
        </w:tc>
        <w:tc>
          <w:tcPr>
            <w:tcW w:w="766" w:type="pct"/>
          </w:tcPr>
          <w:p w14:paraId="301D64DA" w14:textId="0C80F639" w:rsidR="005A35CC" w:rsidRPr="002C7E7A" w:rsidRDefault="005A35CC" w:rsidP="005A35CC">
            <w:pPr>
              <w:rPr>
                <w:sz w:val="18"/>
                <w:szCs w:val="18"/>
              </w:rPr>
            </w:pPr>
            <w:r w:rsidRPr="002C7E7A">
              <w:rPr>
                <w:sz w:val="18"/>
                <w:szCs w:val="18"/>
              </w:rPr>
              <w:t>Private Sector, Implementation </w:t>
            </w:r>
          </w:p>
        </w:tc>
        <w:tc>
          <w:tcPr>
            <w:tcW w:w="802" w:type="pct"/>
            <w:hideMark/>
          </w:tcPr>
          <w:p w14:paraId="0565D3D4" w14:textId="6ABB579F" w:rsidR="005A35CC" w:rsidRPr="002C7E7A" w:rsidRDefault="005A35CC" w:rsidP="005A35CC">
            <w:pPr>
              <w:rPr>
                <w:sz w:val="18"/>
                <w:szCs w:val="18"/>
              </w:rPr>
            </w:pPr>
            <w:r w:rsidRPr="002C7E7A">
              <w:rPr>
                <w:sz w:val="18"/>
                <w:szCs w:val="18"/>
              </w:rPr>
              <w:t>Medium </w:t>
            </w:r>
          </w:p>
        </w:tc>
        <w:tc>
          <w:tcPr>
            <w:tcW w:w="756" w:type="pct"/>
          </w:tcPr>
          <w:p w14:paraId="0A867526" w14:textId="65B8F54E" w:rsidR="005A35CC" w:rsidRPr="002C7E7A" w:rsidRDefault="005A35CC" w:rsidP="005A35CC">
            <w:pPr>
              <w:rPr>
                <w:sz w:val="18"/>
                <w:szCs w:val="18"/>
              </w:rPr>
            </w:pPr>
            <w:r w:rsidRPr="002C7E7A">
              <w:rPr>
                <w:sz w:val="18"/>
                <w:szCs w:val="18"/>
              </w:rPr>
              <w:t>Collaborate – Facilitate data collection, integrate findings into private sector case management strategies </w:t>
            </w:r>
          </w:p>
        </w:tc>
        <w:tc>
          <w:tcPr>
            <w:tcW w:w="802" w:type="pct"/>
            <w:hideMark/>
          </w:tcPr>
          <w:p w14:paraId="6941686B" w14:textId="2C246013" w:rsidR="005A35CC" w:rsidRPr="002C7E7A" w:rsidRDefault="005A35CC" w:rsidP="005A35CC">
            <w:pPr>
              <w:rPr>
                <w:sz w:val="18"/>
                <w:szCs w:val="18"/>
              </w:rPr>
            </w:pPr>
            <w:r w:rsidRPr="002C7E7A">
              <w:rPr>
                <w:sz w:val="18"/>
                <w:szCs w:val="18"/>
              </w:rPr>
              <w:t>High </w:t>
            </w:r>
          </w:p>
        </w:tc>
      </w:tr>
      <w:tr w:rsidR="005A35CC" w:rsidRPr="002C7E7A" w14:paraId="29A5E58E" w14:textId="77777777" w:rsidTr="005B3A1D">
        <w:trPr>
          <w:trHeight w:val="300"/>
        </w:trPr>
        <w:tc>
          <w:tcPr>
            <w:tcW w:w="578" w:type="pct"/>
            <w:shd w:val="clear" w:color="auto" w:fill="FFFFFF"/>
          </w:tcPr>
          <w:p w14:paraId="08E80549" w14:textId="77777777" w:rsidR="005A35CC" w:rsidRPr="002C7E7A" w:rsidRDefault="005A35CC" w:rsidP="005A35CC">
            <w:pPr>
              <w:rPr>
                <w:i/>
                <w:iCs/>
                <w:sz w:val="18"/>
                <w:szCs w:val="18"/>
              </w:rPr>
            </w:pPr>
          </w:p>
        </w:tc>
        <w:tc>
          <w:tcPr>
            <w:tcW w:w="713" w:type="pct"/>
            <w:shd w:val="clear" w:color="auto" w:fill="FFFFFF"/>
            <w:hideMark/>
          </w:tcPr>
          <w:p w14:paraId="3360C675" w14:textId="4793B733" w:rsidR="005A35CC" w:rsidRDefault="005A35CC" w:rsidP="005A35CC">
            <w:pPr>
              <w:rPr>
                <w:i/>
                <w:iCs/>
                <w:sz w:val="18"/>
                <w:szCs w:val="18"/>
              </w:rPr>
            </w:pPr>
            <w:r w:rsidRPr="002C7E7A">
              <w:rPr>
                <w:i/>
                <w:iCs/>
                <w:sz w:val="18"/>
                <w:szCs w:val="18"/>
              </w:rPr>
              <w:t> </w:t>
            </w:r>
          </w:p>
          <w:p w14:paraId="7A26D9A8" w14:textId="77777777" w:rsidR="005A35CC" w:rsidRDefault="005A35CC" w:rsidP="005A35CC">
            <w:pPr>
              <w:rPr>
                <w:i/>
                <w:iCs/>
                <w:sz w:val="18"/>
                <w:szCs w:val="18"/>
              </w:rPr>
            </w:pPr>
          </w:p>
          <w:p w14:paraId="1E5220D3" w14:textId="77777777" w:rsidR="005A35CC" w:rsidRDefault="005A35CC" w:rsidP="005A35CC">
            <w:pPr>
              <w:rPr>
                <w:i/>
                <w:iCs/>
                <w:sz w:val="18"/>
                <w:szCs w:val="18"/>
              </w:rPr>
            </w:pPr>
          </w:p>
          <w:p w14:paraId="52016D82" w14:textId="77777777" w:rsidR="005A35CC" w:rsidRDefault="005A35CC" w:rsidP="005A35CC">
            <w:pPr>
              <w:rPr>
                <w:i/>
                <w:iCs/>
                <w:sz w:val="18"/>
                <w:szCs w:val="18"/>
              </w:rPr>
            </w:pPr>
          </w:p>
          <w:p w14:paraId="69C0C646" w14:textId="77777777" w:rsidR="005A35CC" w:rsidRPr="002C7E7A" w:rsidRDefault="005A35CC" w:rsidP="005A35CC">
            <w:pPr>
              <w:rPr>
                <w:i/>
                <w:iCs/>
                <w:sz w:val="18"/>
                <w:szCs w:val="18"/>
              </w:rPr>
            </w:pPr>
          </w:p>
        </w:tc>
        <w:tc>
          <w:tcPr>
            <w:tcW w:w="582" w:type="pct"/>
            <w:hideMark/>
          </w:tcPr>
          <w:p w14:paraId="238350A9" w14:textId="77777777" w:rsidR="005A35CC" w:rsidRPr="002C7E7A" w:rsidRDefault="005A35CC" w:rsidP="005A35CC">
            <w:pPr>
              <w:rPr>
                <w:sz w:val="18"/>
                <w:szCs w:val="18"/>
              </w:rPr>
            </w:pPr>
            <w:r w:rsidRPr="002C7E7A">
              <w:rPr>
                <w:sz w:val="18"/>
                <w:szCs w:val="18"/>
              </w:rPr>
              <w:t> </w:t>
            </w:r>
          </w:p>
        </w:tc>
        <w:tc>
          <w:tcPr>
            <w:tcW w:w="766" w:type="pct"/>
          </w:tcPr>
          <w:p w14:paraId="43957447" w14:textId="77777777" w:rsidR="005A35CC" w:rsidRPr="002C7E7A" w:rsidRDefault="005A35CC" w:rsidP="005A35CC">
            <w:pPr>
              <w:rPr>
                <w:sz w:val="18"/>
                <w:szCs w:val="18"/>
              </w:rPr>
            </w:pPr>
          </w:p>
        </w:tc>
        <w:tc>
          <w:tcPr>
            <w:tcW w:w="802" w:type="pct"/>
            <w:hideMark/>
          </w:tcPr>
          <w:p w14:paraId="7FBA2614" w14:textId="11C81334" w:rsidR="005A35CC" w:rsidRPr="002C7E7A" w:rsidRDefault="005A35CC" w:rsidP="005A35CC">
            <w:pPr>
              <w:rPr>
                <w:sz w:val="18"/>
                <w:szCs w:val="18"/>
              </w:rPr>
            </w:pPr>
            <w:r w:rsidRPr="002C7E7A">
              <w:rPr>
                <w:sz w:val="18"/>
                <w:szCs w:val="18"/>
              </w:rPr>
              <w:t> </w:t>
            </w:r>
          </w:p>
        </w:tc>
        <w:tc>
          <w:tcPr>
            <w:tcW w:w="756" w:type="pct"/>
          </w:tcPr>
          <w:p w14:paraId="29D03F23" w14:textId="77777777" w:rsidR="005A35CC" w:rsidRPr="002C7E7A" w:rsidRDefault="005A35CC" w:rsidP="005A35CC">
            <w:pPr>
              <w:rPr>
                <w:sz w:val="18"/>
                <w:szCs w:val="18"/>
              </w:rPr>
            </w:pPr>
          </w:p>
        </w:tc>
        <w:tc>
          <w:tcPr>
            <w:tcW w:w="802" w:type="pct"/>
            <w:hideMark/>
          </w:tcPr>
          <w:p w14:paraId="5F0A1CD7" w14:textId="714CC937" w:rsidR="005A35CC" w:rsidRPr="002C7E7A" w:rsidRDefault="005A35CC" w:rsidP="005A35CC">
            <w:pPr>
              <w:rPr>
                <w:sz w:val="18"/>
                <w:szCs w:val="18"/>
              </w:rPr>
            </w:pPr>
            <w:r w:rsidRPr="002C7E7A">
              <w:rPr>
                <w:sz w:val="18"/>
                <w:szCs w:val="18"/>
              </w:rPr>
              <w:t> </w:t>
            </w:r>
          </w:p>
        </w:tc>
      </w:tr>
      <w:tr w:rsidR="005A35CC" w:rsidRPr="002C7E7A" w14:paraId="2C40C677" w14:textId="77777777" w:rsidTr="005B3A1D">
        <w:trPr>
          <w:trHeight w:val="300"/>
        </w:trPr>
        <w:tc>
          <w:tcPr>
            <w:tcW w:w="578" w:type="pct"/>
            <w:shd w:val="clear" w:color="auto" w:fill="FFFFFF"/>
          </w:tcPr>
          <w:p w14:paraId="03B17A30" w14:textId="77777777" w:rsidR="005A35CC" w:rsidRPr="002C7E7A" w:rsidRDefault="005A35CC" w:rsidP="005A35CC">
            <w:pPr>
              <w:rPr>
                <w:i/>
                <w:iCs/>
                <w:sz w:val="18"/>
                <w:szCs w:val="18"/>
              </w:rPr>
            </w:pPr>
          </w:p>
        </w:tc>
        <w:tc>
          <w:tcPr>
            <w:tcW w:w="713" w:type="pct"/>
            <w:shd w:val="clear" w:color="auto" w:fill="FFFFFF"/>
            <w:hideMark/>
          </w:tcPr>
          <w:p w14:paraId="615B2C2A" w14:textId="3A665AAD" w:rsidR="005A35CC" w:rsidRDefault="005A35CC" w:rsidP="005A35CC">
            <w:pPr>
              <w:rPr>
                <w:i/>
                <w:iCs/>
                <w:sz w:val="18"/>
                <w:szCs w:val="18"/>
              </w:rPr>
            </w:pPr>
            <w:r w:rsidRPr="002C7E7A">
              <w:rPr>
                <w:i/>
                <w:iCs/>
                <w:sz w:val="18"/>
                <w:szCs w:val="18"/>
              </w:rPr>
              <w:t> </w:t>
            </w:r>
          </w:p>
          <w:p w14:paraId="5D88E2C2" w14:textId="77777777" w:rsidR="005A35CC" w:rsidRDefault="005A35CC" w:rsidP="005A35CC">
            <w:pPr>
              <w:rPr>
                <w:i/>
                <w:iCs/>
                <w:sz w:val="18"/>
                <w:szCs w:val="18"/>
              </w:rPr>
            </w:pPr>
          </w:p>
          <w:p w14:paraId="09902AFC" w14:textId="77777777" w:rsidR="005A35CC" w:rsidRDefault="005A35CC" w:rsidP="005A35CC">
            <w:pPr>
              <w:rPr>
                <w:i/>
                <w:iCs/>
                <w:sz w:val="18"/>
                <w:szCs w:val="18"/>
              </w:rPr>
            </w:pPr>
          </w:p>
          <w:p w14:paraId="549D2153" w14:textId="77777777" w:rsidR="005A35CC" w:rsidRDefault="005A35CC" w:rsidP="005A35CC">
            <w:pPr>
              <w:rPr>
                <w:i/>
                <w:iCs/>
                <w:sz w:val="18"/>
                <w:szCs w:val="18"/>
              </w:rPr>
            </w:pPr>
          </w:p>
          <w:p w14:paraId="5C6443AA" w14:textId="77777777" w:rsidR="005A35CC" w:rsidRPr="002C7E7A" w:rsidRDefault="005A35CC" w:rsidP="005A35CC">
            <w:pPr>
              <w:rPr>
                <w:i/>
                <w:iCs/>
                <w:sz w:val="18"/>
                <w:szCs w:val="18"/>
              </w:rPr>
            </w:pPr>
          </w:p>
        </w:tc>
        <w:tc>
          <w:tcPr>
            <w:tcW w:w="582" w:type="pct"/>
            <w:hideMark/>
          </w:tcPr>
          <w:p w14:paraId="0D84AAC0" w14:textId="77777777" w:rsidR="005A35CC" w:rsidRPr="002C7E7A" w:rsidRDefault="005A35CC" w:rsidP="005A35CC">
            <w:pPr>
              <w:rPr>
                <w:sz w:val="18"/>
                <w:szCs w:val="18"/>
              </w:rPr>
            </w:pPr>
            <w:r w:rsidRPr="002C7E7A">
              <w:rPr>
                <w:sz w:val="18"/>
                <w:szCs w:val="18"/>
              </w:rPr>
              <w:t> </w:t>
            </w:r>
          </w:p>
        </w:tc>
        <w:tc>
          <w:tcPr>
            <w:tcW w:w="766" w:type="pct"/>
          </w:tcPr>
          <w:p w14:paraId="3ADC4CDF" w14:textId="77777777" w:rsidR="005A35CC" w:rsidRPr="002C7E7A" w:rsidRDefault="005A35CC" w:rsidP="005A35CC">
            <w:pPr>
              <w:rPr>
                <w:sz w:val="18"/>
                <w:szCs w:val="18"/>
              </w:rPr>
            </w:pPr>
          </w:p>
        </w:tc>
        <w:tc>
          <w:tcPr>
            <w:tcW w:w="802" w:type="pct"/>
            <w:hideMark/>
          </w:tcPr>
          <w:p w14:paraId="359740FF" w14:textId="6415FEC9" w:rsidR="005A35CC" w:rsidRPr="002C7E7A" w:rsidRDefault="005A35CC" w:rsidP="005A35CC">
            <w:pPr>
              <w:rPr>
                <w:sz w:val="18"/>
                <w:szCs w:val="18"/>
              </w:rPr>
            </w:pPr>
            <w:r w:rsidRPr="002C7E7A">
              <w:rPr>
                <w:sz w:val="18"/>
                <w:szCs w:val="18"/>
              </w:rPr>
              <w:t> </w:t>
            </w:r>
          </w:p>
        </w:tc>
        <w:tc>
          <w:tcPr>
            <w:tcW w:w="756" w:type="pct"/>
          </w:tcPr>
          <w:p w14:paraId="1121F359" w14:textId="77777777" w:rsidR="005A35CC" w:rsidRPr="002C7E7A" w:rsidRDefault="005A35CC" w:rsidP="005A35CC">
            <w:pPr>
              <w:rPr>
                <w:sz w:val="18"/>
                <w:szCs w:val="18"/>
              </w:rPr>
            </w:pPr>
          </w:p>
        </w:tc>
        <w:tc>
          <w:tcPr>
            <w:tcW w:w="802" w:type="pct"/>
            <w:hideMark/>
          </w:tcPr>
          <w:p w14:paraId="0DBFB8FF" w14:textId="2BA5C276" w:rsidR="005A35CC" w:rsidRPr="002C7E7A" w:rsidRDefault="005A35CC" w:rsidP="005A35CC">
            <w:pPr>
              <w:rPr>
                <w:sz w:val="18"/>
                <w:szCs w:val="18"/>
              </w:rPr>
            </w:pPr>
            <w:r w:rsidRPr="002C7E7A">
              <w:rPr>
                <w:sz w:val="18"/>
                <w:szCs w:val="18"/>
              </w:rPr>
              <w:t> </w:t>
            </w:r>
          </w:p>
        </w:tc>
      </w:tr>
      <w:tr w:rsidR="005A35CC" w:rsidRPr="002C7E7A" w14:paraId="3D00C62A" w14:textId="77777777" w:rsidTr="005B3A1D">
        <w:trPr>
          <w:trHeight w:val="300"/>
        </w:trPr>
        <w:tc>
          <w:tcPr>
            <w:tcW w:w="578" w:type="pct"/>
            <w:shd w:val="clear" w:color="auto" w:fill="FFFFFF"/>
          </w:tcPr>
          <w:p w14:paraId="7E5779C3" w14:textId="77777777" w:rsidR="005A35CC" w:rsidRPr="002C7E7A" w:rsidRDefault="005A35CC" w:rsidP="005A35CC">
            <w:pPr>
              <w:rPr>
                <w:i/>
                <w:iCs/>
                <w:sz w:val="18"/>
                <w:szCs w:val="18"/>
              </w:rPr>
            </w:pPr>
          </w:p>
        </w:tc>
        <w:tc>
          <w:tcPr>
            <w:tcW w:w="713" w:type="pct"/>
            <w:shd w:val="clear" w:color="auto" w:fill="FFFFFF"/>
            <w:hideMark/>
          </w:tcPr>
          <w:p w14:paraId="5B57C0B6" w14:textId="09F45B19" w:rsidR="005A35CC" w:rsidRDefault="005A35CC" w:rsidP="005A35CC">
            <w:pPr>
              <w:rPr>
                <w:i/>
                <w:iCs/>
                <w:sz w:val="18"/>
                <w:szCs w:val="18"/>
              </w:rPr>
            </w:pPr>
            <w:r w:rsidRPr="002C7E7A">
              <w:rPr>
                <w:i/>
                <w:iCs/>
                <w:sz w:val="18"/>
                <w:szCs w:val="18"/>
              </w:rPr>
              <w:t> </w:t>
            </w:r>
          </w:p>
          <w:p w14:paraId="3290CE4E" w14:textId="77777777" w:rsidR="005A35CC" w:rsidRDefault="005A35CC" w:rsidP="005A35CC">
            <w:pPr>
              <w:rPr>
                <w:i/>
                <w:iCs/>
                <w:sz w:val="18"/>
                <w:szCs w:val="18"/>
              </w:rPr>
            </w:pPr>
          </w:p>
          <w:p w14:paraId="417F2A02" w14:textId="77777777" w:rsidR="005A35CC" w:rsidRDefault="005A35CC" w:rsidP="005A35CC">
            <w:pPr>
              <w:rPr>
                <w:i/>
                <w:iCs/>
                <w:sz w:val="18"/>
                <w:szCs w:val="18"/>
              </w:rPr>
            </w:pPr>
          </w:p>
          <w:p w14:paraId="60EBE1F0" w14:textId="77777777" w:rsidR="005A35CC" w:rsidRDefault="005A35CC" w:rsidP="005A35CC">
            <w:pPr>
              <w:rPr>
                <w:i/>
                <w:iCs/>
                <w:sz w:val="18"/>
                <w:szCs w:val="18"/>
              </w:rPr>
            </w:pPr>
          </w:p>
          <w:p w14:paraId="4C0A817F" w14:textId="77777777" w:rsidR="005A35CC" w:rsidRPr="002C7E7A" w:rsidRDefault="005A35CC" w:rsidP="005A35CC">
            <w:pPr>
              <w:rPr>
                <w:i/>
                <w:iCs/>
                <w:sz w:val="18"/>
                <w:szCs w:val="18"/>
              </w:rPr>
            </w:pPr>
          </w:p>
        </w:tc>
        <w:tc>
          <w:tcPr>
            <w:tcW w:w="582" w:type="pct"/>
            <w:hideMark/>
          </w:tcPr>
          <w:p w14:paraId="4A16BCCD" w14:textId="77777777" w:rsidR="005A35CC" w:rsidRPr="002C7E7A" w:rsidRDefault="005A35CC" w:rsidP="005A35CC">
            <w:pPr>
              <w:rPr>
                <w:sz w:val="18"/>
                <w:szCs w:val="18"/>
              </w:rPr>
            </w:pPr>
            <w:r w:rsidRPr="002C7E7A">
              <w:rPr>
                <w:sz w:val="18"/>
                <w:szCs w:val="18"/>
              </w:rPr>
              <w:t> </w:t>
            </w:r>
          </w:p>
        </w:tc>
        <w:tc>
          <w:tcPr>
            <w:tcW w:w="766" w:type="pct"/>
          </w:tcPr>
          <w:p w14:paraId="0C6B7650" w14:textId="77777777" w:rsidR="005A35CC" w:rsidRPr="002C7E7A" w:rsidRDefault="005A35CC" w:rsidP="005A35CC">
            <w:pPr>
              <w:rPr>
                <w:sz w:val="18"/>
                <w:szCs w:val="18"/>
              </w:rPr>
            </w:pPr>
          </w:p>
        </w:tc>
        <w:tc>
          <w:tcPr>
            <w:tcW w:w="802" w:type="pct"/>
            <w:hideMark/>
          </w:tcPr>
          <w:p w14:paraId="6555F23E" w14:textId="15A8EBD1" w:rsidR="005A35CC" w:rsidRPr="002C7E7A" w:rsidRDefault="005A35CC" w:rsidP="005A35CC">
            <w:pPr>
              <w:rPr>
                <w:sz w:val="18"/>
                <w:szCs w:val="18"/>
              </w:rPr>
            </w:pPr>
            <w:r w:rsidRPr="002C7E7A">
              <w:rPr>
                <w:sz w:val="18"/>
                <w:szCs w:val="18"/>
              </w:rPr>
              <w:t> </w:t>
            </w:r>
          </w:p>
        </w:tc>
        <w:tc>
          <w:tcPr>
            <w:tcW w:w="756" w:type="pct"/>
          </w:tcPr>
          <w:p w14:paraId="2682E0D3" w14:textId="77777777" w:rsidR="005A35CC" w:rsidRPr="002C7E7A" w:rsidRDefault="005A35CC" w:rsidP="005A35CC">
            <w:pPr>
              <w:rPr>
                <w:sz w:val="18"/>
                <w:szCs w:val="18"/>
              </w:rPr>
            </w:pPr>
          </w:p>
        </w:tc>
        <w:tc>
          <w:tcPr>
            <w:tcW w:w="802" w:type="pct"/>
            <w:hideMark/>
          </w:tcPr>
          <w:p w14:paraId="4E3B309A" w14:textId="51077791" w:rsidR="005A35CC" w:rsidRPr="002C7E7A" w:rsidRDefault="005A35CC" w:rsidP="005A35CC">
            <w:pPr>
              <w:rPr>
                <w:sz w:val="18"/>
                <w:szCs w:val="18"/>
              </w:rPr>
            </w:pPr>
            <w:r w:rsidRPr="002C7E7A">
              <w:rPr>
                <w:sz w:val="18"/>
                <w:szCs w:val="18"/>
              </w:rPr>
              <w:t> </w:t>
            </w:r>
          </w:p>
        </w:tc>
      </w:tr>
      <w:tr w:rsidR="005A35CC" w:rsidRPr="002C7E7A" w14:paraId="1857E34F" w14:textId="77777777" w:rsidTr="005B3A1D">
        <w:trPr>
          <w:trHeight w:val="300"/>
        </w:trPr>
        <w:tc>
          <w:tcPr>
            <w:tcW w:w="578" w:type="pct"/>
            <w:shd w:val="clear" w:color="auto" w:fill="FFFFFF"/>
          </w:tcPr>
          <w:p w14:paraId="077DD2B9" w14:textId="77777777" w:rsidR="005A35CC" w:rsidRPr="002C7E7A" w:rsidRDefault="005A35CC" w:rsidP="005A35CC">
            <w:pPr>
              <w:rPr>
                <w:i/>
                <w:iCs/>
                <w:sz w:val="18"/>
                <w:szCs w:val="18"/>
              </w:rPr>
            </w:pPr>
          </w:p>
        </w:tc>
        <w:tc>
          <w:tcPr>
            <w:tcW w:w="713" w:type="pct"/>
            <w:shd w:val="clear" w:color="auto" w:fill="FFFFFF"/>
            <w:hideMark/>
          </w:tcPr>
          <w:p w14:paraId="5ABB5636" w14:textId="50FCA61F" w:rsidR="005A35CC" w:rsidRDefault="005A35CC" w:rsidP="005A35CC">
            <w:pPr>
              <w:rPr>
                <w:i/>
                <w:iCs/>
                <w:sz w:val="18"/>
                <w:szCs w:val="18"/>
              </w:rPr>
            </w:pPr>
            <w:r w:rsidRPr="002C7E7A">
              <w:rPr>
                <w:i/>
                <w:iCs/>
                <w:sz w:val="18"/>
                <w:szCs w:val="18"/>
              </w:rPr>
              <w:t> </w:t>
            </w:r>
          </w:p>
          <w:p w14:paraId="437628C7" w14:textId="77777777" w:rsidR="005A35CC" w:rsidRDefault="005A35CC" w:rsidP="005A35CC">
            <w:pPr>
              <w:rPr>
                <w:i/>
                <w:iCs/>
                <w:sz w:val="18"/>
                <w:szCs w:val="18"/>
              </w:rPr>
            </w:pPr>
          </w:p>
          <w:p w14:paraId="5C5637C7" w14:textId="77777777" w:rsidR="005A35CC" w:rsidRDefault="005A35CC" w:rsidP="005A35CC">
            <w:pPr>
              <w:rPr>
                <w:i/>
                <w:iCs/>
                <w:sz w:val="18"/>
                <w:szCs w:val="18"/>
              </w:rPr>
            </w:pPr>
          </w:p>
          <w:p w14:paraId="053F6D2F" w14:textId="77777777" w:rsidR="005A35CC" w:rsidRDefault="005A35CC" w:rsidP="005A35CC">
            <w:pPr>
              <w:rPr>
                <w:i/>
                <w:iCs/>
                <w:sz w:val="18"/>
                <w:szCs w:val="18"/>
              </w:rPr>
            </w:pPr>
          </w:p>
          <w:p w14:paraId="61BF0A2E" w14:textId="77777777" w:rsidR="005A35CC" w:rsidRPr="002C7E7A" w:rsidRDefault="005A35CC" w:rsidP="005A35CC">
            <w:pPr>
              <w:rPr>
                <w:i/>
                <w:iCs/>
                <w:sz w:val="18"/>
                <w:szCs w:val="18"/>
              </w:rPr>
            </w:pPr>
          </w:p>
        </w:tc>
        <w:tc>
          <w:tcPr>
            <w:tcW w:w="582" w:type="pct"/>
            <w:hideMark/>
          </w:tcPr>
          <w:p w14:paraId="78F66724" w14:textId="77777777" w:rsidR="005A35CC" w:rsidRPr="002C7E7A" w:rsidRDefault="005A35CC" w:rsidP="005A35CC">
            <w:pPr>
              <w:rPr>
                <w:sz w:val="18"/>
                <w:szCs w:val="18"/>
              </w:rPr>
            </w:pPr>
            <w:r w:rsidRPr="002C7E7A">
              <w:rPr>
                <w:sz w:val="18"/>
                <w:szCs w:val="18"/>
              </w:rPr>
              <w:t> </w:t>
            </w:r>
          </w:p>
        </w:tc>
        <w:tc>
          <w:tcPr>
            <w:tcW w:w="766" w:type="pct"/>
          </w:tcPr>
          <w:p w14:paraId="11EFC8FB" w14:textId="77777777" w:rsidR="005A35CC" w:rsidRPr="002C7E7A" w:rsidRDefault="005A35CC" w:rsidP="005A35CC">
            <w:pPr>
              <w:rPr>
                <w:sz w:val="18"/>
                <w:szCs w:val="18"/>
              </w:rPr>
            </w:pPr>
          </w:p>
        </w:tc>
        <w:tc>
          <w:tcPr>
            <w:tcW w:w="802" w:type="pct"/>
            <w:hideMark/>
          </w:tcPr>
          <w:p w14:paraId="1FDFC784" w14:textId="23DA8A13" w:rsidR="005A35CC" w:rsidRPr="002C7E7A" w:rsidRDefault="005A35CC" w:rsidP="005A35CC">
            <w:pPr>
              <w:rPr>
                <w:sz w:val="18"/>
                <w:szCs w:val="18"/>
              </w:rPr>
            </w:pPr>
            <w:r w:rsidRPr="002C7E7A">
              <w:rPr>
                <w:sz w:val="18"/>
                <w:szCs w:val="18"/>
              </w:rPr>
              <w:t> </w:t>
            </w:r>
          </w:p>
        </w:tc>
        <w:tc>
          <w:tcPr>
            <w:tcW w:w="756" w:type="pct"/>
          </w:tcPr>
          <w:p w14:paraId="40402BB4" w14:textId="77777777" w:rsidR="005A35CC" w:rsidRPr="002C7E7A" w:rsidRDefault="005A35CC" w:rsidP="005A35CC">
            <w:pPr>
              <w:rPr>
                <w:sz w:val="18"/>
                <w:szCs w:val="18"/>
              </w:rPr>
            </w:pPr>
          </w:p>
        </w:tc>
        <w:tc>
          <w:tcPr>
            <w:tcW w:w="802" w:type="pct"/>
            <w:hideMark/>
          </w:tcPr>
          <w:p w14:paraId="00DDD834" w14:textId="7C82C804" w:rsidR="005A35CC" w:rsidRPr="002C7E7A" w:rsidRDefault="005A35CC" w:rsidP="005A35CC">
            <w:pPr>
              <w:rPr>
                <w:sz w:val="18"/>
                <w:szCs w:val="18"/>
              </w:rPr>
            </w:pPr>
            <w:r w:rsidRPr="002C7E7A">
              <w:rPr>
                <w:sz w:val="18"/>
                <w:szCs w:val="18"/>
              </w:rPr>
              <w:t> </w:t>
            </w:r>
          </w:p>
        </w:tc>
      </w:tr>
      <w:tr w:rsidR="005A35CC" w:rsidRPr="002C7E7A" w14:paraId="13482F91" w14:textId="77777777" w:rsidTr="005B3A1D">
        <w:trPr>
          <w:trHeight w:val="300"/>
        </w:trPr>
        <w:tc>
          <w:tcPr>
            <w:tcW w:w="578" w:type="pct"/>
            <w:shd w:val="clear" w:color="auto" w:fill="FFFFFF"/>
          </w:tcPr>
          <w:p w14:paraId="6CED5B36" w14:textId="77777777" w:rsidR="005A35CC" w:rsidRDefault="005A35CC" w:rsidP="005A35CC">
            <w:pPr>
              <w:rPr>
                <w:i/>
                <w:iCs/>
                <w:sz w:val="18"/>
                <w:szCs w:val="18"/>
              </w:rPr>
            </w:pPr>
          </w:p>
        </w:tc>
        <w:tc>
          <w:tcPr>
            <w:tcW w:w="713" w:type="pct"/>
            <w:shd w:val="clear" w:color="auto" w:fill="FFFFFF"/>
          </w:tcPr>
          <w:p w14:paraId="0157B325" w14:textId="7FA80C50" w:rsidR="005A35CC" w:rsidRDefault="005A35CC" w:rsidP="005A35CC">
            <w:pPr>
              <w:rPr>
                <w:i/>
                <w:iCs/>
                <w:sz w:val="18"/>
                <w:szCs w:val="18"/>
              </w:rPr>
            </w:pPr>
          </w:p>
          <w:p w14:paraId="7F212463" w14:textId="77777777" w:rsidR="005A35CC" w:rsidRDefault="005A35CC" w:rsidP="005A35CC">
            <w:pPr>
              <w:rPr>
                <w:i/>
                <w:iCs/>
                <w:sz w:val="18"/>
                <w:szCs w:val="18"/>
              </w:rPr>
            </w:pPr>
          </w:p>
          <w:p w14:paraId="39DF5D3B" w14:textId="77777777" w:rsidR="005A35CC" w:rsidRDefault="005A35CC" w:rsidP="005A35CC">
            <w:pPr>
              <w:rPr>
                <w:i/>
                <w:iCs/>
                <w:sz w:val="18"/>
                <w:szCs w:val="18"/>
              </w:rPr>
            </w:pPr>
          </w:p>
          <w:p w14:paraId="259B319D" w14:textId="77777777" w:rsidR="005A35CC" w:rsidRPr="002C7E7A" w:rsidRDefault="005A35CC" w:rsidP="005A35CC">
            <w:pPr>
              <w:rPr>
                <w:i/>
                <w:iCs/>
                <w:sz w:val="18"/>
                <w:szCs w:val="18"/>
              </w:rPr>
            </w:pPr>
          </w:p>
        </w:tc>
        <w:tc>
          <w:tcPr>
            <w:tcW w:w="582" w:type="pct"/>
          </w:tcPr>
          <w:p w14:paraId="4DCB0D21" w14:textId="77777777" w:rsidR="005A35CC" w:rsidRPr="002C7E7A" w:rsidRDefault="005A35CC" w:rsidP="005A35CC">
            <w:pPr>
              <w:rPr>
                <w:sz w:val="18"/>
                <w:szCs w:val="18"/>
              </w:rPr>
            </w:pPr>
          </w:p>
        </w:tc>
        <w:tc>
          <w:tcPr>
            <w:tcW w:w="766" w:type="pct"/>
          </w:tcPr>
          <w:p w14:paraId="79D55AE1" w14:textId="77777777" w:rsidR="005A35CC" w:rsidRPr="002C7E7A" w:rsidRDefault="005A35CC" w:rsidP="005A35CC">
            <w:pPr>
              <w:rPr>
                <w:sz w:val="18"/>
                <w:szCs w:val="18"/>
              </w:rPr>
            </w:pPr>
          </w:p>
        </w:tc>
        <w:tc>
          <w:tcPr>
            <w:tcW w:w="802" w:type="pct"/>
          </w:tcPr>
          <w:p w14:paraId="01C39491" w14:textId="48DDA37A" w:rsidR="005A35CC" w:rsidRPr="002C7E7A" w:rsidRDefault="005A35CC" w:rsidP="005A35CC">
            <w:pPr>
              <w:rPr>
                <w:sz w:val="18"/>
                <w:szCs w:val="18"/>
              </w:rPr>
            </w:pPr>
          </w:p>
        </w:tc>
        <w:tc>
          <w:tcPr>
            <w:tcW w:w="756" w:type="pct"/>
          </w:tcPr>
          <w:p w14:paraId="28BC61E3" w14:textId="77777777" w:rsidR="005A35CC" w:rsidRPr="002C7E7A" w:rsidRDefault="005A35CC" w:rsidP="005A35CC">
            <w:pPr>
              <w:rPr>
                <w:sz w:val="18"/>
                <w:szCs w:val="18"/>
              </w:rPr>
            </w:pPr>
          </w:p>
        </w:tc>
        <w:tc>
          <w:tcPr>
            <w:tcW w:w="802" w:type="pct"/>
          </w:tcPr>
          <w:p w14:paraId="4557385E" w14:textId="5E66CC67" w:rsidR="005A35CC" w:rsidRPr="002C7E7A" w:rsidRDefault="005A35CC" w:rsidP="005A35CC">
            <w:pPr>
              <w:rPr>
                <w:sz w:val="18"/>
                <w:szCs w:val="18"/>
              </w:rPr>
            </w:pPr>
          </w:p>
        </w:tc>
      </w:tr>
    </w:tbl>
    <w:p w14:paraId="1F5AC7B1" w14:textId="77777777" w:rsidR="004C3E3D" w:rsidRPr="002C7E7A" w:rsidRDefault="004C3E3D" w:rsidP="004C3E3D">
      <w:r w:rsidRPr="002C7E7A">
        <w:t> </w:t>
      </w:r>
    </w:p>
    <w:p w14:paraId="78ABA61E" w14:textId="77777777" w:rsidR="001E3044" w:rsidRDefault="001E3044"/>
    <w:sectPr w:rsidR="001E3044" w:rsidSect="0064766D">
      <w:pgSz w:w="11900" w:h="16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59B40" w14:textId="77777777" w:rsidR="009029E2" w:rsidRDefault="009029E2" w:rsidP="000A6C9B">
      <w:r>
        <w:separator/>
      </w:r>
    </w:p>
  </w:endnote>
  <w:endnote w:type="continuationSeparator" w:id="0">
    <w:p w14:paraId="7C1B3C10" w14:textId="77777777" w:rsidR="009029E2" w:rsidRDefault="009029E2" w:rsidP="000A6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Light">
    <w:panose1 w:val="020B0604020202020204"/>
    <w:charset w:val="00"/>
    <w:family w:val="auto"/>
    <w:pitch w:val="variable"/>
    <w:sig w:usb0="E0000AFF" w:usb1="5000217F" w:usb2="00000021" w:usb3="00000000" w:csb0="0000019F" w:csb1="00000000"/>
  </w:font>
  <w:font w:name="Aptos Display">
    <w:panose1 w:val="020B06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B0604020202020204"/>
    <w:charset w:val="00"/>
    <w:family w:val="auto"/>
    <w:pitch w:val="variable"/>
    <w:sig w:usb0="E0000AFF" w:usb1="5000217F" w:usb2="00000021" w:usb3="00000000" w:csb0="0000019F" w:csb1="00000000"/>
  </w:font>
  <w:font w:name="Poppins">
    <w:panose1 w:val="00000500000000000000"/>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F8663" w14:textId="77777777" w:rsidR="009029E2" w:rsidRDefault="009029E2" w:rsidP="000A6C9B">
      <w:r>
        <w:separator/>
      </w:r>
    </w:p>
  </w:footnote>
  <w:footnote w:type="continuationSeparator" w:id="0">
    <w:p w14:paraId="1070B1AE" w14:textId="77777777" w:rsidR="009029E2" w:rsidRDefault="009029E2" w:rsidP="000A6C9B">
      <w:r>
        <w:continuationSeparator/>
      </w:r>
    </w:p>
  </w:footnote>
  <w:footnote w:id="1">
    <w:p w14:paraId="0D787DC4" w14:textId="66B346ED" w:rsidR="005B3A1D" w:rsidRPr="008E6632" w:rsidRDefault="005B3A1D" w:rsidP="005B3A1D">
      <w:pPr>
        <w:spacing w:after="240" w:line="300" w:lineRule="auto"/>
        <w:ind w:left="720" w:hanging="720"/>
        <w:rPr>
          <w:i/>
          <w:iCs/>
          <w:sz w:val="18"/>
          <w:szCs w:val="18"/>
        </w:rPr>
      </w:pPr>
      <w:r w:rsidRPr="008E6632">
        <w:rPr>
          <w:rStyle w:val="FootnoteReference"/>
          <w:i/>
          <w:iCs/>
          <w:sz w:val="18"/>
          <w:szCs w:val="18"/>
        </w:rPr>
        <w:footnoteRef/>
      </w:r>
      <w:r w:rsidRPr="008E6632">
        <w:rPr>
          <w:i/>
          <w:iCs/>
          <w:sz w:val="18"/>
          <w:szCs w:val="18"/>
        </w:rPr>
        <w:t xml:space="preserve"> A stakeholder for the purposes of an ACTwatch Lite study is any individual, group, entities, or entity that has an interest in, is affected by, or </w:t>
      </w:r>
      <w:proofErr w:type="gramStart"/>
      <w:r w:rsidRPr="008E6632">
        <w:rPr>
          <w:i/>
          <w:iCs/>
          <w:sz w:val="18"/>
          <w:szCs w:val="18"/>
        </w:rPr>
        <w:t>has the ability to</w:t>
      </w:r>
      <w:proofErr w:type="gramEnd"/>
      <w:r w:rsidRPr="008E6632">
        <w:rPr>
          <w:i/>
          <w:iCs/>
          <w:sz w:val="18"/>
          <w:szCs w:val="18"/>
        </w:rPr>
        <w:t xml:space="preserve"> influence private sector malaria case management, surveillance, or policy decisions related to the ACTwatch Lite study. This includes those directly involved in the implementation, those who use or benefit from the data, and those who can act on the findings to improve malaria control. In countries with decentralized or devolved health systems, consider conducting stakeholder mapping by administrative level (e.g., national, state, district). This helps ensure relevant engagement and data use at each level of implementation.</w:t>
      </w:r>
    </w:p>
  </w:footnote>
  <w:footnote w:id="2">
    <w:p w14:paraId="56A37574" w14:textId="77777777" w:rsidR="005B3A1D" w:rsidRPr="008E6632" w:rsidRDefault="005B3A1D" w:rsidP="005B3A1D">
      <w:pPr>
        <w:pStyle w:val="FootnoteText"/>
        <w:spacing w:after="240" w:line="300" w:lineRule="auto"/>
        <w:ind w:left="720" w:hanging="720"/>
        <w:rPr>
          <w:i/>
          <w:iCs/>
          <w:sz w:val="18"/>
          <w:szCs w:val="18"/>
        </w:rPr>
      </w:pPr>
      <w:r w:rsidRPr="008E6632">
        <w:rPr>
          <w:rStyle w:val="FootnoteReference"/>
          <w:i/>
          <w:iCs/>
          <w:sz w:val="18"/>
          <w:szCs w:val="18"/>
        </w:rPr>
        <w:footnoteRef/>
      </w:r>
      <w:r w:rsidRPr="008E6632">
        <w:rPr>
          <w:i/>
          <w:iCs/>
          <w:sz w:val="18"/>
          <w:szCs w:val="18"/>
        </w:rPr>
        <w:t xml:space="preserve"> WHO Stakeholder Mapping Guide: </w:t>
      </w:r>
      <w:hyperlink r:id="rId1" w:history="1">
        <w:r w:rsidRPr="008E6632">
          <w:rPr>
            <w:rStyle w:val="Hyperlink"/>
            <w:i/>
            <w:iCs/>
            <w:sz w:val="18"/>
            <w:szCs w:val="18"/>
          </w:rPr>
          <w:t>stakeholder-mapping-tool.pdf</w:t>
        </w:r>
      </w:hyperlink>
      <w:r w:rsidRPr="008E6632">
        <w:rPr>
          <w:i/>
          <w:iCs/>
          <w:sz w:val="18"/>
          <w:szCs w:val="18"/>
        </w:rPr>
        <w:t xml:space="preserve"> </w:t>
      </w:r>
    </w:p>
  </w:footnote>
  <w:footnote w:id="3">
    <w:p w14:paraId="3A0CFB5F" w14:textId="77777777" w:rsidR="006E5A6F" w:rsidRDefault="006E5A6F" w:rsidP="005B3A1D">
      <w:pPr>
        <w:pStyle w:val="FootnoteText"/>
        <w:spacing w:after="240" w:line="300" w:lineRule="auto"/>
        <w:ind w:left="720" w:hanging="720"/>
      </w:pPr>
      <w:r w:rsidRPr="008E6632">
        <w:rPr>
          <w:rStyle w:val="FootnoteReference"/>
          <w:i/>
          <w:iCs/>
          <w:sz w:val="18"/>
          <w:szCs w:val="18"/>
        </w:rPr>
        <w:footnoteRef/>
      </w:r>
      <w:r w:rsidRPr="008E6632">
        <w:rPr>
          <w:i/>
          <w:iCs/>
          <w:sz w:val="18"/>
          <w:szCs w:val="18"/>
        </w:rPr>
        <w:t xml:space="preserve"> Teams should update the mapping tool regularly as new actors are identified or stakeholder roles evolve throughout the study. Save updated versions with the date in the filename (e.g., Stakeholder_Mapping_YYYYMMDD.xlsx) to ensure a clear version history.</w:t>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066F1"/>
    <w:multiLevelType w:val="multilevel"/>
    <w:tmpl w:val="0174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A183B"/>
    <w:multiLevelType w:val="multilevel"/>
    <w:tmpl w:val="8944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C5497"/>
    <w:multiLevelType w:val="multilevel"/>
    <w:tmpl w:val="E6A4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43D5F"/>
    <w:multiLevelType w:val="multilevel"/>
    <w:tmpl w:val="51688B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BF74FD"/>
    <w:multiLevelType w:val="multilevel"/>
    <w:tmpl w:val="A50E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0A6BEA"/>
    <w:multiLevelType w:val="multilevel"/>
    <w:tmpl w:val="667E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AA60EF"/>
    <w:multiLevelType w:val="multilevel"/>
    <w:tmpl w:val="FDE4A9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76315"/>
    <w:multiLevelType w:val="multilevel"/>
    <w:tmpl w:val="AD1A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1D6E3E"/>
    <w:multiLevelType w:val="multilevel"/>
    <w:tmpl w:val="1314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000484"/>
    <w:multiLevelType w:val="multilevel"/>
    <w:tmpl w:val="D3CA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67E50"/>
    <w:multiLevelType w:val="multilevel"/>
    <w:tmpl w:val="0E00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EA735D"/>
    <w:multiLevelType w:val="hybridMultilevel"/>
    <w:tmpl w:val="69ECE62A"/>
    <w:lvl w:ilvl="0" w:tplc="87148D16">
      <w:start w:val="1"/>
      <w:numFmt w:val="decimal"/>
      <w:lvlText w:val="APPENDIX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9445FBA"/>
    <w:multiLevelType w:val="multilevel"/>
    <w:tmpl w:val="56F0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DA7FFA"/>
    <w:multiLevelType w:val="multilevel"/>
    <w:tmpl w:val="D904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B821D0"/>
    <w:multiLevelType w:val="multilevel"/>
    <w:tmpl w:val="9C1C88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DE7BA7"/>
    <w:multiLevelType w:val="multilevel"/>
    <w:tmpl w:val="FF98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3F7624"/>
    <w:multiLevelType w:val="multilevel"/>
    <w:tmpl w:val="3924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B94FB6"/>
    <w:multiLevelType w:val="multilevel"/>
    <w:tmpl w:val="7BB6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4290144">
    <w:abstractNumId w:val="4"/>
  </w:num>
  <w:num w:numId="2" w16cid:durableId="1754735729">
    <w:abstractNumId w:val="15"/>
  </w:num>
  <w:num w:numId="3" w16cid:durableId="1107316026">
    <w:abstractNumId w:val="8"/>
  </w:num>
  <w:num w:numId="4" w16cid:durableId="107047709">
    <w:abstractNumId w:val="1"/>
  </w:num>
  <w:num w:numId="5" w16cid:durableId="1314021318">
    <w:abstractNumId w:val="12"/>
  </w:num>
  <w:num w:numId="6" w16cid:durableId="139469600">
    <w:abstractNumId w:val="10"/>
  </w:num>
  <w:num w:numId="7" w16cid:durableId="1678388041">
    <w:abstractNumId w:val="7"/>
  </w:num>
  <w:num w:numId="8" w16cid:durableId="1855144535">
    <w:abstractNumId w:val="6"/>
  </w:num>
  <w:num w:numId="9" w16cid:durableId="131295576">
    <w:abstractNumId w:val="2"/>
  </w:num>
  <w:num w:numId="10" w16cid:durableId="1325622689">
    <w:abstractNumId w:val="0"/>
  </w:num>
  <w:num w:numId="11" w16cid:durableId="1095639518">
    <w:abstractNumId w:val="13"/>
  </w:num>
  <w:num w:numId="12" w16cid:durableId="114176187">
    <w:abstractNumId w:val="3"/>
  </w:num>
  <w:num w:numId="13" w16cid:durableId="1061513513">
    <w:abstractNumId w:val="17"/>
  </w:num>
  <w:num w:numId="14" w16cid:durableId="972757789">
    <w:abstractNumId w:val="16"/>
  </w:num>
  <w:num w:numId="15" w16cid:durableId="548615671">
    <w:abstractNumId w:val="14"/>
  </w:num>
  <w:num w:numId="16" w16cid:durableId="1055933757">
    <w:abstractNumId w:val="5"/>
  </w:num>
  <w:num w:numId="17" w16cid:durableId="2072148485">
    <w:abstractNumId w:val="11"/>
  </w:num>
  <w:num w:numId="18" w16cid:durableId="17612942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3D"/>
    <w:rsid w:val="00000F01"/>
    <w:rsid w:val="00001379"/>
    <w:rsid w:val="0004174B"/>
    <w:rsid w:val="00043727"/>
    <w:rsid w:val="0005592A"/>
    <w:rsid w:val="00076D4A"/>
    <w:rsid w:val="000A6C9B"/>
    <w:rsid w:val="000F55E0"/>
    <w:rsid w:val="00116089"/>
    <w:rsid w:val="00120174"/>
    <w:rsid w:val="00134659"/>
    <w:rsid w:val="00145B10"/>
    <w:rsid w:val="0019450F"/>
    <w:rsid w:val="00196C78"/>
    <w:rsid w:val="001C2065"/>
    <w:rsid w:val="001C415C"/>
    <w:rsid w:val="001E3044"/>
    <w:rsid w:val="001E38F9"/>
    <w:rsid w:val="002057A1"/>
    <w:rsid w:val="00243359"/>
    <w:rsid w:val="00256F4A"/>
    <w:rsid w:val="00265102"/>
    <w:rsid w:val="00295A0B"/>
    <w:rsid w:val="0029652F"/>
    <w:rsid w:val="00326D74"/>
    <w:rsid w:val="00345B75"/>
    <w:rsid w:val="00354672"/>
    <w:rsid w:val="003B31CD"/>
    <w:rsid w:val="003C528D"/>
    <w:rsid w:val="003D2293"/>
    <w:rsid w:val="0041655C"/>
    <w:rsid w:val="00460870"/>
    <w:rsid w:val="004762DF"/>
    <w:rsid w:val="004A4AEC"/>
    <w:rsid w:val="004A7B98"/>
    <w:rsid w:val="004C3E3D"/>
    <w:rsid w:val="004D55CA"/>
    <w:rsid w:val="00502807"/>
    <w:rsid w:val="00514FC2"/>
    <w:rsid w:val="0052095D"/>
    <w:rsid w:val="005316A6"/>
    <w:rsid w:val="00536200"/>
    <w:rsid w:val="00547BCC"/>
    <w:rsid w:val="00550D27"/>
    <w:rsid w:val="00564DFC"/>
    <w:rsid w:val="00574E88"/>
    <w:rsid w:val="00586274"/>
    <w:rsid w:val="005874C2"/>
    <w:rsid w:val="005A35CC"/>
    <w:rsid w:val="005B1BD9"/>
    <w:rsid w:val="005B3A1D"/>
    <w:rsid w:val="005D42F3"/>
    <w:rsid w:val="005E284C"/>
    <w:rsid w:val="00623C5B"/>
    <w:rsid w:val="006404A8"/>
    <w:rsid w:val="00645BFB"/>
    <w:rsid w:val="0064766D"/>
    <w:rsid w:val="00653D6D"/>
    <w:rsid w:val="00674622"/>
    <w:rsid w:val="006C1F2B"/>
    <w:rsid w:val="006D2459"/>
    <w:rsid w:val="006E5A6F"/>
    <w:rsid w:val="00707670"/>
    <w:rsid w:val="0072733C"/>
    <w:rsid w:val="0074248C"/>
    <w:rsid w:val="00743D0A"/>
    <w:rsid w:val="0074458D"/>
    <w:rsid w:val="00757491"/>
    <w:rsid w:val="007845AB"/>
    <w:rsid w:val="00794145"/>
    <w:rsid w:val="007B5F46"/>
    <w:rsid w:val="007C50E9"/>
    <w:rsid w:val="00840216"/>
    <w:rsid w:val="00841016"/>
    <w:rsid w:val="008412CF"/>
    <w:rsid w:val="008803DB"/>
    <w:rsid w:val="00886D24"/>
    <w:rsid w:val="008A085B"/>
    <w:rsid w:val="008C4A1C"/>
    <w:rsid w:val="008E6632"/>
    <w:rsid w:val="009029E2"/>
    <w:rsid w:val="0094590E"/>
    <w:rsid w:val="00954457"/>
    <w:rsid w:val="009A6FE4"/>
    <w:rsid w:val="009B4360"/>
    <w:rsid w:val="009C3E36"/>
    <w:rsid w:val="00A06D93"/>
    <w:rsid w:val="00A43E99"/>
    <w:rsid w:val="00A92A0C"/>
    <w:rsid w:val="00A96A78"/>
    <w:rsid w:val="00B16B7E"/>
    <w:rsid w:val="00B175A9"/>
    <w:rsid w:val="00B22D46"/>
    <w:rsid w:val="00B41E23"/>
    <w:rsid w:val="00B84A7E"/>
    <w:rsid w:val="00C22311"/>
    <w:rsid w:val="00C840DE"/>
    <w:rsid w:val="00CA5C55"/>
    <w:rsid w:val="00CB4E89"/>
    <w:rsid w:val="00CC06B0"/>
    <w:rsid w:val="00CD6714"/>
    <w:rsid w:val="00CE1ECA"/>
    <w:rsid w:val="00CF66E4"/>
    <w:rsid w:val="00D100D7"/>
    <w:rsid w:val="00D23C1E"/>
    <w:rsid w:val="00D27723"/>
    <w:rsid w:val="00D3733F"/>
    <w:rsid w:val="00D707AD"/>
    <w:rsid w:val="00D868C0"/>
    <w:rsid w:val="00DB1E4A"/>
    <w:rsid w:val="00DB6CC5"/>
    <w:rsid w:val="00DE0C03"/>
    <w:rsid w:val="00DE473C"/>
    <w:rsid w:val="00E45AE4"/>
    <w:rsid w:val="00E60E4D"/>
    <w:rsid w:val="00E77EA6"/>
    <w:rsid w:val="00ED6F45"/>
    <w:rsid w:val="00ED72F0"/>
    <w:rsid w:val="00ED7F98"/>
    <w:rsid w:val="00F13910"/>
    <w:rsid w:val="00F16EE6"/>
    <w:rsid w:val="00F2670A"/>
    <w:rsid w:val="00F521F1"/>
    <w:rsid w:val="00F722B9"/>
    <w:rsid w:val="00F87ACE"/>
    <w:rsid w:val="00F943EB"/>
    <w:rsid w:val="00FB5B87"/>
    <w:rsid w:val="00FB664A"/>
    <w:rsid w:val="1521DC40"/>
    <w:rsid w:val="20A05CA0"/>
    <w:rsid w:val="36B0C7AA"/>
    <w:rsid w:val="46CFB8BB"/>
    <w:rsid w:val="48A50427"/>
    <w:rsid w:val="49D4662F"/>
    <w:rsid w:val="51F16D04"/>
    <w:rsid w:val="5753B93F"/>
    <w:rsid w:val="677C2E2F"/>
    <w:rsid w:val="6E684C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C539"/>
  <w14:defaultImageDpi w14:val="32767"/>
  <w15:chartTrackingRefBased/>
  <w15:docId w15:val="{4AE8343E-C47B-4877-908E-166C3F61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heading0"/>
    <w:qFormat/>
    <w:rsid w:val="004C3E3D"/>
    <w:rPr>
      <w:rFonts w:ascii="Roboto Light" w:hAnsi="Roboto Light"/>
      <w:lang w:val="en-US"/>
    </w:rPr>
  </w:style>
  <w:style w:type="paragraph" w:styleId="Heading1">
    <w:name w:val="heading 1"/>
    <w:basedOn w:val="Normal"/>
    <w:next w:val="Normal"/>
    <w:link w:val="Heading1Char"/>
    <w:uiPriority w:val="9"/>
    <w:qFormat/>
    <w:rsid w:val="004C3E3D"/>
    <w:pPr>
      <w:keepNext/>
      <w:keepLines/>
      <w:spacing w:before="360" w:after="80"/>
      <w:outlineLvl w:val="0"/>
    </w:pPr>
    <w:rPr>
      <w:rFonts w:asciiTheme="majorHAnsi" w:eastAsiaTheme="majorEastAsia" w:hAnsiTheme="majorHAnsi" w:cstheme="majorBidi"/>
      <w:color w:val="0083B3" w:themeColor="accent1" w:themeShade="BF"/>
      <w:sz w:val="40"/>
      <w:szCs w:val="40"/>
    </w:rPr>
  </w:style>
  <w:style w:type="paragraph" w:styleId="Heading2">
    <w:name w:val="heading 2"/>
    <w:basedOn w:val="Normal"/>
    <w:next w:val="Normal"/>
    <w:link w:val="Heading2Char"/>
    <w:unhideWhenUsed/>
    <w:qFormat/>
    <w:rsid w:val="004C3E3D"/>
    <w:pPr>
      <w:keepNext/>
      <w:keepLines/>
      <w:spacing w:before="160" w:after="80"/>
      <w:outlineLvl w:val="1"/>
    </w:pPr>
    <w:rPr>
      <w:rFonts w:asciiTheme="majorHAnsi" w:eastAsiaTheme="majorEastAsia" w:hAnsiTheme="majorHAnsi" w:cstheme="majorBidi"/>
      <w:color w:val="0083B3" w:themeColor="accent1" w:themeShade="BF"/>
      <w:sz w:val="32"/>
      <w:szCs w:val="32"/>
    </w:rPr>
  </w:style>
  <w:style w:type="paragraph" w:styleId="Heading3">
    <w:name w:val="heading 3"/>
    <w:basedOn w:val="Normal"/>
    <w:next w:val="Normal"/>
    <w:link w:val="Heading3Char"/>
    <w:uiPriority w:val="9"/>
    <w:semiHidden/>
    <w:unhideWhenUsed/>
    <w:qFormat/>
    <w:rsid w:val="004C3E3D"/>
    <w:pPr>
      <w:keepNext/>
      <w:keepLines/>
      <w:spacing w:before="160" w:after="80"/>
      <w:outlineLvl w:val="2"/>
    </w:pPr>
    <w:rPr>
      <w:rFonts w:eastAsiaTheme="majorEastAsia" w:cstheme="majorBidi"/>
      <w:color w:val="0083B3" w:themeColor="accent1" w:themeShade="BF"/>
      <w:sz w:val="28"/>
      <w:szCs w:val="28"/>
    </w:rPr>
  </w:style>
  <w:style w:type="paragraph" w:styleId="Heading4">
    <w:name w:val="heading 4"/>
    <w:basedOn w:val="Normal"/>
    <w:next w:val="Normal"/>
    <w:link w:val="Heading4Char"/>
    <w:uiPriority w:val="9"/>
    <w:semiHidden/>
    <w:unhideWhenUsed/>
    <w:qFormat/>
    <w:rsid w:val="004C3E3D"/>
    <w:pPr>
      <w:keepNext/>
      <w:keepLines/>
      <w:spacing w:before="80" w:after="40"/>
      <w:outlineLvl w:val="3"/>
    </w:pPr>
    <w:rPr>
      <w:rFonts w:eastAsiaTheme="majorEastAsia" w:cstheme="majorBidi"/>
      <w:i/>
      <w:iCs/>
      <w:color w:val="0083B3" w:themeColor="accent1" w:themeShade="BF"/>
    </w:rPr>
  </w:style>
  <w:style w:type="paragraph" w:styleId="Heading5">
    <w:name w:val="heading 5"/>
    <w:basedOn w:val="Normal"/>
    <w:next w:val="Normal"/>
    <w:link w:val="Heading5Char"/>
    <w:uiPriority w:val="9"/>
    <w:semiHidden/>
    <w:unhideWhenUsed/>
    <w:qFormat/>
    <w:rsid w:val="004C3E3D"/>
    <w:pPr>
      <w:keepNext/>
      <w:keepLines/>
      <w:spacing w:before="80" w:after="40"/>
      <w:outlineLvl w:val="4"/>
    </w:pPr>
    <w:rPr>
      <w:rFonts w:eastAsiaTheme="majorEastAsia" w:cstheme="majorBidi"/>
      <w:color w:val="0083B3" w:themeColor="accent1" w:themeShade="BF"/>
    </w:rPr>
  </w:style>
  <w:style w:type="paragraph" w:styleId="Heading6">
    <w:name w:val="heading 6"/>
    <w:basedOn w:val="Normal"/>
    <w:next w:val="Normal"/>
    <w:link w:val="Heading6Char"/>
    <w:uiPriority w:val="9"/>
    <w:semiHidden/>
    <w:unhideWhenUsed/>
    <w:qFormat/>
    <w:rsid w:val="004C3E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E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E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E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verticals">
    <w:name w:val="Table no verticals"/>
    <w:basedOn w:val="TableNormal"/>
    <w:uiPriority w:val="99"/>
    <w:rsid w:val="00ED7F98"/>
    <w:rPr>
      <w:sz w:val="22"/>
      <w:szCs w:val="22"/>
      <w:lang w:val="en-US"/>
    </w:rPr>
    <w:tblPr/>
  </w:style>
  <w:style w:type="character" w:customStyle="1" w:styleId="Heading1Char">
    <w:name w:val="Heading 1 Char"/>
    <w:basedOn w:val="DefaultParagraphFont"/>
    <w:link w:val="Heading1"/>
    <w:uiPriority w:val="9"/>
    <w:rsid w:val="004C3E3D"/>
    <w:rPr>
      <w:rFonts w:asciiTheme="majorHAnsi" w:eastAsiaTheme="majorEastAsia" w:hAnsiTheme="majorHAnsi" w:cstheme="majorBidi"/>
      <w:color w:val="0083B3" w:themeColor="accent1" w:themeShade="BF"/>
      <w:sz w:val="40"/>
      <w:szCs w:val="40"/>
      <w:lang w:val="fr-FR"/>
    </w:rPr>
  </w:style>
  <w:style w:type="character" w:customStyle="1" w:styleId="Heading2Char">
    <w:name w:val="Heading 2 Char"/>
    <w:basedOn w:val="DefaultParagraphFont"/>
    <w:link w:val="Heading2"/>
    <w:rsid w:val="004C3E3D"/>
    <w:rPr>
      <w:rFonts w:asciiTheme="majorHAnsi" w:eastAsiaTheme="majorEastAsia" w:hAnsiTheme="majorHAnsi" w:cstheme="majorBidi"/>
      <w:color w:val="0083B3" w:themeColor="accent1" w:themeShade="BF"/>
      <w:sz w:val="32"/>
      <w:szCs w:val="32"/>
      <w:lang w:val="fr-FR"/>
    </w:rPr>
  </w:style>
  <w:style w:type="character" w:customStyle="1" w:styleId="Heading3Char">
    <w:name w:val="Heading 3 Char"/>
    <w:basedOn w:val="DefaultParagraphFont"/>
    <w:link w:val="Heading3"/>
    <w:uiPriority w:val="9"/>
    <w:semiHidden/>
    <w:rsid w:val="004C3E3D"/>
    <w:rPr>
      <w:rFonts w:eastAsiaTheme="majorEastAsia" w:cstheme="majorBidi"/>
      <w:color w:val="0083B3" w:themeColor="accent1" w:themeShade="BF"/>
      <w:sz w:val="28"/>
      <w:szCs w:val="28"/>
      <w:lang w:val="fr-FR"/>
    </w:rPr>
  </w:style>
  <w:style w:type="character" w:customStyle="1" w:styleId="Heading4Char">
    <w:name w:val="Heading 4 Char"/>
    <w:basedOn w:val="DefaultParagraphFont"/>
    <w:link w:val="Heading4"/>
    <w:uiPriority w:val="9"/>
    <w:semiHidden/>
    <w:rsid w:val="004C3E3D"/>
    <w:rPr>
      <w:rFonts w:eastAsiaTheme="majorEastAsia" w:cstheme="majorBidi"/>
      <w:i/>
      <w:iCs/>
      <w:color w:val="0083B3" w:themeColor="accent1" w:themeShade="BF"/>
      <w:lang w:val="fr-FR"/>
    </w:rPr>
  </w:style>
  <w:style w:type="character" w:customStyle="1" w:styleId="Heading5Char">
    <w:name w:val="Heading 5 Char"/>
    <w:basedOn w:val="DefaultParagraphFont"/>
    <w:link w:val="Heading5"/>
    <w:uiPriority w:val="9"/>
    <w:semiHidden/>
    <w:rsid w:val="004C3E3D"/>
    <w:rPr>
      <w:rFonts w:eastAsiaTheme="majorEastAsia" w:cstheme="majorBidi"/>
      <w:color w:val="0083B3" w:themeColor="accent1" w:themeShade="BF"/>
      <w:lang w:val="fr-FR"/>
    </w:rPr>
  </w:style>
  <w:style w:type="character" w:customStyle="1" w:styleId="Heading6Char">
    <w:name w:val="Heading 6 Char"/>
    <w:basedOn w:val="DefaultParagraphFont"/>
    <w:link w:val="Heading6"/>
    <w:uiPriority w:val="9"/>
    <w:semiHidden/>
    <w:rsid w:val="004C3E3D"/>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4C3E3D"/>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4C3E3D"/>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4C3E3D"/>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4C3E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E3D"/>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4C3E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E3D"/>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4C3E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3E3D"/>
    <w:rPr>
      <w:i/>
      <w:iCs/>
      <w:color w:val="404040" w:themeColor="text1" w:themeTint="BF"/>
      <w:lang w:val="fr-FR"/>
    </w:rPr>
  </w:style>
  <w:style w:type="paragraph" w:styleId="ListParagraph">
    <w:name w:val="List Paragraph"/>
    <w:basedOn w:val="Normal"/>
    <w:uiPriority w:val="34"/>
    <w:qFormat/>
    <w:rsid w:val="004C3E3D"/>
    <w:pPr>
      <w:ind w:left="720"/>
      <w:contextualSpacing/>
    </w:pPr>
  </w:style>
  <w:style w:type="character" w:styleId="IntenseEmphasis">
    <w:name w:val="Intense Emphasis"/>
    <w:basedOn w:val="DefaultParagraphFont"/>
    <w:uiPriority w:val="21"/>
    <w:qFormat/>
    <w:rsid w:val="004C3E3D"/>
    <w:rPr>
      <w:i/>
      <w:iCs/>
      <w:color w:val="0083B3" w:themeColor="accent1" w:themeShade="BF"/>
    </w:rPr>
  </w:style>
  <w:style w:type="paragraph" w:styleId="IntenseQuote">
    <w:name w:val="Intense Quote"/>
    <w:basedOn w:val="Normal"/>
    <w:next w:val="Normal"/>
    <w:link w:val="IntenseQuoteChar"/>
    <w:uiPriority w:val="30"/>
    <w:qFormat/>
    <w:rsid w:val="004C3E3D"/>
    <w:pPr>
      <w:pBdr>
        <w:top w:val="single" w:sz="4" w:space="10" w:color="0083B3" w:themeColor="accent1" w:themeShade="BF"/>
        <w:bottom w:val="single" w:sz="4" w:space="10" w:color="0083B3" w:themeColor="accent1" w:themeShade="BF"/>
      </w:pBdr>
      <w:spacing w:before="360" w:after="360"/>
      <w:ind w:left="864" w:right="864"/>
      <w:jc w:val="center"/>
    </w:pPr>
    <w:rPr>
      <w:i/>
      <w:iCs/>
      <w:color w:val="0083B3" w:themeColor="accent1" w:themeShade="BF"/>
    </w:rPr>
  </w:style>
  <w:style w:type="character" w:customStyle="1" w:styleId="IntenseQuoteChar">
    <w:name w:val="Intense Quote Char"/>
    <w:basedOn w:val="DefaultParagraphFont"/>
    <w:link w:val="IntenseQuote"/>
    <w:uiPriority w:val="30"/>
    <w:rsid w:val="004C3E3D"/>
    <w:rPr>
      <w:i/>
      <w:iCs/>
      <w:color w:val="0083B3" w:themeColor="accent1" w:themeShade="BF"/>
      <w:lang w:val="fr-FR"/>
    </w:rPr>
  </w:style>
  <w:style w:type="character" w:styleId="IntenseReference">
    <w:name w:val="Intense Reference"/>
    <w:basedOn w:val="DefaultParagraphFont"/>
    <w:uiPriority w:val="32"/>
    <w:qFormat/>
    <w:rsid w:val="004C3E3D"/>
    <w:rPr>
      <w:b/>
      <w:bCs/>
      <w:smallCaps/>
      <w:color w:val="0083B3" w:themeColor="accent1" w:themeShade="BF"/>
      <w:spacing w:val="5"/>
    </w:rPr>
  </w:style>
  <w:style w:type="paragraph" w:customStyle="1" w:styleId="Heading3Calibri">
    <w:name w:val="Heading 3 +Calibri"/>
    <w:basedOn w:val="Heading3"/>
    <w:link w:val="Heading3CalibriChar"/>
    <w:qFormat/>
    <w:rsid w:val="004C3E3D"/>
    <w:pPr>
      <w:keepLines w:val="0"/>
      <w:widowControl w:val="0"/>
      <w:tabs>
        <w:tab w:val="num" w:pos="720"/>
      </w:tabs>
      <w:adjustRightInd w:val="0"/>
      <w:spacing w:before="60" w:after="60"/>
      <w:jc w:val="both"/>
      <w:textAlignment w:val="baseline"/>
    </w:pPr>
    <w:rPr>
      <w:rFonts w:ascii="Roboto" w:hAnsi="Roboto" w:cs="Times New Roman"/>
      <w:b/>
      <w:color w:val="FF3399" w:themeColor="accent6"/>
      <w:kern w:val="0"/>
      <w:sz w:val="22"/>
      <w:szCs w:val="26"/>
      <w:lang w:eastAsia="en-US"/>
      <w14:ligatures w14:val="none"/>
    </w:rPr>
  </w:style>
  <w:style w:type="character" w:customStyle="1" w:styleId="Heading3CalibriChar">
    <w:name w:val="Heading 3 +Calibri Char"/>
    <w:basedOn w:val="Heading3Char"/>
    <w:link w:val="Heading3Calibri"/>
    <w:rsid w:val="004C3E3D"/>
    <w:rPr>
      <w:rFonts w:ascii="Roboto" w:eastAsiaTheme="majorEastAsia" w:hAnsi="Roboto" w:cs="Times New Roman"/>
      <w:b/>
      <w:color w:val="FF3399" w:themeColor="accent6"/>
      <w:kern w:val="0"/>
      <w:sz w:val="22"/>
      <w:szCs w:val="26"/>
      <w:lang w:val="en-US" w:eastAsia="en-US"/>
      <w14:ligatures w14:val="none"/>
    </w:rPr>
  </w:style>
  <w:style w:type="paragraph" w:styleId="NoSpacing">
    <w:name w:val="No Spacing"/>
    <w:uiPriority w:val="1"/>
    <w:qFormat/>
    <w:rsid w:val="00256F4A"/>
    <w:rPr>
      <w:rFonts w:ascii="Roboto Light" w:hAnsi="Roboto Light"/>
      <w:lang w:val="en-US"/>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Roboto Light" w:hAnsi="Roboto Light"/>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1E38F9"/>
    <w:rPr>
      <w:rFonts w:ascii="Roboto Light" w:hAnsi="Roboto Light"/>
      <w:lang w:val="en-US"/>
    </w:rPr>
  </w:style>
  <w:style w:type="paragraph" w:styleId="NormalWeb">
    <w:name w:val="Normal (Web)"/>
    <w:basedOn w:val="Normal"/>
    <w:uiPriority w:val="99"/>
    <w:semiHidden/>
    <w:unhideWhenUsed/>
    <w:rsid w:val="005E284C"/>
    <w:rPr>
      <w:rFonts w:ascii="Times New Roman" w:hAnsi="Times New Roman" w:cs="Times New Roman"/>
    </w:rPr>
  </w:style>
  <w:style w:type="paragraph" w:styleId="FootnoteText">
    <w:name w:val="footnote text"/>
    <w:basedOn w:val="Normal"/>
    <w:link w:val="FootnoteTextChar"/>
    <w:uiPriority w:val="99"/>
    <w:semiHidden/>
    <w:unhideWhenUsed/>
    <w:rsid w:val="000A6C9B"/>
    <w:rPr>
      <w:sz w:val="20"/>
      <w:szCs w:val="20"/>
    </w:rPr>
  </w:style>
  <w:style w:type="character" w:customStyle="1" w:styleId="FootnoteTextChar">
    <w:name w:val="Footnote Text Char"/>
    <w:basedOn w:val="DefaultParagraphFont"/>
    <w:link w:val="FootnoteText"/>
    <w:uiPriority w:val="99"/>
    <w:semiHidden/>
    <w:rsid w:val="000A6C9B"/>
    <w:rPr>
      <w:rFonts w:ascii="Roboto Light" w:hAnsi="Roboto Light"/>
      <w:sz w:val="20"/>
      <w:szCs w:val="20"/>
      <w:lang w:val="en-US"/>
    </w:rPr>
  </w:style>
  <w:style w:type="character" w:styleId="FootnoteReference">
    <w:name w:val="footnote reference"/>
    <w:basedOn w:val="DefaultParagraphFont"/>
    <w:uiPriority w:val="99"/>
    <w:semiHidden/>
    <w:unhideWhenUsed/>
    <w:rsid w:val="000A6C9B"/>
    <w:rPr>
      <w:vertAlign w:val="superscript"/>
    </w:rPr>
  </w:style>
  <w:style w:type="paragraph" w:styleId="CommentSubject">
    <w:name w:val="annotation subject"/>
    <w:basedOn w:val="CommentText"/>
    <w:next w:val="CommentText"/>
    <w:link w:val="CommentSubjectChar"/>
    <w:uiPriority w:val="99"/>
    <w:semiHidden/>
    <w:unhideWhenUsed/>
    <w:rsid w:val="004762DF"/>
    <w:rPr>
      <w:b/>
      <w:bCs/>
    </w:rPr>
  </w:style>
  <w:style w:type="character" w:customStyle="1" w:styleId="CommentSubjectChar">
    <w:name w:val="Comment Subject Char"/>
    <w:basedOn w:val="CommentTextChar"/>
    <w:link w:val="CommentSubject"/>
    <w:uiPriority w:val="99"/>
    <w:semiHidden/>
    <w:rsid w:val="004762DF"/>
    <w:rPr>
      <w:rFonts w:ascii="Roboto Light" w:hAnsi="Roboto Light"/>
      <w:b/>
      <w:bCs/>
      <w:sz w:val="20"/>
      <w:szCs w:val="20"/>
      <w:lang w:val="en-US"/>
    </w:rPr>
  </w:style>
  <w:style w:type="character" w:styleId="Hyperlink">
    <w:name w:val="Hyperlink"/>
    <w:basedOn w:val="DefaultParagraphFont"/>
    <w:uiPriority w:val="99"/>
    <w:unhideWhenUsed/>
    <w:rsid w:val="00E77EA6"/>
    <w:rPr>
      <w:color w:val="467886" w:themeColor="hyperlink"/>
      <w:u w:val="single"/>
    </w:rPr>
  </w:style>
  <w:style w:type="character" w:styleId="UnresolvedMention">
    <w:name w:val="Unresolved Mention"/>
    <w:basedOn w:val="DefaultParagraphFont"/>
    <w:uiPriority w:val="99"/>
    <w:rsid w:val="00E77EA6"/>
    <w:rPr>
      <w:color w:val="605E5C"/>
      <w:shd w:val="clear" w:color="auto" w:fill="E1DFDD"/>
    </w:rPr>
  </w:style>
  <w:style w:type="paragraph" w:styleId="Header">
    <w:name w:val="header"/>
    <w:basedOn w:val="Normal"/>
    <w:link w:val="HeaderChar"/>
    <w:uiPriority w:val="99"/>
    <w:semiHidden/>
    <w:unhideWhenUsed/>
    <w:rsid w:val="007C50E9"/>
    <w:pPr>
      <w:tabs>
        <w:tab w:val="center" w:pos="4680"/>
        <w:tab w:val="right" w:pos="9360"/>
      </w:tabs>
    </w:pPr>
  </w:style>
  <w:style w:type="character" w:customStyle="1" w:styleId="HeaderChar">
    <w:name w:val="Header Char"/>
    <w:basedOn w:val="DefaultParagraphFont"/>
    <w:link w:val="Header"/>
    <w:uiPriority w:val="99"/>
    <w:semiHidden/>
    <w:rsid w:val="007C50E9"/>
    <w:rPr>
      <w:rFonts w:ascii="Roboto Light" w:hAnsi="Roboto Light"/>
      <w:lang w:val="en-US"/>
    </w:rPr>
  </w:style>
  <w:style w:type="paragraph" w:styleId="Footer">
    <w:name w:val="footer"/>
    <w:basedOn w:val="Normal"/>
    <w:link w:val="FooterChar"/>
    <w:uiPriority w:val="99"/>
    <w:semiHidden/>
    <w:unhideWhenUsed/>
    <w:rsid w:val="007C50E9"/>
    <w:pPr>
      <w:tabs>
        <w:tab w:val="center" w:pos="4680"/>
        <w:tab w:val="right" w:pos="9360"/>
      </w:tabs>
    </w:pPr>
  </w:style>
  <w:style w:type="character" w:customStyle="1" w:styleId="FooterChar">
    <w:name w:val="Footer Char"/>
    <w:basedOn w:val="DefaultParagraphFont"/>
    <w:link w:val="Footer"/>
    <w:uiPriority w:val="99"/>
    <w:semiHidden/>
    <w:rsid w:val="007C50E9"/>
    <w:rPr>
      <w:rFonts w:ascii="Roboto Light" w:hAnsi="Roboto Ligh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7077">
      <w:bodyDiv w:val="1"/>
      <w:marLeft w:val="0"/>
      <w:marRight w:val="0"/>
      <w:marTop w:val="0"/>
      <w:marBottom w:val="0"/>
      <w:divBdr>
        <w:top w:val="none" w:sz="0" w:space="0" w:color="auto"/>
        <w:left w:val="none" w:sz="0" w:space="0" w:color="auto"/>
        <w:bottom w:val="none" w:sz="0" w:space="0" w:color="auto"/>
        <w:right w:val="none" w:sz="0" w:space="0" w:color="auto"/>
      </w:divBdr>
    </w:div>
    <w:div w:id="87703119">
      <w:bodyDiv w:val="1"/>
      <w:marLeft w:val="0"/>
      <w:marRight w:val="0"/>
      <w:marTop w:val="0"/>
      <w:marBottom w:val="0"/>
      <w:divBdr>
        <w:top w:val="none" w:sz="0" w:space="0" w:color="auto"/>
        <w:left w:val="none" w:sz="0" w:space="0" w:color="auto"/>
        <w:bottom w:val="none" w:sz="0" w:space="0" w:color="auto"/>
        <w:right w:val="none" w:sz="0" w:space="0" w:color="auto"/>
      </w:divBdr>
    </w:div>
    <w:div w:id="177237778">
      <w:bodyDiv w:val="1"/>
      <w:marLeft w:val="0"/>
      <w:marRight w:val="0"/>
      <w:marTop w:val="0"/>
      <w:marBottom w:val="0"/>
      <w:divBdr>
        <w:top w:val="none" w:sz="0" w:space="0" w:color="auto"/>
        <w:left w:val="none" w:sz="0" w:space="0" w:color="auto"/>
        <w:bottom w:val="none" w:sz="0" w:space="0" w:color="auto"/>
        <w:right w:val="none" w:sz="0" w:space="0" w:color="auto"/>
      </w:divBdr>
    </w:div>
    <w:div w:id="213931384">
      <w:bodyDiv w:val="1"/>
      <w:marLeft w:val="0"/>
      <w:marRight w:val="0"/>
      <w:marTop w:val="0"/>
      <w:marBottom w:val="0"/>
      <w:divBdr>
        <w:top w:val="none" w:sz="0" w:space="0" w:color="auto"/>
        <w:left w:val="none" w:sz="0" w:space="0" w:color="auto"/>
        <w:bottom w:val="none" w:sz="0" w:space="0" w:color="auto"/>
        <w:right w:val="none" w:sz="0" w:space="0" w:color="auto"/>
      </w:divBdr>
    </w:div>
    <w:div w:id="474102206">
      <w:bodyDiv w:val="1"/>
      <w:marLeft w:val="0"/>
      <w:marRight w:val="0"/>
      <w:marTop w:val="0"/>
      <w:marBottom w:val="0"/>
      <w:divBdr>
        <w:top w:val="none" w:sz="0" w:space="0" w:color="auto"/>
        <w:left w:val="none" w:sz="0" w:space="0" w:color="auto"/>
        <w:bottom w:val="none" w:sz="0" w:space="0" w:color="auto"/>
        <w:right w:val="none" w:sz="0" w:space="0" w:color="auto"/>
      </w:divBdr>
    </w:div>
    <w:div w:id="825517040">
      <w:bodyDiv w:val="1"/>
      <w:marLeft w:val="0"/>
      <w:marRight w:val="0"/>
      <w:marTop w:val="0"/>
      <w:marBottom w:val="0"/>
      <w:divBdr>
        <w:top w:val="none" w:sz="0" w:space="0" w:color="auto"/>
        <w:left w:val="none" w:sz="0" w:space="0" w:color="auto"/>
        <w:bottom w:val="none" w:sz="0" w:space="0" w:color="auto"/>
        <w:right w:val="none" w:sz="0" w:space="0" w:color="auto"/>
      </w:divBdr>
    </w:div>
    <w:div w:id="1061903463">
      <w:bodyDiv w:val="1"/>
      <w:marLeft w:val="0"/>
      <w:marRight w:val="0"/>
      <w:marTop w:val="0"/>
      <w:marBottom w:val="0"/>
      <w:divBdr>
        <w:top w:val="none" w:sz="0" w:space="0" w:color="auto"/>
        <w:left w:val="none" w:sz="0" w:space="0" w:color="auto"/>
        <w:bottom w:val="none" w:sz="0" w:space="0" w:color="auto"/>
        <w:right w:val="none" w:sz="0" w:space="0" w:color="auto"/>
      </w:divBdr>
    </w:div>
    <w:div w:id="1607813970">
      <w:bodyDiv w:val="1"/>
      <w:marLeft w:val="0"/>
      <w:marRight w:val="0"/>
      <w:marTop w:val="0"/>
      <w:marBottom w:val="0"/>
      <w:divBdr>
        <w:top w:val="none" w:sz="0" w:space="0" w:color="auto"/>
        <w:left w:val="none" w:sz="0" w:space="0" w:color="auto"/>
        <w:bottom w:val="none" w:sz="0" w:space="0" w:color="auto"/>
        <w:right w:val="none" w:sz="0" w:space="0" w:color="auto"/>
      </w:divBdr>
    </w:div>
    <w:div w:id="168166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_rels/footnotes.xml.rels><?xml version="1.0" encoding="UTF-8" standalone="yes"?>
<Relationships xmlns="http://schemas.openxmlformats.org/package/2006/relationships"><Relationship Id="rId1" Type="http://schemas.openxmlformats.org/officeDocument/2006/relationships/hyperlink" Target="https://cdn.who.int/media/docs/default-source/reproductive-health/contraception-family-planning/stakeholder-mapping-tool.pdf"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E2841"/>
      </a:dk2>
      <a:lt2>
        <a:srgbClr val="E8E8E8"/>
      </a:lt2>
      <a:accent1>
        <a:srgbClr val="00B0F0"/>
      </a:accent1>
      <a:accent2>
        <a:srgbClr val="FF9933"/>
      </a:accent2>
      <a:accent3>
        <a:srgbClr val="00AB69"/>
      </a:accent3>
      <a:accent4>
        <a:srgbClr val="FFFF00"/>
      </a:accent4>
      <a:accent5>
        <a:srgbClr val="A02B93"/>
      </a:accent5>
      <a:accent6>
        <a:srgbClr val="FF3399"/>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1011fb24-49a0-463f-ada9-a8217d0aa252" xsi:nil="true"/>
    <lcf76f155ced4ddcb4097134ff3c332f xmlns="a72d8ac4-480f-42af-94c3-1b0dbed1eec5">
      <Terms xmlns="http://schemas.microsoft.com/office/infopath/2007/PartnerControls"/>
    </lcf76f155ced4ddcb4097134ff3c332f>
    <ORDER0 xmlns="a72d8ac4-480f-42af-94c3-1b0dbed1eec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CA194C411A66A43AF5A340052B5B424" ma:contentTypeVersion="17" ma:contentTypeDescription="Create a new document." ma:contentTypeScope="" ma:versionID="3649016989674af317ef4fc009f861e6">
  <xsd:schema xmlns:xsd="http://www.w3.org/2001/XMLSchema" xmlns:xs="http://www.w3.org/2001/XMLSchema" xmlns:p="http://schemas.microsoft.com/office/2006/metadata/properties" xmlns:ns2="1011fb24-49a0-463f-ada9-a8217d0aa252" xmlns:ns3="a72d8ac4-480f-42af-94c3-1b0dbed1eec5" targetNamespace="http://schemas.microsoft.com/office/2006/metadata/properties" ma:root="true" ma:fieldsID="ce701d13bb6f098f04d75cc544fed808" ns2:_="" ns3:_="">
    <xsd:import namespace="1011fb24-49a0-463f-ada9-a8217d0aa252"/>
    <xsd:import namespace="a72d8ac4-480f-42af-94c3-1b0dbed1ee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MediaServiceLocation" minOccurs="0"/>
                <xsd:element ref="ns3:MediaServiceSearchProperties" minOccurs="0"/>
                <xsd:element ref="ns3: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1fb24-49a0-463f-ada9-a8217d0aa2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8717fdcf-dbb3-4213-9143-858f321dbc07}" ma:internalName="TaxCatchAll" ma:showField="CatchAllData" ma:web="1011fb24-49a0-463f-ada9-a8217d0aa2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72d8ac4-480f-42af-94c3-1b0dbed1ee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be66e25-6253-4f8b-9755-5684a1ad782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ORDER0" ma:index="23" nillable="true" ma:displayName="ORDER" ma:format="Dropdown" ma:internalName="ORDER0"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9D3F19-3E59-4C6A-90F4-761FD762CE52}">
  <ds:schemaRefs>
    <ds:schemaRef ds:uri="http://schemas.openxmlformats.org/officeDocument/2006/bibliography"/>
  </ds:schemaRefs>
</ds:datastoreItem>
</file>

<file path=customXml/itemProps2.xml><?xml version="1.0" encoding="utf-8"?>
<ds:datastoreItem xmlns:ds="http://schemas.openxmlformats.org/officeDocument/2006/customXml" ds:itemID="{99F6CC7D-F2C2-491C-BBA2-A7C564B7611D}">
  <ds:schemaRefs>
    <ds:schemaRef ds:uri="http://schemas.microsoft.com/office/2006/metadata/properties"/>
    <ds:schemaRef ds:uri="http://schemas.microsoft.com/office/infopath/2007/PartnerControls"/>
    <ds:schemaRef ds:uri="1011fb24-49a0-463f-ada9-a8217d0aa252"/>
    <ds:schemaRef ds:uri="a72d8ac4-480f-42af-94c3-1b0dbed1eec5"/>
  </ds:schemaRefs>
</ds:datastoreItem>
</file>

<file path=customXml/itemProps3.xml><?xml version="1.0" encoding="utf-8"?>
<ds:datastoreItem xmlns:ds="http://schemas.openxmlformats.org/officeDocument/2006/customXml" ds:itemID="{B5DC7FE5-801B-413B-8F36-CDF6EEB69E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1fb24-49a0-463f-ada9-a8217d0aa252"/>
    <ds:schemaRef ds:uri="a72d8ac4-480f-42af-94c3-1b0dbed1ee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404150-256F-4DAE-A741-86231A1F25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Links>
    <vt:vector size="6" baseType="variant">
      <vt:variant>
        <vt:i4>1441794</vt:i4>
      </vt:variant>
      <vt:variant>
        <vt:i4>0</vt:i4>
      </vt:variant>
      <vt:variant>
        <vt:i4>0</vt:i4>
      </vt:variant>
      <vt:variant>
        <vt:i4>5</vt:i4>
      </vt:variant>
      <vt:variant>
        <vt:lpwstr>https://cdn.who.int/media/docs/default-source/reproductive-health/contraception-family-planning/stakeholder-mapping-tool.pdf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Bouanchaud</dc:creator>
  <cp:keywords/>
  <dc:description/>
  <cp:lastModifiedBy>Paul Bouanchaud</cp:lastModifiedBy>
  <cp:revision>42</cp:revision>
  <dcterms:created xsi:type="dcterms:W3CDTF">2025-07-08T22:06:00Z</dcterms:created>
  <dcterms:modified xsi:type="dcterms:W3CDTF">2025-08-08T09:07:00Z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0x0101001CA194C411A66A43AF5A340052B5B424</vt:lpwstr>
  </property>
  <property fmtid="{D5CDD505-2E9C-101B-9397-08002B2CF9AE}" pid="3" name="MediaServiceImageTags">
    <vt:lpwstr/>
  </property>
</Properties>
</file>