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40"/>
          <w:szCs w:val="40"/>
        </w:rPr>
        <w:t xml:space="preserve">🌍 MULTI-AGENT CLIMATE RISK ANALYST</w:t>
      </w:r>
    </w:p>
    <w:p>
      <w:pPr>
        <w:spacing w:after="40"/>
        <w:jc w:val="center"/>
      </w:pPr>
      <w:r>
        <w:rPr>
          <w:i/>
          <w:iCs/>
          <w:color w:val="0E7C7B"/>
          <w:sz w:val="26"/>
          <w:szCs w:val="26"/>
        </w:rPr>
        <w:t xml:space="preserve">Revised Build Plan — Zero-Cost Edition</w:t>
      </w:r>
    </w:p>
    <w:p>
      <w:pPr>
        <w:spacing w:after="300"/>
        <w:jc w:val="center"/>
      </w:pPr>
      <w:r>
        <w:rPr>
          <w:color w:val="595959"/>
          <w:sz w:val="18"/>
          <w:szCs w:val="18"/>
        </w:rPr>
        <w:t xml:space="preserve">Ayush · VIT Bhopal · AI &amp; ML  |  Reviewed: August 17, 2026  |  Status: Pre-build review</w:t>
      </w:r>
    </w:p>
    <w:p>
      <w:pPr>
        <w:pStyle w:val="Heading1"/>
        <w:spacing w:after="200" w:before="400"/>
      </w:pPr>
      <w:r>
        <w:t xml:space="preserve">1. What Changed &amp; Why</w:t>
      </w:r>
    </w:p>
    <w:p>
      <w:pPr>
        <w:spacing w:after="140"/>
      </w:pPr>
      <w:r>
        <w:t xml:space="preserve">I read through your full ClimateRiskAnalyst_TechSpec and your existing E:\LSTM drought-prediction work. The core architecture (Orchestrator → Retrieval + Forecasting → Synthesis, LangGraph-based) is solid and well-researched. Five things needed correcting to hit your actual goal — a genuinely zero-cost, deployable, resume-ready build:</w:t>
      </w:r>
    </w:p>
    <w:p>
      <w:pPr>
        <w:pStyle w:val="ListParagraph"/>
        <w:numPr>
          <w:ilvl w:val="0"/>
          <w:numId w:val="2"/>
        </w:numPr>
        <w:spacing w:after="80"/>
      </w:pPr>
      <w:r>
        <w:t xml:space="preserve">LLM choice: your spec names "Gemini 1.5 Pro" throughout. As of August 2026, Gemini's free tier is built around the 2.x model line — 1.5 Pro isn't part of the current free-tier offering. Switched to Gemini 2.5 Flash (see Section 2.1).</w:t>
      </w:r>
    </w:p>
    <w:p>
      <w:pPr>
        <w:pStyle w:val="ListParagraph"/>
        <w:numPr>
          <w:ilvl w:val="0"/>
          <w:numId w:val="2"/>
        </w:numPr>
        <w:spacing w:after="80"/>
      </w:pPr>
      <w:r>
        <w:t xml:space="preserve">Deployment: your resume bullets say "deployed on AWS EC2 free tier." AWS changed this policy on July 15, 2025 — new accounts no longer get a permanent free EC2 allowance, only a $200 credit that expires in 12 months. That breaks the "zero cost" claim unless your AWS account predates that date. Replaced with Hugging Face Spaces + optional Google Cloud Run (Section 2.2).</w:t>
      </w:r>
    </w:p>
    <w:p>
      <w:pPr>
        <w:pStyle w:val="ListParagraph"/>
        <w:numPr>
          <w:ilvl w:val="0"/>
          <w:numId w:val="2"/>
        </w:numPr>
        <w:spacing w:after="80"/>
      </w:pPr>
      <w:r>
        <w:t xml:space="preserve">Persistent storage: none of the realistic zero-cost hosts give you a writable disk that survives restarts, and your spec assumes ChromaDB just "persists." Added a bake-the-index-into-the-Docker-image pattern so this isn't a problem (Section 2.3).</w:t>
      </w:r>
    </w:p>
    <w:p>
      <w:pPr>
        <w:pStyle w:val="ListParagraph"/>
        <w:numPr>
          <w:ilvl w:val="0"/>
          <w:numId w:val="2"/>
        </w:numPr>
        <w:spacing w:after="80"/>
      </w:pPr>
      <w:r>
        <w:t xml:space="preserve">Your existing LSTM (E:\LSTM/LSTM.py) has two data-leakage bugs that directly contradict the leakage rules your own spec documents in Section 4 — worth fixing before it becomes the Forecasting Agent's tool (Section 3).</w:t>
      </w:r>
    </w:p>
    <w:p>
      <w:pPr>
        <w:pStyle w:val="ListParagraph"/>
        <w:numPr>
          <w:ilvl w:val="0"/>
          <w:numId w:val="2"/>
        </w:numPr>
        <w:spacing w:after="80"/>
      </w:pPr>
      <w:r>
        <w:t xml:space="preserve">Build order: your spec's Section 8 used week-based estimates for solo manual coding. Since you're building this with Claude Code (Opus), I re-cut it into agent-sized phases — each one is scoped to become its own focused CLAUDE.md later (Section 5).</w:t>
      </w:r>
    </w:p>
    <w:p>
      <w:pPr>
        <w:spacing w:after="200"/>
      </w:pPr>
    </w:p>
    <w:p>
      <w:pPr>
        <w:pStyle w:val="Heading1"/>
        <w:spacing w:after="200" w:before="400"/>
      </w:pPr>
      <w:r>
        <w:t xml:space="preserve">2. Zero-Cost Architecture — Corrected</w:t>
      </w:r>
    </w:p>
    <w:p>
      <w:pPr>
        <w:pStyle w:val="Heading2"/>
        <w:spacing w:after="120" w:before="260"/>
      </w:pPr>
      <w:r>
        <w:t xml:space="preserve">2.1 LLM Layer: Gemini API Free Tier (verified Aug 2026)</w:t>
      </w:r>
    </w:p>
    <w:p>
      <w:pPr>
        <w:spacing w:after="140"/>
      </w:pPr>
      <w:r>
        <w:t xml:space="preserve">Use Gemini 2.5 Flash as the Synthesis Agent's model. Here's exactly what the free tier gives you, so you know your real budget: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900"/>
        <w:gridCol w:w="1900"/>
        <w:gridCol w:w="1750"/>
      </w:tblGrid>
      <w:tr>
        <w:trPr>
          <w:tblHeader/>
        </w:trPr>
        <w:tc>
          <w:tcPr>
            <w:tcW w:type="dxa" w:w="2400"/>
            <w:shd w:fill="1F3864" w:val="clear"/>
            <w:tcMar>
              <w:top w:type="dxa" w:w="80"/>
              <w:left w:type="dxa" w:w="100"/>
              <w:bottom w:type="dxa" w:w="80"/>
              <w:right w:type="dxa" w:w="100"/>
            </w:tcMar>
          </w:tcPr>
          <w:p>
            <w:r>
              <w:rPr>
                <w:b/>
                <w:bCs/>
                <w:color w:val="FFFFFF"/>
                <w:sz w:val="19"/>
                <w:szCs w:val="19"/>
              </w:rPr>
              <w:t xml:space="preserve">Model</w:t>
            </w:r>
          </w:p>
        </w:tc>
        <w:tc>
          <w:tcPr>
            <w:tcW w:type="dxa" w:w="1400"/>
            <w:shd w:fill="1F3864" w:val="clear"/>
            <w:tcMar>
              <w:top w:type="dxa" w:w="80"/>
              <w:left w:type="dxa" w:w="100"/>
              <w:bottom w:type="dxa" w:w="80"/>
              <w:right w:type="dxa" w:w="100"/>
            </w:tcMar>
          </w:tcPr>
          <w:p>
            <w:r>
              <w:rPr>
                <w:b/>
                <w:bCs/>
                <w:color w:val="FFFFFF"/>
                <w:sz w:val="19"/>
                <w:szCs w:val="19"/>
              </w:rPr>
              <w:t xml:space="preserve">RPM</w:t>
            </w:r>
          </w:p>
        </w:tc>
        <w:tc>
          <w:tcPr>
            <w:tcW w:type="dxa" w:w="1900"/>
            <w:shd w:fill="1F3864" w:val="clear"/>
            <w:tcMar>
              <w:top w:type="dxa" w:w="80"/>
              <w:left w:type="dxa" w:w="100"/>
              <w:bottom w:type="dxa" w:w="80"/>
              <w:right w:type="dxa" w:w="100"/>
            </w:tcMar>
          </w:tcPr>
          <w:p>
            <w:r>
              <w:rPr>
                <w:b/>
                <w:bCs/>
                <w:color w:val="FFFFFF"/>
                <w:sz w:val="19"/>
                <w:szCs w:val="19"/>
              </w:rPr>
              <w:t xml:space="preserve">TPM</w:t>
            </w:r>
          </w:p>
        </w:tc>
        <w:tc>
          <w:tcPr>
            <w:tcW w:type="dxa" w:w="1900"/>
            <w:shd w:fill="1F3864" w:val="clear"/>
            <w:tcMar>
              <w:top w:type="dxa" w:w="80"/>
              <w:left w:type="dxa" w:w="100"/>
              <w:bottom w:type="dxa" w:w="80"/>
              <w:right w:type="dxa" w:w="100"/>
            </w:tcMar>
          </w:tcPr>
          <w:p>
            <w:r>
              <w:rPr>
                <w:b/>
                <w:bCs/>
                <w:color w:val="FFFFFF"/>
                <w:sz w:val="19"/>
                <w:szCs w:val="19"/>
              </w:rPr>
              <w:t xml:space="preserve">Requests/Day</w:t>
            </w:r>
          </w:p>
        </w:tc>
        <w:tc>
          <w:tcPr>
            <w:tcW w:type="dxa" w:w="1750"/>
            <w:shd w:fill="1F3864" w:val="clear"/>
            <w:tcMar>
              <w:top w:type="dxa" w:w="80"/>
              <w:left w:type="dxa" w:w="100"/>
              <w:bottom w:type="dxa" w:w="80"/>
              <w:right w:type="dxa" w:w="100"/>
            </w:tcMar>
          </w:tcPr>
          <w:p>
            <w:r>
              <w:rPr>
                <w:b/>
                <w:bCs/>
                <w:color w:val="FFFFFF"/>
                <w:sz w:val="19"/>
                <w:szCs w:val="19"/>
              </w:rPr>
              <w:t xml:space="preserve">Verdict</w:t>
            </w:r>
          </w:p>
        </w:tc>
      </w:tr>
      <w:tr>
        <w:tc>
          <w:tcPr>
            <w:tcW w:type="dxa" w:w="2400"/>
            <w:shd w:fill="FFFFFF" w:val="clear"/>
            <w:tcMar>
              <w:top w:type="dxa" w:w="70"/>
              <w:left w:type="dxa" w:w="100"/>
              <w:bottom w:type="dxa" w:w="70"/>
              <w:right w:type="dxa" w:w="100"/>
            </w:tcMar>
          </w:tcPr>
          <w:p>
            <w:r>
              <w:rPr>
                <w:sz w:val="19"/>
                <w:szCs w:val="19"/>
              </w:rPr>
              <w:t xml:space="preserve">Gemini 2.5 Flash</w:t>
            </w:r>
          </w:p>
        </w:tc>
        <w:tc>
          <w:tcPr>
            <w:tcW w:type="dxa" w:w="1400"/>
            <w:shd w:fill="FFFFFF" w:val="clear"/>
            <w:tcMar>
              <w:top w:type="dxa" w:w="70"/>
              <w:left w:type="dxa" w:w="100"/>
              <w:bottom w:type="dxa" w:w="70"/>
              <w:right w:type="dxa" w:w="100"/>
            </w:tcMar>
          </w:tcPr>
          <w:p>
            <w:r>
              <w:rPr>
                <w:sz w:val="19"/>
                <w:szCs w:val="19"/>
              </w:rPr>
              <w:t xml:space="preserve">15</w:t>
            </w:r>
          </w:p>
        </w:tc>
        <w:tc>
          <w:tcPr>
            <w:tcW w:type="dxa" w:w="1900"/>
            <w:shd w:fill="FFFFFF" w:val="clear"/>
            <w:tcMar>
              <w:top w:type="dxa" w:w="70"/>
              <w:left w:type="dxa" w:w="100"/>
              <w:bottom w:type="dxa" w:w="70"/>
              <w:right w:type="dxa" w:w="100"/>
            </w:tcMar>
          </w:tcPr>
          <w:p>
            <w:r>
              <w:rPr>
                <w:sz w:val="19"/>
                <w:szCs w:val="19"/>
              </w:rPr>
              <w:t xml:space="preserve">1,000,000</w:t>
            </w:r>
          </w:p>
        </w:tc>
        <w:tc>
          <w:tcPr>
            <w:tcW w:type="dxa" w:w="1900"/>
            <w:shd w:fill="FFFFFF" w:val="clear"/>
            <w:tcMar>
              <w:top w:type="dxa" w:w="70"/>
              <w:left w:type="dxa" w:w="100"/>
              <w:bottom w:type="dxa" w:w="70"/>
              <w:right w:type="dxa" w:w="100"/>
            </w:tcMar>
          </w:tcPr>
          <w:p>
            <w:r>
              <w:rPr>
                <w:sz w:val="19"/>
                <w:szCs w:val="19"/>
              </w:rPr>
              <w:t xml:space="preserve">1,500</w:t>
            </w:r>
          </w:p>
        </w:tc>
        <w:tc>
          <w:tcPr>
            <w:tcW w:type="dxa" w:w="1750"/>
            <w:shd w:fill="FFFFFF" w:val="clear"/>
            <w:tcMar>
              <w:top w:type="dxa" w:w="70"/>
              <w:left w:type="dxa" w:w="100"/>
              <w:bottom w:type="dxa" w:w="70"/>
              <w:right w:type="dxa" w:w="100"/>
            </w:tcMar>
          </w:tcPr>
          <w:p>
            <w:r>
              <w:rPr>
                <w:sz w:val="19"/>
                <w:szCs w:val="19"/>
              </w:rPr>
              <w:t xml:space="preserve">Use this — best quality/quota balance for Synthesis Agent</w:t>
            </w:r>
          </w:p>
        </w:tc>
      </w:tr>
      <w:tr>
        <w:tc>
          <w:tcPr>
            <w:tcW w:type="dxa" w:w="2400"/>
            <w:shd w:fill="F5F7F7" w:val="clear"/>
            <w:tcMar>
              <w:top w:type="dxa" w:w="70"/>
              <w:left w:type="dxa" w:w="100"/>
              <w:bottom w:type="dxa" w:w="70"/>
              <w:right w:type="dxa" w:w="100"/>
            </w:tcMar>
          </w:tcPr>
          <w:p>
            <w:r>
              <w:rPr>
                <w:sz w:val="19"/>
                <w:szCs w:val="19"/>
              </w:rPr>
              <w:t xml:space="preserve">Gemini 2.5 Flash-Lite</w:t>
            </w:r>
          </w:p>
        </w:tc>
        <w:tc>
          <w:tcPr>
            <w:tcW w:type="dxa" w:w="1400"/>
            <w:shd w:fill="F5F7F7" w:val="clear"/>
            <w:tcMar>
              <w:top w:type="dxa" w:w="70"/>
              <w:left w:type="dxa" w:w="100"/>
              <w:bottom w:type="dxa" w:w="70"/>
              <w:right w:type="dxa" w:w="100"/>
            </w:tcMar>
          </w:tcPr>
          <w:p>
            <w:r>
              <w:rPr>
                <w:sz w:val="19"/>
                <w:szCs w:val="19"/>
              </w:rPr>
              <w:t xml:space="preserve">30</w:t>
            </w:r>
          </w:p>
        </w:tc>
        <w:tc>
          <w:tcPr>
            <w:tcW w:type="dxa" w:w="1900"/>
            <w:shd w:fill="F5F7F7" w:val="clear"/>
            <w:tcMar>
              <w:top w:type="dxa" w:w="70"/>
              <w:left w:type="dxa" w:w="100"/>
              <w:bottom w:type="dxa" w:w="70"/>
              <w:right w:type="dxa" w:w="100"/>
            </w:tcMar>
          </w:tcPr>
          <w:p>
            <w:r>
              <w:rPr>
                <w:sz w:val="19"/>
                <w:szCs w:val="19"/>
              </w:rPr>
              <w:t xml:space="preserve">1,000,000</w:t>
            </w:r>
          </w:p>
        </w:tc>
        <w:tc>
          <w:tcPr>
            <w:tcW w:type="dxa" w:w="1900"/>
            <w:shd w:fill="F5F7F7" w:val="clear"/>
            <w:tcMar>
              <w:top w:type="dxa" w:w="70"/>
              <w:left w:type="dxa" w:w="100"/>
              <w:bottom w:type="dxa" w:w="70"/>
              <w:right w:type="dxa" w:w="100"/>
            </w:tcMar>
          </w:tcPr>
          <w:p>
            <w:r>
              <w:rPr>
                <w:sz w:val="19"/>
                <w:szCs w:val="19"/>
              </w:rPr>
              <w:t xml:space="preserve">1,500</w:t>
            </w:r>
          </w:p>
        </w:tc>
        <w:tc>
          <w:tcPr>
            <w:tcW w:type="dxa" w:w="1750"/>
            <w:shd w:fill="F5F7F7" w:val="clear"/>
            <w:tcMar>
              <w:top w:type="dxa" w:w="70"/>
              <w:left w:type="dxa" w:w="100"/>
              <w:bottom w:type="dxa" w:w="70"/>
              <w:right w:type="dxa" w:w="100"/>
            </w:tcMar>
          </w:tcPr>
          <w:p>
            <w:r>
              <w:rPr>
                <w:sz w:val="19"/>
                <w:szCs w:val="19"/>
              </w:rPr>
              <w:t xml:space="preserve">Backup / good for batch RAGAS eval runs</w:t>
            </w:r>
          </w:p>
        </w:tc>
      </w:tr>
      <w:tr>
        <w:tc>
          <w:tcPr>
            <w:tcW w:type="dxa" w:w="2400"/>
            <w:shd w:fill="FFFFFF" w:val="clear"/>
            <w:tcMar>
              <w:top w:type="dxa" w:w="70"/>
              <w:left w:type="dxa" w:w="100"/>
              <w:bottom w:type="dxa" w:w="70"/>
              <w:right w:type="dxa" w:w="100"/>
            </w:tcMar>
          </w:tcPr>
          <w:p>
            <w:r>
              <w:rPr>
                <w:sz w:val="19"/>
                <w:szCs w:val="19"/>
              </w:rPr>
              <w:t xml:space="preserve">Gemini 2.0 Flash</w:t>
            </w:r>
          </w:p>
        </w:tc>
        <w:tc>
          <w:tcPr>
            <w:tcW w:type="dxa" w:w="1400"/>
            <w:shd w:fill="FFFFFF" w:val="clear"/>
            <w:tcMar>
              <w:top w:type="dxa" w:w="70"/>
              <w:left w:type="dxa" w:w="100"/>
              <w:bottom w:type="dxa" w:w="70"/>
              <w:right w:type="dxa" w:w="100"/>
            </w:tcMar>
          </w:tcPr>
          <w:p>
            <w:r>
              <w:rPr>
                <w:sz w:val="19"/>
                <w:szCs w:val="19"/>
              </w:rPr>
              <w:t xml:space="preserve">15</w:t>
            </w:r>
          </w:p>
        </w:tc>
        <w:tc>
          <w:tcPr>
            <w:tcW w:type="dxa" w:w="1900"/>
            <w:shd w:fill="FFFFFF" w:val="clear"/>
            <w:tcMar>
              <w:top w:type="dxa" w:w="70"/>
              <w:left w:type="dxa" w:w="100"/>
              <w:bottom w:type="dxa" w:w="70"/>
              <w:right w:type="dxa" w:w="100"/>
            </w:tcMar>
          </w:tcPr>
          <w:p>
            <w:r>
              <w:rPr>
                <w:sz w:val="19"/>
                <w:szCs w:val="19"/>
              </w:rPr>
              <w:t xml:space="preserve">1,000,000</w:t>
            </w:r>
          </w:p>
        </w:tc>
        <w:tc>
          <w:tcPr>
            <w:tcW w:type="dxa" w:w="1900"/>
            <w:shd w:fill="FFFFFF" w:val="clear"/>
            <w:tcMar>
              <w:top w:type="dxa" w:w="70"/>
              <w:left w:type="dxa" w:w="100"/>
              <w:bottom w:type="dxa" w:w="70"/>
              <w:right w:type="dxa" w:w="100"/>
            </w:tcMar>
          </w:tcPr>
          <w:p>
            <w:r>
              <w:rPr>
                <w:sz w:val="19"/>
                <w:szCs w:val="19"/>
              </w:rPr>
              <w:t xml:space="preserve">1,500</w:t>
            </w:r>
          </w:p>
        </w:tc>
        <w:tc>
          <w:tcPr>
            <w:tcW w:type="dxa" w:w="1750"/>
            <w:shd w:fill="FFFFFF" w:val="clear"/>
            <w:tcMar>
              <w:top w:type="dxa" w:w="70"/>
              <w:left w:type="dxa" w:w="100"/>
              <w:bottom w:type="dxa" w:w="70"/>
              <w:right w:type="dxa" w:w="100"/>
            </w:tcMar>
          </w:tcPr>
          <w:p>
            <w:r>
              <w:rPr>
                <w:sz w:val="19"/>
                <w:szCs w:val="19"/>
              </w:rPr>
              <w:t xml:space="preserve">Fallback if 2.5 Flash has an outage</w:t>
            </w:r>
          </w:p>
        </w:tc>
      </w:tr>
      <w:tr>
        <w:tc>
          <w:tcPr>
            <w:tcW w:type="dxa" w:w="2400"/>
            <w:shd w:fill="F5F7F7" w:val="clear"/>
            <w:tcMar>
              <w:top w:type="dxa" w:w="70"/>
              <w:left w:type="dxa" w:w="100"/>
              <w:bottom w:type="dxa" w:w="70"/>
              <w:right w:type="dxa" w:w="100"/>
            </w:tcMar>
          </w:tcPr>
          <w:p>
            <w:r>
              <w:rPr>
                <w:sz w:val="19"/>
                <w:szCs w:val="19"/>
              </w:rPr>
              <w:t xml:space="preserve">Gemini 2.5 Pro</w:t>
            </w:r>
          </w:p>
        </w:tc>
        <w:tc>
          <w:tcPr>
            <w:tcW w:type="dxa" w:w="1400"/>
            <w:shd w:fill="F5F7F7" w:val="clear"/>
            <w:tcMar>
              <w:top w:type="dxa" w:w="70"/>
              <w:left w:type="dxa" w:w="100"/>
              <w:bottom w:type="dxa" w:w="70"/>
              <w:right w:type="dxa" w:w="100"/>
            </w:tcMar>
          </w:tcPr>
          <w:p>
            <w:r>
              <w:rPr>
                <w:sz w:val="19"/>
                <w:szCs w:val="19"/>
              </w:rPr>
              <w:t xml:space="preserve">5</w:t>
            </w:r>
          </w:p>
        </w:tc>
        <w:tc>
          <w:tcPr>
            <w:tcW w:type="dxa" w:w="1900"/>
            <w:shd w:fill="F5F7F7" w:val="clear"/>
            <w:tcMar>
              <w:top w:type="dxa" w:w="70"/>
              <w:left w:type="dxa" w:w="100"/>
              <w:bottom w:type="dxa" w:w="70"/>
              <w:right w:type="dxa" w:w="100"/>
            </w:tcMar>
          </w:tcPr>
          <w:p>
            <w:r>
              <w:rPr>
                <w:sz w:val="19"/>
                <w:szCs w:val="19"/>
              </w:rPr>
              <w:t xml:space="preserve">1,000,000</w:t>
            </w:r>
          </w:p>
        </w:tc>
        <w:tc>
          <w:tcPr>
            <w:tcW w:type="dxa" w:w="1900"/>
            <w:shd w:fill="F5F7F7" w:val="clear"/>
            <w:tcMar>
              <w:top w:type="dxa" w:w="70"/>
              <w:left w:type="dxa" w:w="100"/>
              <w:bottom w:type="dxa" w:w="70"/>
              <w:right w:type="dxa" w:w="100"/>
            </w:tcMar>
          </w:tcPr>
          <w:p>
            <w:r>
              <w:rPr>
                <w:sz w:val="19"/>
                <w:szCs w:val="19"/>
              </w:rPr>
              <w:t xml:space="preserve">50</w:t>
            </w:r>
          </w:p>
        </w:tc>
        <w:tc>
          <w:tcPr>
            <w:tcW w:type="dxa" w:w="1750"/>
            <w:shd w:fill="F5F7F7" w:val="clear"/>
            <w:tcMar>
              <w:top w:type="dxa" w:w="70"/>
              <w:left w:type="dxa" w:w="100"/>
              <w:bottom w:type="dxa" w:w="70"/>
              <w:right w:type="dxa" w:w="100"/>
            </w:tcMar>
          </w:tcPr>
          <w:p>
            <w:r>
              <w:rPr>
                <w:sz w:val="19"/>
                <w:szCs w:val="19"/>
              </w:rPr>
              <w:t xml:space="preserve">Avoid as primary — 50/day is too tight even for a live demo day</w:t>
            </w:r>
          </w:p>
        </w:tc>
      </w:tr>
    </w:tbl>
    <w:p>
      <w:pPr>
        <w:spacing w:after="120"/>
      </w:pPr>
    </w:p>
    <w:p>
      <w:pPr>
        <w:spacing w:after="140"/>
      </w:pPr>
      <w:r>
        <w:rPr>
          <w:i/>
          <w:iCs/>
          <w:color w:val="595959"/>
        </w:rPr>
        <w:t xml:space="preserve">Practical read: 1,500 requests/day is far more than a portfolio project needs — even hammering the demo during an interview, running the full RAGAS eval batch, and iterating during development won't get you close to the ceiling. This will never be your bottleneck.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2F1" w:val="clear"/>
            <w:tcMar>
              <w:top w:type="dxa" w:w="150"/>
              <w:left w:type="dxa" w:w="200"/>
              <w:bottom w:type="dxa" w:w="150"/>
              <w:right w:type="dxa" w:w="200"/>
            </w:tcMar>
          </w:tcPr>
          <w:p>
            <w:pPr>
              <w:spacing w:after="60"/>
            </w:pPr>
            <w:r>
              <w:rPr>
                <w:b/>
                <w:bCs/>
                <w:color w:val="B7472A"/>
              </w:rPr>
              <w:t xml:space="preserve">Caveat to know</w:t>
            </w:r>
          </w:p>
          <w:p>
            <w:r>
              <w:t xml:space="preserve">Google may use free-tier prompts and responses to help improve their models (this doesn't apply on paid/Vertex tiers). That's a non-issue here since your inputs are public climate data — just don't point the free tier at private data if you extend this beyond a portfolio project.</w:t>
            </w:r>
          </w:p>
        </w:tc>
      </w:tr>
    </w:tbl>
    <w:p>
      <w:pPr>
        <w:spacing w:after="200"/>
      </w:pPr>
    </w:p>
    <w:p>
      <w:pPr>
        <w:pStyle w:val="Heading2"/>
        <w:spacing w:after="120" w:before="260"/>
      </w:pPr>
      <w:r>
        <w:t xml:space="preserve">2.2 Deployment: Replacing "AWS EC2 Free Tier"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1400"/>
        <w:gridCol w:w="2450"/>
      </w:tblGrid>
      <w:tr>
        <w:trPr>
          <w:tblHeader/>
        </w:trPr>
        <w:tc>
          <w:tcPr>
            <w:tcW w:type="dxa" w:w="2000"/>
            <w:shd w:fill="1F3864" w:val="clear"/>
            <w:tcMar>
              <w:top w:type="dxa" w:w="80"/>
              <w:left w:type="dxa" w:w="100"/>
              <w:bottom w:type="dxa" w:w="80"/>
              <w:right w:type="dxa" w:w="100"/>
            </w:tcMar>
          </w:tcPr>
          <w:p>
            <w:r>
              <w:rPr>
                <w:b/>
                <w:bCs/>
                <w:color w:val="FFFFFF"/>
                <w:sz w:val="19"/>
                <w:szCs w:val="19"/>
              </w:rPr>
              <w:t xml:space="preserve">Platform</w:t>
            </w:r>
          </w:p>
        </w:tc>
        <w:tc>
          <w:tcPr>
            <w:tcW w:type="dxa" w:w="3500"/>
            <w:shd w:fill="1F3864" w:val="clear"/>
            <w:tcMar>
              <w:top w:type="dxa" w:w="80"/>
              <w:left w:type="dxa" w:w="100"/>
              <w:bottom w:type="dxa" w:w="80"/>
              <w:right w:type="dxa" w:w="100"/>
            </w:tcMar>
          </w:tcPr>
          <w:p>
            <w:r>
              <w:rPr>
                <w:b/>
                <w:bCs/>
                <w:color w:val="FFFFFF"/>
                <w:sz w:val="19"/>
                <w:szCs w:val="19"/>
              </w:rPr>
              <w:t xml:space="preserve">Free tier reality</w:t>
            </w:r>
          </w:p>
        </w:tc>
        <w:tc>
          <w:tcPr>
            <w:tcW w:type="dxa" w:w="1400"/>
            <w:shd w:fill="1F3864" w:val="clear"/>
            <w:tcMar>
              <w:top w:type="dxa" w:w="80"/>
              <w:left w:type="dxa" w:w="100"/>
              <w:bottom w:type="dxa" w:w="80"/>
              <w:right w:type="dxa" w:w="100"/>
            </w:tcMar>
          </w:tcPr>
          <w:p>
            <w:r>
              <w:rPr>
                <w:b/>
                <w:bCs/>
                <w:color w:val="FFFFFF"/>
                <w:sz w:val="19"/>
                <w:szCs w:val="19"/>
              </w:rPr>
              <w:t xml:space="preserve">Card needed?</w:t>
            </w:r>
          </w:p>
        </w:tc>
        <w:tc>
          <w:tcPr>
            <w:tcW w:type="dxa" w:w="2450"/>
            <w:shd w:fill="1F3864" w:val="clear"/>
            <w:tcMar>
              <w:top w:type="dxa" w:w="80"/>
              <w:left w:type="dxa" w:w="100"/>
              <w:bottom w:type="dxa" w:w="80"/>
              <w:right w:type="dxa" w:w="100"/>
            </w:tcMar>
          </w:tcPr>
          <w:p>
            <w:r>
              <w:rPr>
                <w:b/>
                <w:bCs/>
                <w:color w:val="FFFFFF"/>
                <w:sz w:val="19"/>
                <w:szCs w:val="19"/>
              </w:rPr>
              <w:t xml:space="preserve">Verdict</w:t>
            </w:r>
          </w:p>
        </w:tc>
      </w:tr>
      <w:tr>
        <w:tc>
          <w:tcPr>
            <w:tcW w:type="dxa" w:w="2000"/>
            <w:shd w:fill="FFFFFF" w:val="clear"/>
            <w:tcMar>
              <w:top w:type="dxa" w:w="70"/>
              <w:left w:type="dxa" w:w="100"/>
              <w:bottom w:type="dxa" w:w="70"/>
              <w:right w:type="dxa" w:w="100"/>
            </w:tcMar>
          </w:tcPr>
          <w:p>
            <w:r>
              <w:rPr>
                <w:sz w:val="19"/>
                <w:szCs w:val="19"/>
              </w:rPr>
              <w:t xml:space="preserve">AWS EC2</w:t>
            </w:r>
          </w:p>
        </w:tc>
        <w:tc>
          <w:tcPr>
            <w:tcW w:type="dxa" w:w="3500"/>
            <w:shd w:fill="FFFFFF" w:val="clear"/>
            <w:tcMar>
              <w:top w:type="dxa" w:w="70"/>
              <w:left w:type="dxa" w:w="100"/>
              <w:bottom w:type="dxa" w:w="70"/>
              <w:right w:type="dxa" w:w="100"/>
            </w:tcMar>
          </w:tcPr>
          <w:p>
            <w:r>
              <w:rPr>
                <w:sz w:val="19"/>
                <w:szCs w:val="19"/>
              </w:rPr>
              <w:t xml:space="preserve">Only free-forever on accounts created before Jul 15, 2025. New accounts get a $200 credit that expires in 12 months.</w:t>
            </w:r>
          </w:p>
        </w:tc>
        <w:tc>
          <w:tcPr>
            <w:tcW w:type="dxa" w:w="1400"/>
            <w:shd w:fill="FFFFFF" w:val="clear"/>
            <w:tcMar>
              <w:top w:type="dxa" w:w="70"/>
              <w:left w:type="dxa" w:w="100"/>
              <w:bottom w:type="dxa" w:w="70"/>
              <w:right w:type="dxa" w:w="100"/>
            </w:tcMar>
          </w:tcPr>
          <w:p>
            <w:r>
              <w:rPr>
                <w:sz w:val="19"/>
                <w:szCs w:val="19"/>
              </w:rPr>
              <w:t xml:space="preserve">Yes</w:t>
            </w:r>
          </w:p>
        </w:tc>
        <w:tc>
          <w:tcPr>
            <w:tcW w:type="dxa" w:w="2450"/>
            <w:shd w:fill="FFFFFF" w:val="clear"/>
            <w:tcMar>
              <w:top w:type="dxa" w:w="70"/>
              <w:left w:type="dxa" w:w="100"/>
              <w:bottom w:type="dxa" w:w="70"/>
              <w:right w:type="dxa" w:w="100"/>
            </w:tcMar>
          </w:tcPr>
          <w:p>
            <w:r>
              <w:rPr>
                <w:sz w:val="19"/>
                <w:szCs w:val="19"/>
              </w:rPr>
              <w:t xml:space="preserve">Skip — breaks your zero-cost claim unless you already have a pre-Jul-2025 account</w:t>
            </w:r>
          </w:p>
        </w:tc>
      </w:tr>
      <w:tr>
        <w:tc>
          <w:tcPr>
            <w:tcW w:type="dxa" w:w="2000"/>
            <w:shd w:fill="F5F7F7" w:val="clear"/>
            <w:tcMar>
              <w:top w:type="dxa" w:w="70"/>
              <w:left w:type="dxa" w:w="100"/>
              <w:bottom w:type="dxa" w:w="70"/>
              <w:right w:type="dxa" w:w="100"/>
            </w:tcMar>
          </w:tcPr>
          <w:p>
            <w:r>
              <w:rPr>
                <w:sz w:val="19"/>
                <w:szCs w:val="19"/>
              </w:rPr>
              <w:t xml:space="preserve">Hugging Face Spaces (Docker)</w:t>
            </w:r>
          </w:p>
        </w:tc>
        <w:tc>
          <w:tcPr>
            <w:tcW w:type="dxa" w:w="3500"/>
            <w:shd w:fill="F5F7F7" w:val="clear"/>
            <w:tcMar>
              <w:top w:type="dxa" w:w="70"/>
              <w:left w:type="dxa" w:w="100"/>
              <w:bottom w:type="dxa" w:w="70"/>
              <w:right w:type="dxa" w:w="100"/>
            </w:tcMar>
          </w:tcPr>
          <w:p>
            <w:r>
              <w:rPr>
                <w:sz w:val="19"/>
                <w:szCs w:val="19"/>
              </w:rPr>
              <w:t xml:space="preserve">Always free, no expiry. ~2 vCPU/16GB (CPU tier). Sleeps after inactivity, wakes in 30-60s.</w:t>
            </w:r>
          </w:p>
        </w:tc>
        <w:tc>
          <w:tcPr>
            <w:tcW w:type="dxa" w:w="1400"/>
            <w:shd w:fill="F5F7F7" w:val="clear"/>
            <w:tcMar>
              <w:top w:type="dxa" w:w="70"/>
              <w:left w:type="dxa" w:w="100"/>
              <w:bottom w:type="dxa" w:w="70"/>
              <w:right w:type="dxa" w:w="100"/>
            </w:tcMar>
          </w:tcPr>
          <w:p>
            <w:r>
              <w:rPr>
                <w:sz w:val="19"/>
                <w:szCs w:val="19"/>
              </w:rPr>
              <w:t xml:space="preserve">Never</w:t>
            </w:r>
          </w:p>
        </w:tc>
        <w:tc>
          <w:tcPr>
            <w:tcW w:type="dxa" w:w="2450"/>
            <w:shd w:fill="F5F7F7" w:val="clear"/>
            <w:tcMar>
              <w:top w:type="dxa" w:w="70"/>
              <w:left w:type="dxa" w:w="100"/>
              <w:bottom w:type="dxa" w:w="70"/>
              <w:right w:type="dxa" w:w="100"/>
            </w:tcMar>
          </w:tcPr>
          <w:p>
            <w:r>
              <w:rPr>
                <w:sz w:val="19"/>
                <w:szCs w:val="19"/>
              </w:rPr>
              <w:t xml:space="preserve">PRIMARY — public demo link, zero financial risk, ML-community credibility on your resume</w:t>
            </w:r>
          </w:p>
        </w:tc>
      </w:tr>
      <w:tr>
        <w:tc>
          <w:tcPr>
            <w:tcW w:type="dxa" w:w="2000"/>
            <w:shd w:fill="FFFFFF" w:val="clear"/>
            <w:tcMar>
              <w:top w:type="dxa" w:w="70"/>
              <w:left w:type="dxa" w:w="100"/>
              <w:bottom w:type="dxa" w:w="70"/>
              <w:right w:type="dxa" w:w="100"/>
            </w:tcMar>
          </w:tcPr>
          <w:p>
            <w:r>
              <w:rPr>
                <w:sz w:val="19"/>
                <w:szCs w:val="19"/>
              </w:rPr>
              <w:t xml:space="preserve">Google Cloud Run</w:t>
            </w:r>
          </w:p>
        </w:tc>
        <w:tc>
          <w:tcPr>
            <w:tcW w:type="dxa" w:w="3500"/>
            <w:shd w:fill="FFFFFF" w:val="clear"/>
            <w:tcMar>
              <w:top w:type="dxa" w:w="70"/>
              <w:left w:type="dxa" w:w="100"/>
              <w:bottom w:type="dxa" w:w="70"/>
              <w:right w:type="dxa" w:w="100"/>
            </w:tcMar>
          </w:tcPr>
          <w:p>
            <w:r>
              <w:rPr>
                <w:sz w:val="19"/>
                <w:szCs w:val="19"/>
              </w:rPr>
              <w:t xml:space="preserve">Permanent always-free tier: 2M requests/mo, 360k GiB-seconds, 180k vCPU-seconds/mo. Scale-to-zero.</w:t>
            </w:r>
          </w:p>
        </w:tc>
        <w:tc>
          <w:tcPr>
            <w:tcW w:type="dxa" w:w="1400"/>
            <w:shd w:fill="FFFFFF" w:val="clear"/>
            <w:tcMar>
              <w:top w:type="dxa" w:w="70"/>
              <w:left w:type="dxa" w:w="100"/>
              <w:bottom w:type="dxa" w:w="70"/>
              <w:right w:type="dxa" w:w="100"/>
            </w:tcMar>
          </w:tcPr>
          <w:p>
            <w:r>
              <w:rPr>
                <w:sz w:val="19"/>
                <w:szCs w:val="19"/>
              </w:rPr>
              <w:t xml:space="preserve">Yes (charged only past quota)</w:t>
            </w:r>
          </w:p>
        </w:tc>
        <w:tc>
          <w:tcPr>
            <w:tcW w:type="dxa" w:w="2450"/>
            <w:shd w:fill="FFFFFF" w:val="clear"/>
            <w:tcMar>
              <w:top w:type="dxa" w:w="70"/>
              <w:left w:type="dxa" w:w="100"/>
              <w:bottom w:type="dxa" w:w="70"/>
              <w:right w:type="dxa" w:w="100"/>
            </w:tcMar>
          </w:tcPr>
          <w:p>
            <w:r>
              <w:rPr>
                <w:sz w:val="19"/>
                <w:szCs w:val="19"/>
              </w:rPr>
              <w:t xml:space="preserve">STRETCH GOAL — adds "serverless/cloud-native" to your stack; set a $1 billing alert as a safety net</w:t>
            </w:r>
          </w:p>
        </w:tc>
      </w:tr>
      <w:tr>
        <w:tc>
          <w:tcPr>
            <w:tcW w:type="dxa" w:w="2000"/>
            <w:shd w:fill="F5F7F7" w:val="clear"/>
            <w:tcMar>
              <w:top w:type="dxa" w:w="70"/>
              <w:left w:type="dxa" w:w="100"/>
              <w:bottom w:type="dxa" w:w="70"/>
              <w:right w:type="dxa" w:w="100"/>
            </w:tcMar>
          </w:tcPr>
          <w:p>
            <w:r>
              <w:rPr>
                <w:sz w:val="19"/>
                <w:szCs w:val="19"/>
              </w:rPr>
              <w:t xml:space="preserve">Oracle Cloud Always Free (ARM)</w:t>
            </w:r>
          </w:p>
        </w:tc>
        <w:tc>
          <w:tcPr>
            <w:tcW w:type="dxa" w:w="3500"/>
            <w:shd w:fill="F5F7F7" w:val="clear"/>
            <w:tcMar>
              <w:top w:type="dxa" w:w="70"/>
              <w:left w:type="dxa" w:w="100"/>
              <w:bottom w:type="dxa" w:w="70"/>
              <w:right w:type="dxa" w:w="100"/>
            </w:tcMar>
          </w:tcPr>
          <w:p>
            <w:r>
              <w:rPr>
                <w:sz w:val="19"/>
                <w:szCs w:val="19"/>
              </w:rPr>
              <w:t xml:space="preserve">Nominally permanent, but currently issuing account-suspension notices (deadline Aug 18, 2026) for usage limits, plus known ARM capacity shortages.</w:t>
            </w:r>
          </w:p>
        </w:tc>
        <w:tc>
          <w:tcPr>
            <w:tcW w:type="dxa" w:w="1400"/>
            <w:shd w:fill="F5F7F7" w:val="clear"/>
            <w:tcMar>
              <w:top w:type="dxa" w:w="70"/>
              <w:left w:type="dxa" w:w="100"/>
              <w:bottom w:type="dxa" w:w="70"/>
              <w:right w:type="dxa" w:w="100"/>
            </w:tcMar>
          </w:tcPr>
          <w:p>
            <w:r>
              <w:rPr>
                <w:sz w:val="19"/>
                <w:szCs w:val="19"/>
              </w:rPr>
              <w:t xml:space="preserve">Yes</w:t>
            </w:r>
          </w:p>
        </w:tc>
        <w:tc>
          <w:tcPr>
            <w:tcW w:type="dxa" w:w="2450"/>
            <w:shd w:fill="F5F7F7" w:val="clear"/>
            <w:tcMar>
              <w:top w:type="dxa" w:w="70"/>
              <w:left w:type="dxa" w:w="100"/>
              <w:bottom w:type="dxa" w:w="70"/>
              <w:right w:type="dxa" w:w="100"/>
            </w:tcMar>
          </w:tcPr>
          <w:p>
            <w:r>
              <w:rPr>
                <w:sz w:val="19"/>
                <w:szCs w:val="19"/>
              </w:rPr>
              <w:t xml:space="preserve">Skip for now — too unstable to build a portfolio deadline around</w:t>
            </w:r>
          </w:p>
        </w:tc>
      </w:tr>
      <w:tr>
        <w:tc>
          <w:tcPr>
            <w:tcW w:type="dxa" w:w="2000"/>
            <w:shd w:fill="FFFFFF" w:val="clear"/>
            <w:tcMar>
              <w:top w:type="dxa" w:w="70"/>
              <w:left w:type="dxa" w:w="100"/>
              <w:bottom w:type="dxa" w:w="70"/>
              <w:right w:type="dxa" w:w="100"/>
            </w:tcMar>
          </w:tcPr>
          <w:p>
            <w:r>
              <w:rPr>
                <w:sz w:val="19"/>
                <w:szCs w:val="19"/>
              </w:rPr>
              <w:t xml:space="preserve">Render (free web service)</w:t>
            </w:r>
          </w:p>
        </w:tc>
        <w:tc>
          <w:tcPr>
            <w:tcW w:type="dxa" w:w="3500"/>
            <w:shd w:fill="FFFFFF" w:val="clear"/>
            <w:tcMar>
              <w:top w:type="dxa" w:w="70"/>
              <w:left w:type="dxa" w:w="100"/>
              <w:bottom w:type="dxa" w:w="70"/>
              <w:right w:type="dxa" w:w="100"/>
            </w:tcMar>
          </w:tcPr>
          <w:p>
            <w:r>
              <w:rPr>
                <w:sz w:val="19"/>
                <w:szCs w:val="19"/>
              </w:rPr>
              <w:t xml:space="preserve">Always free, but only 0.1 CPU / 512MB RAM. Sleeps after 15 min.</w:t>
            </w:r>
          </w:p>
        </w:tc>
        <w:tc>
          <w:tcPr>
            <w:tcW w:type="dxa" w:w="1400"/>
            <w:shd w:fill="FFFFFF" w:val="clear"/>
            <w:tcMar>
              <w:top w:type="dxa" w:w="70"/>
              <w:left w:type="dxa" w:w="100"/>
              <w:bottom w:type="dxa" w:w="70"/>
              <w:right w:type="dxa" w:w="100"/>
            </w:tcMar>
          </w:tcPr>
          <w:p>
            <w:r>
              <w:rPr>
                <w:sz w:val="19"/>
                <w:szCs w:val="19"/>
              </w:rPr>
              <w:t xml:space="preserve">Never</w:t>
            </w:r>
          </w:p>
        </w:tc>
        <w:tc>
          <w:tcPr>
            <w:tcW w:type="dxa" w:w="2450"/>
            <w:shd w:fill="FFFFFF" w:val="clear"/>
            <w:tcMar>
              <w:top w:type="dxa" w:w="70"/>
              <w:left w:type="dxa" w:w="100"/>
              <w:bottom w:type="dxa" w:w="70"/>
              <w:right w:type="dxa" w:w="100"/>
            </w:tcMar>
          </w:tcPr>
          <w:p>
            <w:r>
              <w:rPr>
                <w:sz w:val="19"/>
                <w:szCs w:val="19"/>
              </w:rPr>
              <w:t xml:space="preserve">Too small to run embeddings + LangGraph + LLM calls together — fallback only</w:t>
            </w:r>
          </w:p>
        </w:tc>
      </w:tr>
    </w:tbl>
    <w:p>
      <w:pPr>
        <w:spacing w:after="120"/>
      </w:pPr>
    </w:p>
    <w:p>
      <w:pPr>
        <w:spacing w:after="140"/>
      </w:pPr>
      <w:r>
        <w:t xml:space="preserve">Recommendation: deploy your Docker image to Hugging Face Spaces as the primary, always-there-for-free demo link — this is the one you put in your GitHub README and resume. Once the app works, you can also push the same image to Google Cloud Run to legitimately add "Google Cloud Run" to your stack line for interviews. Drop AWS EC2 from the resume bullet entirely unless you already have an old AWS account.</w:t>
      </w:r>
    </w:p>
    <w:p>
      <w:pPr>
        <w:spacing w:after="200"/>
      </w:pPr>
    </w:p>
    <w:p>
      <w:pPr>
        <w:pStyle w:val="Heading2"/>
        <w:spacing w:after="120" w:before="260"/>
      </w:pPr>
      <w:r>
        <w:t xml:space="preserve">2.3 Solving the "no persistent disk" problem for ChromaDB</w:t>
      </w:r>
    </w:p>
    <w:p>
      <w:pPr>
        <w:spacing w:after="140"/>
      </w:pPr>
      <w:r>
        <w:t xml:space="preserve">Every realistic zero-cost host above is stateless or ephemeral — so the RAG vector store can't be built at runtime. Fix: build the ChromaDB persist folder (or a lighter single-file FAISS index) offline as part of your ingestion pipeline, commit it to the repo, and COPY it into the Docker image at build time. At runtime the container only reads it — no writes needed, so ephemeral storage stops being a problem.</w:t>
      </w:r>
    </w:p>
    <w:p>
      <w:pPr>
        <w:spacing w:after="200"/>
      </w:pPr>
    </w:p>
    <w:p>
      <w:pPr>
        <w:pStyle w:val="Heading1"/>
        <w:spacing w:after="200" w:before="400"/>
      </w:pPr>
      <w:r>
        <w:t xml:space="preserve">3. LSTM Asset Audit — E:\LSTM</w:t>
      </w:r>
    </w:p>
    <w:p>
      <w:pPr>
        <w:spacing w:after="140"/>
      </w:pPr>
      <w:r>
        <w:t xml:space="preserve">What's already there: LSTM.py trains a 2-layer LSTM (128 → 64 units, dropout 0.2) on 0-2017-yearly.csv — 2,018 rows in U.S. Drought Monitor format (SCORE plus D0–D4 drought-severity and W0–W4 wetness percentage columns) — and saves LSTM_model.h5 with loss and prediction plots (Figure_1.png, Figure_2.png).</w:t>
      </w:r>
    </w:p>
    <w:p>
      <w:pPr>
        <w:spacing w:after="140"/>
      </w:pPr>
      <w:r>
        <w:t xml:space="preserve">That's genuinely useful — it proves you can build, train, and evaluate an LSTM end-to-end, and it's a good confidence-building prototype. Three issues need fixing before it becomes the Forecasting Agent's actual tool:</w:t>
      </w:r>
    </w:p>
    <w:p>
      <w:pPr>
        <w:pStyle w:val="Heading2"/>
        <w:spacing w:after="120" w:before="260"/>
      </w:pPr>
      <w:r>
        <w:t xml:space="preserve">Issue 1 — Data leakage in scaling (critical)</w:t>
      </w:r>
    </w:p>
    <w:p>
      <w:pPr>
        <w:spacing w:after="140"/>
      </w:pPr>
      <w:r>
        <w:t xml:space="preserve">scaler.fit_transform(tr) is called on the full trend series before the train/test split, so the scaler "sees" test-period values while fitting. Your own tech spec (Section 4, Step 8) explicitly warns against exactly this. Fix: split first, fit the scaler only on train — the split_and_scale() function already written in your spec (Section 13) does this correctly.</w:t>
      </w:r>
    </w:p>
    <w:p>
      <w:pPr>
        <w:pStyle w:val="Heading2"/>
        <w:spacing w:after="120" w:before="260"/>
      </w:pPr>
      <w:r>
        <w:t xml:space="preserve">Issue 2 — Look-ahead bias in decomposition</w:t>
      </w:r>
    </w:p>
    <w:p>
      <w:pPr>
        <w:spacing w:after="140"/>
      </w:pPr>
      <w:r>
        <w:t xml:space="preserve">seasonal_decompose() is two-sided by default, so the "trend" value at each timestep already incorporates future observations — the model ends up partly trained to predict values it indirectly already saw. Fix: use a causal (backward-only) rolling trend, or skip decomposition entirely and feed the cleaned series with lag features, matching Section 4/13 of your own spec.</w:t>
      </w:r>
    </w:p>
    <w:p>
      <w:pPr>
        <w:pStyle w:val="Heading2"/>
        <w:spacing w:after="120" w:before="260"/>
      </w:pPr>
      <w:r>
        <w:t xml:space="preserve">Issue 3 — Wrong region and single-feature only</w:t>
      </w:r>
    </w:p>
    <w:p>
      <w:pPr>
        <w:spacing w:after="140"/>
      </w:pPr>
      <w:r>
        <w:t xml:space="preserve">The CSV is U.S. Drought Monitor data, not India/IMD data, and the model uses only one feature (trend of D0). Your spec's India-specific positioning (Sections 10, 12, 15) needs real Open-Meteo/IMD rainfall data with the multivariate feature set — SPI, anomaly, lags, cyclical encoding — that Section 13 of your spec already documents.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2F1" w:val="clear"/>
            <w:tcMar>
              <w:top w:type="dxa" w:w="150"/>
              <w:left w:type="dxa" w:w="200"/>
              <w:bottom w:type="dxa" w:w="150"/>
              <w:right w:type="dxa" w:w="200"/>
            </w:tcMar>
          </w:tcPr>
          <w:p>
            <w:pPr>
              <w:spacing w:after="60"/>
            </w:pPr>
            <w:r>
              <w:rPr>
                <w:b/>
                <w:bCs/>
                <w:color w:val="0E7C7B"/>
              </w:rPr>
              <w:t xml:space="preserve">Verdict</w:t>
            </w:r>
          </w:p>
          <w:p>
            <w:r>
              <w:t xml:space="preserve">Reuse the architecture and the proof that your training/evaluation/saving pipeline works end-to-end. Retrain from scratch on real Open-Meteo/IMD regional data using the corrected, leak-free pipeline your own spec documents — this becomes Phase 1 below, and you already have a head start on the Keras/TensorFlow mechanics. Also switch model.save("LSTM_model.h5") to the modern .keras format — .h5 is legacy.</w:t>
            </w:r>
          </w:p>
        </w:tc>
      </w:tr>
    </w:tbl>
    <w:p>
      <w:pPr>
        <w:spacing w:after="200"/>
      </w:pPr>
    </w:p>
    <w:p>
      <w:pPr>
        <w:pStyle w:val="Heading1"/>
        <w:spacing w:after="200" w:before="400"/>
      </w:pPr>
      <w:r>
        <w:t xml:space="preserve">4. Updated Tech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50"/>
      </w:tblGrid>
      <w:tr>
        <w:trPr>
          <w:tblHeader/>
        </w:trPr>
        <w:tc>
          <w:tcPr>
            <w:tcW w:type="dxa" w:w="2400"/>
            <w:shd w:fill="1F3864" w:val="clear"/>
            <w:tcMar>
              <w:top w:type="dxa" w:w="80"/>
              <w:left w:type="dxa" w:w="100"/>
              <w:bottom w:type="dxa" w:w="80"/>
              <w:right w:type="dxa" w:w="100"/>
            </w:tcMar>
          </w:tcPr>
          <w:p>
            <w:r>
              <w:rPr>
                <w:b/>
                <w:bCs/>
                <w:color w:val="FFFFFF"/>
                <w:sz w:val="19"/>
                <w:szCs w:val="19"/>
              </w:rPr>
              <w:t xml:space="preserve">Layer</w:t>
            </w:r>
          </w:p>
        </w:tc>
        <w:tc>
          <w:tcPr>
            <w:tcW w:type="dxa" w:w="3800"/>
            <w:shd w:fill="1F3864" w:val="clear"/>
            <w:tcMar>
              <w:top w:type="dxa" w:w="80"/>
              <w:left w:type="dxa" w:w="100"/>
              <w:bottom w:type="dxa" w:w="80"/>
              <w:right w:type="dxa" w:w="100"/>
            </w:tcMar>
          </w:tcPr>
          <w:p>
            <w:r>
              <w:rPr>
                <w:b/>
                <w:bCs/>
                <w:color w:val="FFFFFF"/>
                <w:sz w:val="19"/>
                <w:szCs w:val="19"/>
              </w:rPr>
              <w:t xml:space="preserve">Tool</w:t>
            </w:r>
          </w:p>
        </w:tc>
        <w:tc>
          <w:tcPr>
            <w:tcW w:type="dxa" w:w="3150"/>
            <w:shd w:fill="1F3864" w:val="clear"/>
            <w:tcMar>
              <w:top w:type="dxa" w:w="80"/>
              <w:left w:type="dxa" w:w="100"/>
              <w:bottom w:type="dxa" w:w="80"/>
              <w:right w:type="dxa" w:w="100"/>
            </w:tcMar>
          </w:tcPr>
          <w:p>
            <w:r>
              <w:rPr>
                <w:b/>
                <w:bCs/>
                <w:color w:val="FFFFFF"/>
                <w:sz w:val="19"/>
                <w:szCs w:val="19"/>
              </w:rPr>
              <w:t xml:space="preserve">Change from original spec</w:t>
            </w:r>
          </w:p>
        </w:tc>
      </w:tr>
      <w:tr>
        <w:tc>
          <w:tcPr>
            <w:tcW w:type="dxa" w:w="2400"/>
            <w:shd w:fill="FFFFFF" w:val="clear"/>
            <w:tcMar>
              <w:top w:type="dxa" w:w="70"/>
              <w:left w:type="dxa" w:w="100"/>
              <w:bottom w:type="dxa" w:w="70"/>
              <w:right w:type="dxa" w:w="100"/>
            </w:tcMar>
          </w:tcPr>
          <w:p>
            <w:r>
              <w:rPr>
                <w:sz w:val="19"/>
                <w:szCs w:val="19"/>
              </w:rPr>
              <w:t xml:space="preserve">Agent orchestration</w:t>
            </w:r>
          </w:p>
        </w:tc>
        <w:tc>
          <w:tcPr>
            <w:tcW w:type="dxa" w:w="3800"/>
            <w:shd w:fill="FFFFFF" w:val="clear"/>
            <w:tcMar>
              <w:top w:type="dxa" w:w="70"/>
              <w:left w:type="dxa" w:w="100"/>
              <w:bottom w:type="dxa" w:w="70"/>
              <w:right w:type="dxa" w:w="100"/>
            </w:tcMar>
          </w:tcPr>
          <w:p>
            <w:r>
              <w:rPr>
                <w:sz w:val="19"/>
                <w:szCs w:val="19"/>
              </w:rPr>
              <w:t xml:space="preserve">LangGraph</w:t>
            </w:r>
          </w:p>
        </w:tc>
        <w:tc>
          <w:tcPr>
            <w:tcW w:type="dxa" w:w="3150"/>
            <w:shd w:fill="FFFFFF" w:val="clear"/>
            <w:tcMar>
              <w:top w:type="dxa" w:w="70"/>
              <w:left w:type="dxa" w:w="100"/>
              <w:bottom w:type="dxa" w:w="70"/>
              <w:right w:type="dxa" w:w="100"/>
            </w:tcMar>
          </w:tcPr>
          <w:p>
            <w:r>
              <w:rPr>
                <w:sz w:val="19"/>
                <w:szCs w:val="19"/>
              </w:rPr>
              <w:t xml:space="preserve">No change</w:t>
            </w:r>
          </w:p>
        </w:tc>
      </w:tr>
      <w:tr>
        <w:tc>
          <w:tcPr>
            <w:tcW w:type="dxa" w:w="2400"/>
            <w:shd w:fill="F5F7F7" w:val="clear"/>
            <w:tcMar>
              <w:top w:type="dxa" w:w="70"/>
              <w:left w:type="dxa" w:w="100"/>
              <w:bottom w:type="dxa" w:w="70"/>
              <w:right w:type="dxa" w:w="100"/>
            </w:tcMar>
          </w:tcPr>
          <w:p>
            <w:r>
              <w:rPr>
                <w:sz w:val="19"/>
                <w:szCs w:val="19"/>
              </w:rPr>
              <w:t xml:space="preserve">LLM backbone</w:t>
            </w:r>
          </w:p>
        </w:tc>
        <w:tc>
          <w:tcPr>
            <w:tcW w:type="dxa" w:w="3800"/>
            <w:shd w:fill="F5F7F7" w:val="clear"/>
            <w:tcMar>
              <w:top w:type="dxa" w:w="70"/>
              <w:left w:type="dxa" w:w="100"/>
              <w:bottom w:type="dxa" w:w="70"/>
              <w:right w:type="dxa" w:w="100"/>
            </w:tcMar>
          </w:tcPr>
          <w:p>
            <w:r>
              <w:rPr>
                <w:sz w:val="19"/>
                <w:szCs w:val="19"/>
              </w:rPr>
              <w:t xml:space="preserve">Gemini 2.5 Flash API</w:t>
            </w:r>
          </w:p>
        </w:tc>
        <w:tc>
          <w:tcPr>
            <w:tcW w:type="dxa" w:w="3150"/>
            <w:shd w:fill="F5F7F7" w:val="clear"/>
            <w:tcMar>
              <w:top w:type="dxa" w:w="70"/>
              <w:left w:type="dxa" w:w="100"/>
              <w:bottom w:type="dxa" w:w="70"/>
              <w:right w:type="dxa" w:w="100"/>
            </w:tcMar>
          </w:tcPr>
          <w:p>
            <w:r>
              <w:rPr>
                <w:sz w:val="19"/>
                <w:szCs w:val="19"/>
              </w:rPr>
              <w:t xml:space="preserve">Changed from Gemini 1.5 Pro — see Section 2.1</w:t>
            </w:r>
          </w:p>
        </w:tc>
      </w:tr>
      <w:tr>
        <w:tc>
          <w:tcPr>
            <w:tcW w:type="dxa" w:w="2400"/>
            <w:shd w:fill="FFFFFF" w:val="clear"/>
            <w:tcMar>
              <w:top w:type="dxa" w:w="70"/>
              <w:left w:type="dxa" w:w="100"/>
              <w:bottom w:type="dxa" w:w="70"/>
              <w:right w:type="dxa" w:w="100"/>
            </w:tcMar>
          </w:tcPr>
          <w:p>
            <w:r>
              <w:rPr>
                <w:sz w:val="19"/>
                <w:szCs w:val="19"/>
              </w:rPr>
              <w:t xml:space="preserve">RAG framework</w:t>
            </w:r>
          </w:p>
        </w:tc>
        <w:tc>
          <w:tcPr>
            <w:tcW w:type="dxa" w:w="3800"/>
            <w:shd w:fill="FFFFFF" w:val="clear"/>
            <w:tcMar>
              <w:top w:type="dxa" w:w="70"/>
              <w:left w:type="dxa" w:w="100"/>
              <w:bottom w:type="dxa" w:w="70"/>
              <w:right w:type="dxa" w:w="100"/>
            </w:tcMar>
          </w:tcPr>
          <w:p>
            <w:r>
              <w:rPr>
                <w:sz w:val="19"/>
                <w:szCs w:val="19"/>
              </w:rPr>
              <w:t xml:space="preserve">LangChain</w:t>
            </w:r>
          </w:p>
        </w:tc>
        <w:tc>
          <w:tcPr>
            <w:tcW w:type="dxa" w:w="3150"/>
            <w:shd w:fill="FFFFFF" w:val="clear"/>
            <w:tcMar>
              <w:top w:type="dxa" w:w="70"/>
              <w:left w:type="dxa" w:w="100"/>
              <w:bottom w:type="dxa" w:w="70"/>
              <w:right w:type="dxa" w:w="100"/>
            </w:tcMar>
          </w:tcPr>
          <w:p>
            <w:r>
              <w:rPr>
                <w:sz w:val="19"/>
                <w:szCs w:val="19"/>
              </w:rPr>
              <w:t xml:space="preserve">No change</w:t>
            </w:r>
          </w:p>
        </w:tc>
      </w:tr>
      <w:tr>
        <w:tc>
          <w:tcPr>
            <w:tcW w:type="dxa" w:w="2400"/>
            <w:shd w:fill="F5F7F7" w:val="clear"/>
            <w:tcMar>
              <w:top w:type="dxa" w:w="70"/>
              <w:left w:type="dxa" w:w="100"/>
              <w:bottom w:type="dxa" w:w="70"/>
              <w:right w:type="dxa" w:w="100"/>
            </w:tcMar>
          </w:tcPr>
          <w:p>
            <w:r>
              <w:rPr>
                <w:sz w:val="19"/>
                <w:szCs w:val="19"/>
              </w:rPr>
              <w:t xml:space="preserve">Vector database</w:t>
            </w:r>
          </w:p>
        </w:tc>
        <w:tc>
          <w:tcPr>
            <w:tcW w:type="dxa" w:w="3800"/>
            <w:shd w:fill="F5F7F7" w:val="clear"/>
            <w:tcMar>
              <w:top w:type="dxa" w:w="70"/>
              <w:left w:type="dxa" w:w="100"/>
              <w:bottom w:type="dxa" w:w="70"/>
              <w:right w:type="dxa" w:w="100"/>
            </w:tcMar>
          </w:tcPr>
          <w:p>
            <w:r>
              <w:rPr>
                <w:sz w:val="19"/>
                <w:szCs w:val="19"/>
              </w:rPr>
              <w:t xml:space="preserve">ChromaDB (index baked into Docker image)</w:t>
            </w:r>
          </w:p>
        </w:tc>
        <w:tc>
          <w:tcPr>
            <w:tcW w:type="dxa" w:w="3150"/>
            <w:shd w:fill="F5F7F7" w:val="clear"/>
            <w:tcMar>
              <w:top w:type="dxa" w:w="70"/>
              <w:left w:type="dxa" w:w="100"/>
              <w:bottom w:type="dxa" w:w="70"/>
              <w:right w:type="dxa" w:w="100"/>
            </w:tcMar>
          </w:tcPr>
          <w:p>
            <w:r>
              <w:rPr>
                <w:sz w:val="19"/>
                <w:szCs w:val="19"/>
              </w:rPr>
              <w:t xml:space="preserve">Added build-time bake step — see Section 2.3</w:t>
            </w:r>
          </w:p>
        </w:tc>
      </w:tr>
      <w:tr>
        <w:tc>
          <w:tcPr>
            <w:tcW w:type="dxa" w:w="2400"/>
            <w:shd w:fill="FFFFFF" w:val="clear"/>
            <w:tcMar>
              <w:top w:type="dxa" w:w="70"/>
              <w:left w:type="dxa" w:w="100"/>
              <w:bottom w:type="dxa" w:w="70"/>
              <w:right w:type="dxa" w:w="100"/>
            </w:tcMar>
          </w:tcPr>
          <w:p>
            <w:r>
              <w:rPr>
                <w:sz w:val="19"/>
                <w:szCs w:val="19"/>
              </w:rPr>
              <w:t xml:space="preserve">Embeddings</w:t>
            </w:r>
          </w:p>
        </w:tc>
        <w:tc>
          <w:tcPr>
            <w:tcW w:type="dxa" w:w="3800"/>
            <w:shd w:fill="FFFFFF" w:val="clear"/>
            <w:tcMar>
              <w:top w:type="dxa" w:w="70"/>
              <w:left w:type="dxa" w:w="100"/>
              <w:bottom w:type="dxa" w:w="70"/>
              <w:right w:type="dxa" w:w="100"/>
            </w:tcMar>
          </w:tcPr>
          <w:p>
            <w:r>
              <w:rPr>
                <w:sz w:val="19"/>
                <w:szCs w:val="19"/>
              </w:rPr>
              <w:t xml:space="preserve">sentence-transformers all-MiniLM-L6-v2</w:t>
            </w:r>
          </w:p>
        </w:tc>
        <w:tc>
          <w:tcPr>
            <w:tcW w:type="dxa" w:w="3150"/>
            <w:shd w:fill="FFFFFF" w:val="clear"/>
            <w:tcMar>
              <w:top w:type="dxa" w:w="70"/>
              <w:left w:type="dxa" w:w="100"/>
              <w:bottom w:type="dxa" w:w="70"/>
              <w:right w:type="dxa" w:w="100"/>
            </w:tcMar>
          </w:tcPr>
          <w:p>
            <w:r>
              <w:rPr>
                <w:sz w:val="19"/>
                <w:szCs w:val="19"/>
              </w:rPr>
              <w:t xml:space="preserve">No change</w:t>
            </w:r>
          </w:p>
        </w:tc>
      </w:tr>
      <w:tr>
        <w:tc>
          <w:tcPr>
            <w:tcW w:type="dxa" w:w="2400"/>
            <w:shd w:fill="F5F7F7" w:val="clear"/>
            <w:tcMar>
              <w:top w:type="dxa" w:w="70"/>
              <w:left w:type="dxa" w:w="100"/>
              <w:bottom w:type="dxa" w:w="70"/>
              <w:right w:type="dxa" w:w="100"/>
            </w:tcMar>
          </w:tcPr>
          <w:p>
            <w:r>
              <w:rPr>
                <w:sz w:val="19"/>
                <w:szCs w:val="19"/>
              </w:rPr>
              <w:t xml:space="preserve">PDF extraction</w:t>
            </w:r>
          </w:p>
        </w:tc>
        <w:tc>
          <w:tcPr>
            <w:tcW w:type="dxa" w:w="3800"/>
            <w:shd w:fill="F5F7F7" w:val="clear"/>
            <w:tcMar>
              <w:top w:type="dxa" w:w="70"/>
              <w:left w:type="dxa" w:w="100"/>
              <w:bottom w:type="dxa" w:w="70"/>
              <w:right w:type="dxa" w:w="100"/>
            </w:tcMar>
          </w:tcPr>
          <w:p>
            <w:r>
              <w:rPr>
                <w:sz w:val="19"/>
                <w:szCs w:val="19"/>
              </w:rPr>
              <w:t xml:space="preserve">PyMuPDF (fitz)</w:t>
            </w:r>
          </w:p>
        </w:tc>
        <w:tc>
          <w:tcPr>
            <w:tcW w:type="dxa" w:w="3150"/>
            <w:shd w:fill="F5F7F7" w:val="clear"/>
            <w:tcMar>
              <w:top w:type="dxa" w:w="70"/>
              <w:left w:type="dxa" w:w="100"/>
              <w:bottom w:type="dxa" w:w="70"/>
              <w:right w:type="dxa" w:w="100"/>
            </w:tcMar>
          </w:tcPr>
          <w:p>
            <w:r>
              <w:rPr>
                <w:sz w:val="19"/>
                <w:szCs w:val="19"/>
              </w:rPr>
              <w:t xml:space="preserve">No change</w:t>
            </w:r>
          </w:p>
        </w:tc>
      </w:tr>
      <w:tr>
        <w:tc>
          <w:tcPr>
            <w:tcW w:type="dxa" w:w="2400"/>
            <w:shd w:fill="FFFFFF" w:val="clear"/>
            <w:tcMar>
              <w:top w:type="dxa" w:w="70"/>
              <w:left w:type="dxa" w:w="100"/>
              <w:bottom w:type="dxa" w:w="70"/>
              <w:right w:type="dxa" w:w="100"/>
            </w:tcMar>
          </w:tcPr>
          <w:p>
            <w:r>
              <w:rPr>
                <w:sz w:val="19"/>
                <w:szCs w:val="19"/>
              </w:rPr>
              <w:t xml:space="preserve">Climate data</w:t>
            </w:r>
          </w:p>
        </w:tc>
        <w:tc>
          <w:tcPr>
            <w:tcW w:type="dxa" w:w="3800"/>
            <w:shd w:fill="FFFFFF" w:val="clear"/>
            <w:tcMar>
              <w:top w:type="dxa" w:w="70"/>
              <w:left w:type="dxa" w:w="100"/>
              <w:bottom w:type="dxa" w:w="70"/>
              <w:right w:type="dxa" w:w="100"/>
            </w:tcMar>
          </w:tcPr>
          <w:p>
            <w:r>
              <w:rPr>
                <w:sz w:val="19"/>
                <w:szCs w:val="19"/>
              </w:rPr>
              <w:t xml:space="preserve">Open-Meteo API + IMD district CSV</w:t>
            </w:r>
          </w:p>
        </w:tc>
        <w:tc>
          <w:tcPr>
            <w:tcW w:type="dxa" w:w="3150"/>
            <w:shd w:fill="FFFFFF" w:val="clear"/>
            <w:tcMar>
              <w:top w:type="dxa" w:w="70"/>
              <w:left w:type="dxa" w:w="100"/>
              <w:bottom w:type="dxa" w:w="70"/>
              <w:right w:type="dxa" w:w="100"/>
            </w:tcMar>
          </w:tcPr>
          <w:p>
            <w:r>
              <w:rPr>
                <w:sz w:val="19"/>
                <w:szCs w:val="19"/>
              </w:rPr>
              <w:t xml:space="preserve">No change</w:t>
            </w:r>
          </w:p>
        </w:tc>
      </w:tr>
      <w:tr>
        <w:tc>
          <w:tcPr>
            <w:tcW w:type="dxa" w:w="2400"/>
            <w:shd w:fill="F5F7F7" w:val="clear"/>
            <w:tcMar>
              <w:top w:type="dxa" w:w="70"/>
              <w:left w:type="dxa" w:w="100"/>
              <w:bottom w:type="dxa" w:w="70"/>
              <w:right w:type="dxa" w:w="100"/>
            </w:tcMar>
          </w:tcPr>
          <w:p>
            <w:r>
              <w:rPr>
                <w:sz w:val="19"/>
                <w:szCs w:val="19"/>
              </w:rPr>
              <w:t xml:space="preserve">LSTM model</w:t>
            </w:r>
          </w:p>
        </w:tc>
        <w:tc>
          <w:tcPr>
            <w:tcW w:type="dxa" w:w="3800"/>
            <w:shd w:fill="F5F7F7" w:val="clear"/>
            <w:tcMar>
              <w:top w:type="dxa" w:w="70"/>
              <w:left w:type="dxa" w:w="100"/>
              <w:bottom w:type="dxa" w:w="70"/>
              <w:right w:type="dxa" w:w="100"/>
            </w:tcMar>
          </w:tcPr>
          <w:p>
            <w:r>
              <w:rPr>
                <w:sz w:val="19"/>
                <w:szCs w:val="19"/>
              </w:rPr>
              <w:t xml:space="preserve">TensorFlow/Keras (.keras format)</w:t>
            </w:r>
          </w:p>
        </w:tc>
        <w:tc>
          <w:tcPr>
            <w:tcW w:type="dxa" w:w="3150"/>
            <w:shd w:fill="F5F7F7" w:val="clear"/>
            <w:tcMar>
              <w:top w:type="dxa" w:w="70"/>
              <w:left w:type="dxa" w:w="100"/>
              <w:bottom w:type="dxa" w:w="70"/>
              <w:right w:type="dxa" w:w="100"/>
            </w:tcMar>
          </w:tcPr>
          <w:p>
            <w:r>
              <w:rPr>
                <w:sz w:val="19"/>
                <w:szCs w:val="19"/>
              </w:rPr>
              <w:t xml:space="preserve">Rebuilt leak-free on India data — see Section 3</w:t>
            </w:r>
          </w:p>
        </w:tc>
      </w:tr>
      <w:tr>
        <w:tc>
          <w:tcPr>
            <w:tcW w:type="dxa" w:w="2400"/>
            <w:shd w:fill="FFFFFF" w:val="clear"/>
            <w:tcMar>
              <w:top w:type="dxa" w:w="70"/>
              <w:left w:type="dxa" w:w="100"/>
              <w:bottom w:type="dxa" w:w="70"/>
              <w:right w:type="dxa" w:w="100"/>
            </w:tcMar>
          </w:tcPr>
          <w:p>
            <w:r>
              <w:rPr>
                <w:sz w:val="19"/>
                <w:szCs w:val="19"/>
              </w:rPr>
              <w:t xml:space="preserve">Backend API</w:t>
            </w:r>
          </w:p>
        </w:tc>
        <w:tc>
          <w:tcPr>
            <w:tcW w:type="dxa" w:w="3800"/>
            <w:shd w:fill="FFFFFF" w:val="clear"/>
            <w:tcMar>
              <w:top w:type="dxa" w:w="70"/>
              <w:left w:type="dxa" w:w="100"/>
              <w:bottom w:type="dxa" w:w="70"/>
              <w:right w:type="dxa" w:w="100"/>
            </w:tcMar>
          </w:tcPr>
          <w:p>
            <w:r>
              <w:rPr>
                <w:sz w:val="19"/>
                <w:szCs w:val="19"/>
              </w:rPr>
              <w:t xml:space="preserve">FastAPI + Uvicorn</w:t>
            </w:r>
          </w:p>
        </w:tc>
        <w:tc>
          <w:tcPr>
            <w:tcW w:type="dxa" w:w="3150"/>
            <w:shd w:fill="FFFFFF" w:val="clear"/>
            <w:tcMar>
              <w:top w:type="dxa" w:w="70"/>
              <w:left w:type="dxa" w:w="100"/>
              <w:bottom w:type="dxa" w:w="70"/>
              <w:right w:type="dxa" w:w="100"/>
            </w:tcMar>
          </w:tcPr>
          <w:p>
            <w:r>
              <w:rPr>
                <w:sz w:val="19"/>
                <w:szCs w:val="19"/>
              </w:rPr>
              <w:t xml:space="preserve">No change</w:t>
            </w:r>
          </w:p>
        </w:tc>
      </w:tr>
      <w:tr>
        <w:tc>
          <w:tcPr>
            <w:tcW w:type="dxa" w:w="2400"/>
            <w:shd w:fill="F5F7F7" w:val="clear"/>
            <w:tcMar>
              <w:top w:type="dxa" w:w="70"/>
              <w:left w:type="dxa" w:w="100"/>
              <w:bottom w:type="dxa" w:w="70"/>
              <w:right w:type="dxa" w:w="100"/>
            </w:tcMar>
          </w:tcPr>
          <w:p>
            <w:r>
              <w:rPr>
                <w:sz w:val="19"/>
                <w:szCs w:val="19"/>
              </w:rPr>
              <w:t xml:space="preserve">Containerisation</w:t>
            </w:r>
          </w:p>
        </w:tc>
        <w:tc>
          <w:tcPr>
            <w:tcW w:type="dxa" w:w="3800"/>
            <w:shd w:fill="F5F7F7" w:val="clear"/>
            <w:tcMar>
              <w:top w:type="dxa" w:w="70"/>
              <w:left w:type="dxa" w:w="100"/>
              <w:bottom w:type="dxa" w:w="70"/>
              <w:right w:type="dxa" w:w="100"/>
            </w:tcMar>
          </w:tcPr>
          <w:p>
            <w:r>
              <w:rPr>
                <w:sz w:val="19"/>
                <w:szCs w:val="19"/>
              </w:rPr>
              <w:t xml:space="preserve">Docker</w:t>
            </w:r>
          </w:p>
        </w:tc>
        <w:tc>
          <w:tcPr>
            <w:tcW w:type="dxa" w:w="3150"/>
            <w:shd w:fill="F5F7F7" w:val="clear"/>
            <w:tcMar>
              <w:top w:type="dxa" w:w="70"/>
              <w:left w:type="dxa" w:w="100"/>
              <w:bottom w:type="dxa" w:w="70"/>
              <w:right w:type="dxa" w:w="100"/>
            </w:tcMar>
          </w:tcPr>
          <w:p>
            <w:r>
              <w:rPr>
                <w:sz w:val="19"/>
                <w:szCs w:val="19"/>
              </w:rPr>
              <w:t xml:space="preserve">No change</w:t>
            </w:r>
          </w:p>
        </w:tc>
      </w:tr>
      <w:tr>
        <w:tc>
          <w:tcPr>
            <w:tcW w:type="dxa" w:w="2400"/>
            <w:shd w:fill="FFFFFF" w:val="clear"/>
            <w:tcMar>
              <w:top w:type="dxa" w:w="70"/>
              <w:left w:type="dxa" w:w="100"/>
              <w:bottom w:type="dxa" w:w="70"/>
              <w:right w:type="dxa" w:w="100"/>
            </w:tcMar>
          </w:tcPr>
          <w:p>
            <w:r>
              <w:rPr>
                <w:sz w:val="19"/>
                <w:szCs w:val="19"/>
              </w:rPr>
              <w:t xml:space="preserve">Deployment</w:t>
            </w:r>
          </w:p>
        </w:tc>
        <w:tc>
          <w:tcPr>
            <w:tcW w:type="dxa" w:w="3800"/>
            <w:shd w:fill="FFFFFF" w:val="clear"/>
            <w:tcMar>
              <w:top w:type="dxa" w:w="70"/>
              <w:left w:type="dxa" w:w="100"/>
              <w:bottom w:type="dxa" w:w="70"/>
              <w:right w:type="dxa" w:w="100"/>
            </w:tcMar>
          </w:tcPr>
          <w:p>
            <w:r>
              <w:rPr>
                <w:sz w:val="19"/>
                <w:szCs w:val="19"/>
              </w:rPr>
              <w:t xml:space="preserve">Hugging Face Spaces (primary) + Google Cloud Run (stretch)</w:t>
            </w:r>
          </w:p>
        </w:tc>
        <w:tc>
          <w:tcPr>
            <w:tcW w:type="dxa" w:w="3150"/>
            <w:shd w:fill="FFFFFF" w:val="clear"/>
            <w:tcMar>
              <w:top w:type="dxa" w:w="70"/>
              <w:left w:type="dxa" w:w="100"/>
              <w:bottom w:type="dxa" w:w="70"/>
              <w:right w:type="dxa" w:w="100"/>
            </w:tcMar>
          </w:tcPr>
          <w:p>
            <w:r>
              <w:rPr>
                <w:sz w:val="19"/>
                <w:szCs w:val="19"/>
              </w:rPr>
              <w:t xml:space="preserve">Changed from AWS EC2 — see Section 2.2</w:t>
            </w:r>
          </w:p>
        </w:tc>
      </w:tr>
      <w:tr>
        <w:tc>
          <w:tcPr>
            <w:tcW w:type="dxa" w:w="2400"/>
            <w:shd w:fill="F5F7F7" w:val="clear"/>
            <w:tcMar>
              <w:top w:type="dxa" w:w="70"/>
              <w:left w:type="dxa" w:w="100"/>
              <w:bottom w:type="dxa" w:w="70"/>
              <w:right w:type="dxa" w:w="100"/>
            </w:tcMar>
          </w:tcPr>
          <w:p>
            <w:r>
              <w:rPr>
                <w:sz w:val="19"/>
                <w:szCs w:val="19"/>
              </w:rPr>
              <w:t xml:space="preserve">Output parsing</w:t>
            </w:r>
          </w:p>
        </w:tc>
        <w:tc>
          <w:tcPr>
            <w:tcW w:type="dxa" w:w="3800"/>
            <w:shd w:fill="F5F7F7" w:val="clear"/>
            <w:tcMar>
              <w:top w:type="dxa" w:w="70"/>
              <w:left w:type="dxa" w:w="100"/>
              <w:bottom w:type="dxa" w:w="70"/>
              <w:right w:type="dxa" w:w="100"/>
            </w:tcMar>
          </w:tcPr>
          <w:p>
            <w:r>
              <w:rPr>
                <w:sz w:val="19"/>
                <w:szCs w:val="19"/>
              </w:rPr>
              <w:t xml:space="preserve">Pydantic v2</w:t>
            </w:r>
          </w:p>
        </w:tc>
        <w:tc>
          <w:tcPr>
            <w:tcW w:type="dxa" w:w="3150"/>
            <w:shd w:fill="F5F7F7" w:val="clear"/>
            <w:tcMar>
              <w:top w:type="dxa" w:w="70"/>
              <w:left w:type="dxa" w:w="100"/>
              <w:bottom w:type="dxa" w:w="70"/>
              <w:right w:type="dxa" w:w="100"/>
            </w:tcMar>
          </w:tcPr>
          <w:p>
            <w:r>
              <w:rPr>
                <w:sz w:val="19"/>
                <w:szCs w:val="19"/>
              </w:rPr>
              <w:t xml:space="preserve">No change</w:t>
            </w:r>
          </w:p>
        </w:tc>
      </w:tr>
      <w:tr>
        <w:tc>
          <w:tcPr>
            <w:tcW w:type="dxa" w:w="2400"/>
            <w:shd w:fill="FFFFFF" w:val="clear"/>
            <w:tcMar>
              <w:top w:type="dxa" w:w="70"/>
              <w:left w:type="dxa" w:w="100"/>
              <w:bottom w:type="dxa" w:w="70"/>
              <w:right w:type="dxa" w:w="100"/>
            </w:tcMar>
          </w:tcPr>
          <w:p>
            <w:r>
              <w:rPr>
                <w:sz w:val="19"/>
                <w:szCs w:val="19"/>
              </w:rPr>
              <w:t xml:space="preserve">Evaluation</w:t>
            </w:r>
          </w:p>
        </w:tc>
        <w:tc>
          <w:tcPr>
            <w:tcW w:type="dxa" w:w="3800"/>
            <w:shd w:fill="FFFFFF" w:val="clear"/>
            <w:tcMar>
              <w:top w:type="dxa" w:w="70"/>
              <w:left w:type="dxa" w:w="100"/>
              <w:bottom w:type="dxa" w:w="70"/>
              <w:right w:type="dxa" w:w="100"/>
            </w:tcMar>
          </w:tcPr>
          <w:p>
            <w:r>
              <w:rPr>
                <w:sz w:val="19"/>
                <w:szCs w:val="19"/>
              </w:rPr>
              <w:t xml:space="preserve">RAGAS</w:t>
            </w:r>
          </w:p>
        </w:tc>
        <w:tc>
          <w:tcPr>
            <w:tcW w:type="dxa" w:w="3150"/>
            <w:shd w:fill="FFFFFF" w:val="clear"/>
            <w:tcMar>
              <w:top w:type="dxa" w:w="70"/>
              <w:left w:type="dxa" w:w="100"/>
              <w:bottom w:type="dxa" w:w="70"/>
              <w:right w:type="dxa" w:w="100"/>
            </w:tcMar>
          </w:tcPr>
          <w:p>
            <w:r>
              <w:rPr>
                <w:sz w:val="19"/>
                <w:szCs w:val="19"/>
              </w:rPr>
              <w:t xml:space="preserve">No change</w:t>
            </w:r>
          </w:p>
        </w:tc>
      </w:tr>
    </w:tbl>
    <w:p>
      <w:pPr>
        <w:spacing w:after="200"/>
      </w:pPr>
    </w:p>
    <w:p>
      <w:pPr>
        <w:pStyle w:val="Heading1"/>
        <w:spacing w:after="200" w:before="400"/>
      </w:pPr>
      <w:r>
        <w:t xml:space="preserve">5. Phase-by-Phase Build Plan</w:t>
      </w:r>
    </w:p>
    <w:p>
      <w:pPr>
        <w:spacing w:after="140"/>
      </w:pPr>
      <w:r>
        <w:t xml:space="preserve">Sized for building fast with Claude Code (Opus). Each phase below is scoped to be handed over as one focused coding session — once you're ready to start a phase, tell me and I'll turn it into a CLAUDE.md with exactly the context that phase needs.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50"/>
        <w:gridCol w:w="1750"/>
        <w:gridCol w:w="4250"/>
        <w:gridCol w:w="1900"/>
      </w:tblGrid>
      <w:tr>
        <w:trPr>
          <w:tblHeader/>
        </w:trPr>
        <w:tc>
          <w:tcPr>
            <w:tcW w:type="dxa" w:w="1450"/>
            <w:shd w:fill="1F3864" w:val="clear"/>
            <w:tcMar>
              <w:top w:type="dxa" w:w="80"/>
              <w:left w:type="dxa" w:w="100"/>
              <w:bottom w:type="dxa" w:w="80"/>
              <w:right w:type="dxa" w:w="100"/>
            </w:tcMar>
          </w:tcPr>
          <w:p>
            <w:r>
              <w:rPr>
                <w:b/>
                <w:bCs/>
                <w:color w:val="FFFFFF"/>
                <w:sz w:val="19"/>
                <w:szCs w:val="19"/>
              </w:rPr>
              <w:t xml:space="preserve">Phase</w:t>
            </w:r>
          </w:p>
        </w:tc>
        <w:tc>
          <w:tcPr>
            <w:tcW w:type="dxa" w:w="1750"/>
            <w:shd w:fill="1F3864" w:val="clear"/>
            <w:tcMar>
              <w:top w:type="dxa" w:w="80"/>
              <w:left w:type="dxa" w:w="100"/>
              <w:bottom w:type="dxa" w:w="80"/>
              <w:right w:type="dxa" w:w="100"/>
            </w:tcMar>
          </w:tcPr>
          <w:p>
            <w:r>
              <w:rPr>
                <w:b/>
                <w:bCs/>
                <w:color w:val="FFFFFF"/>
                <w:sz w:val="19"/>
                <w:szCs w:val="19"/>
              </w:rPr>
              <w:t xml:space="preserve">Goal</w:t>
            </w:r>
          </w:p>
        </w:tc>
        <w:tc>
          <w:tcPr>
            <w:tcW w:type="dxa" w:w="4250"/>
            <w:shd w:fill="1F3864" w:val="clear"/>
            <w:tcMar>
              <w:top w:type="dxa" w:w="80"/>
              <w:left w:type="dxa" w:w="100"/>
              <w:bottom w:type="dxa" w:w="80"/>
              <w:right w:type="dxa" w:w="100"/>
            </w:tcMar>
          </w:tcPr>
          <w:p>
            <w:r>
              <w:rPr>
                <w:b/>
                <w:bCs/>
                <w:color w:val="FFFFFF"/>
                <w:sz w:val="19"/>
                <w:szCs w:val="19"/>
              </w:rPr>
              <w:t xml:space="preserve">Key Tasks</w:t>
            </w:r>
          </w:p>
        </w:tc>
        <w:tc>
          <w:tcPr>
            <w:tcW w:type="dxa" w:w="1900"/>
            <w:shd w:fill="1F3864" w:val="clear"/>
            <w:tcMar>
              <w:top w:type="dxa" w:w="80"/>
              <w:left w:type="dxa" w:w="100"/>
              <w:bottom w:type="dxa" w:w="80"/>
              <w:right w:type="dxa" w:w="100"/>
            </w:tcMar>
          </w:tcPr>
          <w:p>
            <w:r>
              <w:rPr>
                <w:b/>
                <w:bCs/>
                <w:color w:val="FFFFFF"/>
                <w:sz w:val="19"/>
                <w:szCs w:val="19"/>
              </w:rPr>
              <w:t xml:space="preserve">Done-When</w:t>
            </w:r>
          </w:p>
        </w:tc>
      </w:tr>
      <w:tr>
        <w:tc>
          <w:tcPr>
            <w:tcW w:type="dxa" w:w="1450"/>
            <w:shd w:fill="FFFFFF" w:val="clear"/>
            <w:tcMar>
              <w:top w:type="dxa" w:w="70"/>
              <w:left w:type="dxa" w:w="100"/>
              <w:bottom w:type="dxa" w:w="70"/>
              <w:right w:type="dxa" w:w="100"/>
            </w:tcMar>
          </w:tcPr>
          <w:p>
            <w:r>
              <w:rPr>
                <w:sz w:val="19"/>
                <w:szCs w:val="19"/>
              </w:rPr>
              <w:t xml:space="preserve">0 — Setup</w:t>
            </w:r>
          </w:p>
        </w:tc>
        <w:tc>
          <w:tcPr>
            <w:tcW w:type="dxa" w:w="1750"/>
            <w:shd w:fill="FFFFFF" w:val="clear"/>
            <w:tcMar>
              <w:top w:type="dxa" w:w="70"/>
              <w:left w:type="dxa" w:w="100"/>
              <w:bottom w:type="dxa" w:w="70"/>
              <w:right w:type="dxa" w:w="100"/>
            </w:tcMar>
          </w:tcPr>
          <w:p>
            <w:r>
              <w:rPr>
                <w:sz w:val="19"/>
                <w:szCs w:val="19"/>
              </w:rPr>
              <w:t xml:space="preserve">Repo &amp; environment scaffold</w:t>
            </w:r>
          </w:p>
        </w:tc>
        <w:tc>
          <w:tcPr>
            <w:tcW w:type="dxa" w:w="4250"/>
            <w:shd w:fill="FFFFFF" w:val="clear"/>
            <w:tcMar>
              <w:top w:type="dxa" w:w="70"/>
              <w:left w:type="dxa" w:w="100"/>
              <w:bottom w:type="dxa" w:w="70"/>
              <w:right w:type="dxa" w:w="100"/>
            </w:tcMar>
          </w:tcPr>
          <w:p>
            <w:r>
              <w:rPr>
                <w:sz w:val="19"/>
                <w:szCs w:val="19"/>
              </w:rPr>
              <w:t xml:space="preserve">Init git repo; folder structure (agents/, data/, models/, rag/, api/); requirements.txt; .env.example with GEMINI_API_KEY; base Dockerfile</w:t>
            </w:r>
          </w:p>
        </w:tc>
        <w:tc>
          <w:tcPr>
            <w:tcW w:type="dxa" w:w="1900"/>
            <w:shd w:fill="FFFFFF" w:val="clear"/>
            <w:tcMar>
              <w:top w:type="dxa" w:w="70"/>
              <w:left w:type="dxa" w:w="100"/>
              <w:bottom w:type="dxa" w:w="70"/>
              <w:right w:type="dxa" w:w="100"/>
            </w:tcMar>
          </w:tcPr>
          <w:p>
            <w:r>
              <w:rPr>
                <w:sz w:val="19"/>
                <w:szCs w:val="19"/>
              </w:rPr>
              <w:t xml:space="preserve">docker build succeeds on a "hello world" FastAPI app</w:t>
            </w:r>
          </w:p>
        </w:tc>
      </w:tr>
      <w:tr>
        <w:tc>
          <w:tcPr>
            <w:tcW w:type="dxa" w:w="1450"/>
            <w:shd w:fill="F5F7F7" w:val="clear"/>
            <w:tcMar>
              <w:top w:type="dxa" w:w="70"/>
              <w:left w:type="dxa" w:w="100"/>
              <w:bottom w:type="dxa" w:w="70"/>
              <w:right w:type="dxa" w:w="100"/>
            </w:tcMar>
          </w:tcPr>
          <w:p>
            <w:r>
              <w:rPr>
                <w:sz w:val="19"/>
                <w:szCs w:val="19"/>
              </w:rPr>
              <w:t xml:space="preserve">1 — Forecasting Agent</w:t>
            </w:r>
          </w:p>
        </w:tc>
        <w:tc>
          <w:tcPr>
            <w:tcW w:type="dxa" w:w="1750"/>
            <w:shd w:fill="F5F7F7" w:val="clear"/>
            <w:tcMar>
              <w:top w:type="dxa" w:w="70"/>
              <w:left w:type="dxa" w:w="100"/>
              <w:bottom w:type="dxa" w:w="70"/>
              <w:right w:type="dxa" w:w="100"/>
            </w:tcMar>
          </w:tcPr>
          <w:p>
            <w:r>
              <w:rPr>
                <w:sz w:val="19"/>
                <w:szCs w:val="19"/>
              </w:rPr>
              <w:t xml:space="preserve">Fix and retrain the LSTM on real data</w:t>
            </w:r>
          </w:p>
        </w:tc>
        <w:tc>
          <w:tcPr>
            <w:tcW w:type="dxa" w:w="4250"/>
            <w:shd w:fill="F5F7F7" w:val="clear"/>
            <w:tcMar>
              <w:top w:type="dxa" w:w="70"/>
              <w:left w:type="dxa" w:w="100"/>
              <w:bottom w:type="dxa" w:w="70"/>
              <w:right w:type="dxa" w:w="100"/>
            </w:tcMar>
          </w:tcPr>
          <w:p>
            <w:r>
              <w:rPr>
                <w:sz w:val="19"/>
                <w:szCs w:val="19"/>
              </w:rPr>
              <w:t xml:space="preserve">Pull Open-Meteo/IMD rainfall for 1 region; run the corrected clean_india_climate() pipeline; retrain LSTM (leak-free, multivariate, chronological split); evaluate RMSE/MAE/R² on 2020–2024; wrap as a LangGraph @tool</w:t>
            </w:r>
          </w:p>
        </w:tc>
        <w:tc>
          <w:tcPr>
            <w:tcW w:type="dxa" w:w="1900"/>
            <w:shd w:fill="F5F7F7" w:val="clear"/>
            <w:tcMar>
              <w:top w:type="dxa" w:w="70"/>
              <w:left w:type="dxa" w:w="100"/>
              <w:bottom w:type="dxa" w:w="70"/>
              <w:right w:type="dxa" w:w="100"/>
            </w:tcMar>
          </w:tcPr>
          <w:p>
            <w:r>
              <w:rPr>
                <w:sz w:val="19"/>
                <w:szCs w:val="19"/>
              </w:rPr>
              <w:t xml:space="preserve">@tool returns {predicted_values, risk_score}; test-set RMSE/R² printed and saved</w:t>
            </w:r>
          </w:p>
        </w:tc>
      </w:tr>
      <w:tr>
        <w:tc>
          <w:tcPr>
            <w:tcW w:type="dxa" w:w="1450"/>
            <w:shd w:fill="FFFFFF" w:val="clear"/>
            <w:tcMar>
              <w:top w:type="dxa" w:w="70"/>
              <w:left w:type="dxa" w:w="100"/>
              <w:bottom w:type="dxa" w:w="70"/>
              <w:right w:type="dxa" w:w="100"/>
            </w:tcMar>
          </w:tcPr>
          <w:p>
            <w:r>
              <w:rPr>
                <w:sz w:val="19"/>
                <w:szCs w:val="19"/>
              </w:rPr>
              <w:t xml:space="preserve">2 — Retrieval Agent</w:t>
            </w:r>
          </w:p>
        </w:tc>
        <w:tc>
          <w:tcPr>
            <w:tcW w:type="dxa" w:w="1750"/>
            <w:shd w:fill="FFFFFF" w:val="clear"/>
            <w:tcMar>
              <w:top w:type="dxa" w:w="70"/>
              <w:left w:type="dxa" w:w="100"/>
              <w:bottom w:type="dxa" w:w="70"/>
              <w:right w:type="dxa" w:w="100"/>
            </w:tcMar>
          </w:tcPr>
          <w:p>
            <w:r>
              <w:rPr>
                <w:sz w:val="19"/>
                <w:szCs w:val="19"/>
              </w:rPr>
              <w:t xml:space="preserve">Build the RAG corpus</w:t>
            </w:r>
          </w:p>
        </w:tc>
        <w:tc>
          <w:tcPr>
            <w:tcW w:type="dxa" w:w="4250"/>
            <w:shd w:fill="FFFFFF" w:val="clear"/>
            <w:tcMar>
              <w:top w:type="dxa" w:w="70"/>
              <w:left w:type="dxa" w:w="100"/>
              <w:bottom w:type="dxa" w:w="70"/>
              <w:right w:type="dxa" w:w="100"/>
            </w:tcMar>
          </w:tcPr>
          <w:p>
            <w:r>
              <w:rPr>
                <w:sz w:val="19"/>
                <w:szCs w:val="19"/>
              </w:rPr>
              <w:t xml:space="preserve">Download 5–8 free PDFs (IPCC/NOAA/IMD/NDMA); PyMuPDF extraction + cleaning; chunk + embed with MiniLM; build ChromaDB persist folder offline; retrieval node</w:t>
            </w:r>
          </w:p>
        </w:tc>
        <w:tc>
          <w:tcPr>
            <w:tcW w:type="dxa" w:w="1900"/>
            <w:shd w:fill="FFFFFF" w:val="clear"/>
            <w:tcMar>
              <w:top w:type="dxa" w:w="70"/>
              <w:left w:type="dxa" w:w="100"/>
              <w:bottom w:type="dxa" w:w="70"/>
              <w:right w:type="dxa" w:w="100"/>
            </w:tcMar>
          </w:tcPr>
          <w:p>
            <w:r>
              <w:rPr>
                <w:sz w:val="19"/>
                <w:szCs w:val="19"/>
              </w:rPr>
              <w:t xml:space="preserve">Top-3 chunks are visibly relevant for 5 sample queries; persist folder committed to repo</w:t>
            </w:r>
          </w:p>
        </w:tc>
      </w:tr>
      <w:tr>
        <w:tc>
          <w:tcPr>
            <w:tcW w:type="dxa" w:w="1450"/>
            <w:shd w:fill="F5F7F7" w:val="clear"/>
            <w:tcMar>
              <w:top w:type="dxa" w:w="70"/>
              <w:left w:type="dxa" w:w="100"/>
              <w:bottom w:type="dxa" w:w="70"/>
              <w:right w:type="dxa" w:w="100"/>
            </w:tcMar>
          </w:tcPr>
          <w:p>
            <w:r>
              <w:rPr>
                <w:sz w:val="19"/>
                <w:szCs w:val="19"/>
              </w:rPr>
              <w:t xml:space="preserve">3 — Orchestrator + Synthesis</w:t>
            </w:r>
          </w:p>
        </w:tc>
        <w:tc>
          <w:tcPr>
            <w:tcW w:type="dxa" w:w="1750"/>
            <w:shd w:fill="F5F7F7" w:val="clear"/>
            <w:tcMar>
              <w:top w:type="dxa" w:w="70"/>
              <w:left w:type="dxa" w:w="100"/>
              <w:bottom w:type="dxa" w:w="70"/>
              <w:right w:type="dxa" w:w="100"/>
            </w:tcMar>
          </w:tcPr>
          <w:p>
            <w:r>
              <w:rPr>
                <w:sz w:val="19"/>
                <w:szCs w:val="19"/>
              </w:rPr>
              <w:t xml:space="preserve">Wire the LangGraph core</w:t>
            </w:r>
          </w:p>
        </w:tc>
        <w:tc>
          <w:tcPr>
            <w:tcW w:type="dxa" w:w="4250"/>
            <w:shd w:fill="F5F7F7" w:val="clear"/>
            <w:tcMar>
              <w:top w:type="dxa" w:w="70"/>
              <w:left w:type="dxa" w:w="100"/>
              <w:bottom w:type="dxa" w:w="70"/>
              <w:right w:type="dxa" w:w="100"/>
            </w:tcMar>
          </w:tcPr>
          <w:p>
            <w:r>
              <w:rPr>
                <w:sz w:val="19"/>
                <w:szCs w:val="19"/>
              </w:rPr>
              <w:t xml:space="preserve">ClimateState TypedDict; StateGraph wiring Orchestrator → parallel Retrieval + Forecasting → Synthesis; Gemini 2.5 Flash call with Pydantic schema; citation formatting</w:t>
            </w:r>
          </w:p>
        </w:tc>
        <w:tc>
          <w:tcPr>
            <w:tcW w:type="dxa" w:w="1900"/>
            <w:shd w:fill="F5F7F7" w:val="clear"/>
            <w:tcMar>
              <w:top w:type="dxa" w:w="70"/>
              <w:left w:type="dxa" w:w="100"/>
              <w:bottom w:type="dxa" w:w="70"/>
              <w:right w:type="dxa" w:w="100"/>
            </w:tcMar>
          </w:tcPr>
          <w:p>
            <w:r>
              <w:rPr>
                <w:sz w:val="19"/>
                <w:szCs w:val="19"/>
              </w:rPr>
              <w:t xml:space="preserve">One full query produces a structured, citation-grounded report with no hallucinated sources</w:t>
            </w:r>
          </w:p>
        </w:tc>
      </w:tr>
      <w:tr>
        <w:tc>
          <w:tcPr>
            <w:tcW w:type="dxa" w:w="1450"/>
            <w:shd w:fill="FFFFFF" w:val="clear"/>
            <w:tcMar>
              <w:top w:type="dxa" w:w="70"/>
              <w:left w:type="dxa" w:w="100"/>
              <w:bottom w:type="dxa" w:w="70"/>
              <w:right w:type="dxa" w:w="100"/>
            </w:tcMar>
          </w:tcPr>
          <w:p>
            <w:r>
              <w:rPr>
                <w:sz w:val="19"/>
                <w:szCs w:val="19"/>
              </w:rPr>
              <w:t xml:space="preserve">4 — Crop Impact Agent (optional, high resume value)</w:t>
            </w:r>
          </w:p>
        </w:tc>
        <w:tc>
          <w:tcPr>
            <w:tcW w:type="dxa" w:w="1750"/>
            <w:shd w:fill="FFFFFF" w:val="clear"/>
            <w:tcMar>
              <w:top w:type="dxa" w:w="70"/>
              <w:left w:type="dxa" w:w="100"/>
              <w:bottom w:type="dxa" w:w="70"/>
              <w:right w:type="dxa" w:w="100"/>
            </w:tcMar>
          </w:tcPr>
          <w:p>
            <w:r>
              <w:rPr>
                <w:sz w:val="19"/>
                <w:szCs w:val="19"/>
              </w:rPr>
              <w:t xml:space="preserve">Add the India differentiator</w:t>
            </w:r>
          </w:p>
        </w:tc>
        <w:tc>
          <w:tcPr>
            <w:tcW w:type="dxa" w:w="4250"/>
            <w:shd w:fill="FFFFFF" w:val="clear"/>
            <w:tcMar>
              <w:top w:type="dxa" w:w="70"/>
              <w:left w:type="dxa" w:w="100"/>
              <w:bottom w:type="dxa" w:w="70"/>
              <w:right w:type="dxa" w:w="100"/>
            </w:tcMar>
          </w:tcPr>
          <w:p>
            <w:r>
              <w:rPr>
                <w:sz w:val="19"/>
                <w:szCs w:val="19"/>
              </w:rPr>
              <w:t xml:space="preserve">Hardcode ICAR correlation table; add 5th agent node; wire into Synthesis</w:t>
            </w:r>
          </w:p>
        </w:tc>
        <w:tc>
          <w:tcPr>
            <w:tcW w:type="dxa" w:w="1900"/>
            <w:shd w:fill="FFFFFF" w:val="clear"/>
            <w:tcMar>
              <w:top w:type="dxa" w:w="70"/>
              <w:left w:type="dxa" w:w="100"/>
              <w:bottom w:type="dxa" w:w="70"/>
              <w:right w:type="dxa" w:w="100"/>
            </w:tcMar>
          </w:tcPr>
          <w:p>
            <w:r>
              <w:rPr>
                <w:sz w:val="19"/>
                <w:szCs w:val="19"/>
              </w:rPr>
              <w:t xml:space="preserve">Report includes yield-loss % and PMFBY trigger flag for ≥3 crops</w:t>
            </w:r>
          </w:p>
        </w:tc>
      </w:tr>
      <w:tr>
        <w:tc>
          <w:tcPr>
            <w:tcW w:type="dxa" w:w="1450"/>
            <w:shd w:fill="F5F7F7" w:val="clear"/>
            <w:tcMar>
              <w:top w:type="dxa" w:w="70"/>
              <w:left w:type="dxa" w:w="100"/>
              <w:bottom w:type="dxa" w:w="70"/>
              <w:right w:type="dxa" w:w="100"/>
            </w:tcMar>
          </w:tcPr>
          <w:p>
            <w:r>
              <w:rPr>
                <w:sz w:val="19"/>
                <w:szCs w:val="19"/>
              </w:rPr>
              <w:t xml:space="preserve">5 — Evaluation Suite</w:t>
            </w:r>
          </w:p>
        </w:tc>
        <w:tc>
          <w:tcPr>
            <w:tcW w:type="dxa" w:w="1750"/>
            <w:shd w:fill="F5F7F7" w:val="clear"/>
            <w:tcMar>
              <w:top w:type="dxa" w:w="70"/>
              <w:left w:type="dxa" w:w="100"/>
              <w:bottom w:type="dxa" w:w="70"/>
              <w:right w:type="dxa" w:w="100"/>
            </w:tcMar>
          </w:tcPr>
          <w:p>
            <w:r>
              <w:rPr>
                <w:sz w:val="19"/>
                <w:szCs w:val="19"/>
              </w:rPr>
              <w:t xml:space="preserve">Get the numbers for your resume</w:t>
            </w:r>
          </w:p>
        </w:tc>
        <w:tc>
          <w:tcPr>
            <w:tcW w:type="dxa" w:w="4250"/>
            <w:shd w:fill="F5F7F7" w:val="clear"/>
            <w:tcMar>
              <w:top w:type="dxa" w:w="70"/>
              <w:left w:type="dxa" w:w="100"/>
              <w:bottom w:type="dxa" w:w="70"/>
              <w:right w:type="dxa" w:w="100"/>
            </w:tcMar>
          </w:tcPr>
          <w:p>
            <w:r>
              <w:rPr>
                <w:sz w:val="19"/>
                <w:szCs w:val="19"/>
              </w:rPr>
              <w:t xml:space="preserve">RAGAS (faithfulness/relevancy/recall) on 10–20 queries; latency test; hallucination test on a data-sparse region; finalize LSTM metrics</w:t>
            </w:r>
          </w:p>
        </w:tc>
        <w:tc>
          <w:tcPr>
            <w:tcW w:type="dxa" w:w="1900"/>
            <w:shd w:fill="F5F7F7" w:val="clear"/>
            <w:tcMar>
              <w:top w:type="dxa" w:w="70"/>
              <w:left w:type="dxa" w:w="100"/>
              <w:bottom w:type="dxa" w:w="70"/>
              <w:right w:type="dxa" w:w="100"/>
            </w:tcMar>
          </w:tcPr>
          <w:p>
            <w:r>
              <w:rPr>
                <w:sz w:val="19"/>
                <w:szCs w:val="19"/>
              </w:rPr>
              <w:t xml:space="preserve">Faithfulness &gt; 0.85 target logged; RMSE/R² recorded</w:t>
            </w:r>
          </w:p>
        </w:tc>
      </w:tr>
      <w:tr>
        <w:tc>
          <w:tcPr>
            <w:tcW w:type="dxa" w:w="1450"/>
            <w:shd w:fill="FFFFFF" w:val="clear"/>
            <w:tcMar>
              <w:top w:type="dxa" w:w="70"/>
              <w:left w:type="dxa" w:w="100"/>
              <w:bottom w:type="dxa" w:w="70"/>
              <w:right w:type="dxa" w:w="100"/>
            </w:tcMar>
          </w:tcPr>
          <w:p>
            <w:r>
              <w:rPr>
                <w:sz w:val="19"/>
                <w:szCs w:val="19"/>
              </w:rPr>
              <w:t xml:space="preserve">6 — API, Container, Deploy</w:t>
            </w:r>
          </w:p>
        </w:tc>
        <w:tc>
          <w:tcPr>
            <w:tcW w:type="dxa" w:w="1750"/>
            <w:shd w:fill="FFFFFF" w:val="clear"/>
            <w:tcMar>
              <w:top w:type="dxa" w:w="70"/>
              <w:left w:type="dxa" w:w="100"/>
              <w:bottom w:type="dxa" w:w="70"/>
              <w:right w:type="dxa" w:w="100"/>
            </w:tcMar>
          </w:tcPr>
          <w:p>
            <w:r>
              <w:rPr>
                <w:sz w:val="19"/>
                <w:szCs w:val="19"/>
              </w:rPr>
              <w:t xml:space="preserve">Ship it</w:t>
            </w:r>
          </w:p>
        </w:tc>
        <w:tc>
          <w:tcPr>
            <w:tcW w:type="dxa" w:w="4250"/>
            <w:shd w:fill="FFFFFF" w:val="clear"/>
            <w:tcMar>
              <w:top w:type="dxa" w:w="70"/>
              <w:left w:type="dxa" w:w="100"/>
              <w:bottom w:type="dxa" w:w="70"/>
              <w:right w:type="dxa" w:w="100"/>
            </w:tcMar>
          </w:tcPr>
          <w:p>
            <w:r>
              <w:rPr>
                <w:sz w:val="19"/>
                <w:szCs w:val="19"/>
              </w:rPr>
              <w:t xml:space="preserve">FastAPI /analyze endpoint; finalize Dockerfile (bakes RAG index in); deploy to Hugging Face Spaces; optional Cloud Run stretch deploy; README with architecture diagram + live link</w:t>
            </w:r>
          </w:p>
        </w:tc>
        <w:tc>
          <w:tcPr>
            <w:tcW w:type="dxa" w:w="1900"/>
            <w:shd w:fill="FFFFFF" w:val="clear"/>
            <w:tcMar>
              <w:top w:type="dxa" w:w="70"/>
              <w:left w:type="dxa" w:w="100"/>
              <w:bottom w:type="dxa" w:w="70"/>
              <w:right w:type="dxa" w:w="100"/>
            </w:tcMar>
          </w:tcPr>
          <w:p>
            <w:r>
              <w:rPr>
                <w:sz w:val="19"/>
                <w:szCs w:val="19"/>
              </w:rPr>
              <w:t xml:space="preserve">Public URL returns a JSON report via curl or browser</w:t>
            </w:r>
          </w:p>
        </w:tc>
      </w:tr>
    </w:tbl>
    <w:p>
      <w:pPr>
        <w:spacing w:after="200"/>
      </w:pPr>
    </w:p>
    <w:p>
      <w:pPr>
        <w:pStyle w:val="Heading1"/>
        <w:spacing w:after="200" w:before="400"/>
      </w:pPr>
      <w:r>
        <w:t xml:space="preserve">6. Updated Resume Bullet (Zero-Cost Accurate Version)</w:t>
      </w:r>
    </w:p>
    <w:p>
      <w:pPr>
        <w:spacing w:after="140"/>
      </w:pPr>
      <w:r>
        <w:rPr>
          <w:b/>
          <w:bCs/>
        </w:rPr>
        <w:t xml:space="preserve">In progress — add now:</w:t>
      </w:r>
    </w:p>
    <w:p>
      <w:pPr>
        <w:spacing w:after="140"/>
      </w:pPr>
      <w:r>
        <w:rPr>
          <w:i/>
          <w:iCs/>
        </w:rPr>
        <w:t xml:space="preserve">Multi-Agent Climate Risk Analyst  [In Progress]  |  github.com/yourusername/climate-risk-analyst</w:t>
      </w:r>
    </w:p>
    <w:p>
      <w:pPr>
        <w:spacing w:after="140"/>
      </w:pPr>
      <w:r>
        <w:t xml:space="preserve">Building a 5-agent agentic AI system for India-specific climate and agricultural risk assessment using LangGraph (Orchestrator, Retrieval, Forecasting, Crop Impact, Synthesis agents). RAG pipeline over IPCC AR6, NOAA, IMD seasonal outlooks, and NDMA disaster records via ChromaDB. LSTM model trained on IMD/Open-Meteo district-level rainfall data (1980–2024) predicts drought SPI 90 days ahead; Crop Impact Agent maps forecasts to yield-loss estimates for 6 Indian crops using ICAR correlation data. Synthesis agent generates structured, citation-grounded risk reports via Gemini 2.5 Flash + Pydantic validation. Fully free-tier: Gemini API + Hugging Face Spaces deployment, zero infrastructure cost.</w:t>
      </w:r>
    </w:p>
    <w:p>
      <w:pPr>
        <w:spacing w:after="140"/>
      </w:pPr>
      <w:r>
        <w:rPr>
          <w:i/>
          <w:iCs/>
          <w:color w:val="595959"/>
        </w:rPr>
        <w:t xml:space="preserve">Stack: LangGraph · ChromaDB · FastAPI · Docker · Hugging Face Spaces · Google Cloud Run · TensorFlow · Gemini API · RAGAS</w:t>
      </w:r>
    </w:p>
    <w:p>
      <w:pPr>
        <w:spacing w:after="200"/>
      </w:pPr>
    </w:p>
    <w:p>
      <w:pPr>
        <w:pStyle w:val="Heading1"/>
        <w:spacing w:after="200" w:before="400"/>
      </w:pPr>
      <w:r>
        <w:t xml:space="preserve">7. Sources</w:t>
      </w:r>
    </w:p>
    <w:p>
      <w:pPr>
        <w:pStyle w:val="ListParagraph"/>
        <w:numPr>
          <w:ilvl w:val="0"/>
          <w:numId w:val="2"/>
        </w:numPr>
        <w:spacing w:after="80"/>
      </w:pPr>
      <w:r>
        <w:t xml:space="preserve">Gemini API free tier rate limits — https://tokenmix.ai/blog/gemini-api-free-tier-limits</w:t>
      </w:r>
    </w:p>
    <w:p>
      <w:pPr>
        <w:pStyle w:val="ListParagraph"/>
        <w:numPr>
          <w:ilvl w:val="0"/>
          <w:numId w:val="2"/>
        </w:numPr>
        <w:spacing w:after="80"/>
      </w:pPr>
      <w:r>
        <w:t xml:space="preserve">AWS Free Tier 2026 changes — https://cloudwebschool.com/docs/aws/fundamentals/aws-free-tier/</w:t>
      </w:r>
    </w:p>
    <w:p>
      <w:pPr>
        <w:pStyle w:val="ListParagraph"/>
        <w:numPr>
          <w:ilvl w:val="0"/>
          <w:numId w:val="2"/>
        </w:numPr>
        <w:spacing w:after="80"/>
      </w:pPr>
      <w:r>
        <w:t xml:space="preserve">Google Cloud Run pricing / always-free tier — https://cloud.google.com/run/pricing</w:t>
      </w:r>
    </w:p>
    <w:p>
      <w:pPr>
        <w:pStyle w:val="ListParagraph"/>
        <w:numPr>
          <w:ilvl w:val="0"/>
          <w:numId w:val="2"/>
        </w:numPr>
        <w:spacing w:after="80"/>
      </w:pPr>
      <w:r>
        <w:t xml:space="preserve">Hugging Face Spaces FastAPI deployment restrictions — https://medium.com/@na.mazaheri/deploying-a-fastapi-app-on-hugging-face-spaces-and-handling-all-its-restrictions-d494d97a78fa</w:t>
      </w:r>
    </w:p>
    <w:p>
      <w:pPr>
        <w:pStyle w:val="ListParagraph"/>
        <w:numPr>
          <w:ilvl w:val="0"/>
          <w:numId w:val="2"/>
        </w:numPr>
        <w:spacing w:after="80"/>
      </w:pPr>
      <w:r>
        <w:t xml:space="preserve">Oracle Cloud Always Free tier breakdown — https://fullmetalbrackets.com/blog/oci-free-tier-breakdown</w:t>
      </w:r>
    </w:p>
    <w:p>
      <w:pPr>
        <w:pStyle w:val="ListParagraph"/>
        <w:numPr>
          <w:ilvl w:val="0"/>
          <w:numId w:val="2"/>
        </w:numPr>
        <w:spacing w:after="80"/>
      </w:pPr>
      <w:r>
        <w:t xml:space="preserve">Render free tier 2026 — https://agentdeals.dev/vendor/render</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80" w:before="360"/>
    </w:pPr>
    <w:rPr>
      <w:rFonts w:ascii="Calibri" w:cs="Calibri" w:eastAsia="Calibri" w:hAnsi="Calibri"/>
      <w:b/>
      <w:bCs/>
      <w:color w:val="1F3864"/>
      <w:sz w:val="30"/>
      <w:szCs w:val="30"/>
    </w:rPr>
  </w:style>
  <w:style w:type="paragraph" w:styleId="Heading2">
    <w:name w:val="Heading 2"/>
    <w:basedOn w:val="Normal"/>
    <w:next w:val="Normal"/>
    <w:qFormat/>
    <w:pPr>
      <w:spacing w:after="120" w:before="260"/>
    </w:pPr>
    <w:rPr>
      <w:rFonts w:ascii="Calibri" w:cs="Calibri" w:eastAsia="Calibri" w:hAnsi="Calibri"/>
      <w:b/>
      <w:bCs/>
      <w:color w:val="0E7C7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2026-08-17T16:08:04.608Z</dcterms:created>
  <dcterms:modified xsi:type="dcterms:W3CDTF">2026-08-17T16:08:04.636Z</dcterms:modified>
</cp:coreProperties>
</file>

<file path=docProps/custom.xml><?xml version="1.0" encoding="utf-8"?>
<Properties xmlns="http://schemas.openxmlformats.org/officeDocument/2006/custom-properties" xmlns:vt="http://schemas.openxmlformats.org/officeDocument/2006/docPropsVTypes"/>
</file>