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博露官网首页定版说明</w:t>
      </w:r>
    </w:p>
    <w:p>
      <w:pPr>
        <w:pStyle w:val="3"/>
        <w:numPr>
          <w:ilvl w:val="0"/>
          <w:numId w:val="1"/>
        </w:numPr>
        <w:bidi w:val="0"/>
        <w:rPr>
          <w:rFonts w:hint="eastAsia" w:ascii="方正小标宋简体" w:hAnsi="方正小标宋简体" w:eastAsia="方正小标宋简体" w:cs="方正小标宋简体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lang w:val="en-US" w:eastAsia="zh-CN"/>
        </w:rPr>
        <w:t>首页总览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284855"/>
            <wp:effectExtent l="0" t="0" r="0" b="6985"/>
            <wp:docPr id="1" name="图片 1" descr="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 w:ascii="方正小标宋简体" w:hAnsi="方正小标宋简体" w:eastAsia="方正小标宋简体" w:cs="方正小标宋简体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lang w:val="en-US" w:eastAsia="zh-CN"/>
        </w:rPr>
        <w:t>首页进入视角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773680"/>
            <wp:effectExtent l="0" t="0" r="0" b="0"/>
            <wp:docPr id="2" name="图片 2" descr="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 w:ascii="方正小标宋简体" w:hAnsi="方正小标宋简体" w:eastAsia="方正小标宋简体" w:cs="方正小标宋简体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lang w:val="en-US" w:eastAsia="zh-CN"/>
        </w:rPr>
        <w:t>首页版式设计说明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 w:firstLine="480" w:firstLineChars="200"/>
        <w:jc w:val="left"/>
        <w:textAlignment w:val="auto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进入官网的时候，页面视图应为首页进入视角（第二张图），banner占据了整个页面；当用户将鼠标滚轮往下滑时，banner图片会自动缩小（宽度变小），然后整个官网视图呈现出首页总览视图（第一张图）。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 w:firstLine="480" w:firstLineChars="200"/>
        <w:jc w:val="left"/>
        <w:textAlignment w:val="auto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进入官网的时候，以第二张图为准，中间的三个圆图，是没有文字的，且三个原图尺寸、颜色对比度、清晰度是一样的，但是当鼠标经过任一圆图时，圆图会自动放大且对比度会变大也会变清晰，同时会出现相应的文字，且点击任一圆图时，其余两张圆图都会朝规定方向统一移动一段距离，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lang w:val="en-US" w:eastAsia="zh-CN"/>
        </w:rPr>
        <w:t>最中间的原图指的是水稻，左边指的是草坪，右边是博露商城，文字出现的方式需要有一定的动态。当点击草坪和水稻的时候都会进入导航栏中的产品中心界面，博露商城点击后，那就进入企业商城。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 w:firstLine="480" w:firstLineChars="200"/>
        <w:jc w:val="left"/>
        <w:textAlignment w:val="auto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进入官网的时候，根据首页进入视角（第二张图），点击导航栏任一选项时，即可会出现一根线由点变线逐渐拉长，最后呈现二级导航栏；当整个官网页面都呈现出来的时候（第一张图），最下面的导航栏即联系公司、公司地址行，是没有外面那层框的，只有鼠标经过时，才会出现那层圆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 w:firstLine="480" w:firstLineChars="200"/>
        <w:jc w:val="left"/>
        <w:textAlignment w:val="auto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点击友情链接时，才会出现光明食品（集团）有限公司和上海都市农商社有限公司。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677C76"/>
    <w:multiLevelType w:val="singleLevel"/>
    <w:tmpl w:val="BD677C7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6C1485"/>
    <w:multiLevelType w:val="singleLevel"/>
    <w:tmpl w:val="D46C14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71714"/>
    <w:rsid w:val="124548C8"/>
    <w:rsid w:val="1CFF6616"/>
    <w:rsid w:val="210F43A9"/>
    <w:rsid w:val="4FF71714"/>
    <w:rsid w:val="57F60E66"/>
    <w:rsid w:val="608F38B9"/>
    <w:rsid w:val="6D90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00" w:lineRule="exact"/>
      <w:outlineLvl w:val="0"/>
    </w:pPr>
    <w:rPr>
      <w:rFonts w:ascii="Calibri" w:hAnsi="Calibri" w:eastAsia="宋体" w:cs="Arial"/>
      <w:b/>
      <w:kern w:val="44"/>
      <w:sz w:val="32"/>
      <w:szCs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2"/>
    </w:pPr>
    <w:rPr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2019-03-28T11:56:00Z</dcterms:created>
  <dc:creator>Gerika</dc:creator>
  <cp:lastModifiedBy>Gerika</cp:lastModifiedBy>
  <dcterms:modified xsi:type="dcterms:W3CDTF">2019-03-29T03:34:07Z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