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1"/>
        <w:tblpPr w:leftFromText="141" w:rightFromText="141" w:vertAnchor="page" w:horzAnchor="margin" w:tblpY="2401"/>
        <w:tblW w:w="0" w:type="auto"/>
        <w:tblLook w:val="04A0" w:firstRow="1" w:lastRow="0" w:firstColumn="1" w:lastColumn="0" w:noHBand="0" w:noVBand="1"/>
      </w:tblPr>
      <w:tblGrid>
        <w:gridCol w:w="3114"/>
        <w:gridCol w:w="5902"/>
      </w:tblGrid>
      <w:tr w:rsidR="00D9622B" w:rsidRPr="00D9622B" w14:paraId="2841AF47" w14:textId="77777777" w:rsidTr="001C3D3C">
        <w:tc>
          <w:tcPr>
            <w:tcW w:w="3114" w:type="dxa"/>
          </w:tcPr>
          <w:p w14:paraId="704BE6C1" w14:textId="77777777" w:rsidR="00D9622B" w:rsidRDefault="00D9622B" w:rsidP="00D9622B">
            <w:pPr>
              <w:rPr>
                <w:rFonts w:ascii="Arial" w:eastAsia="Calibri" w:hAnsi="Arial" w:cs="Arial"/>
                <w:b/>
                <w:bCs/>
                <w:color w:val="000000"/>
              </w:rPr>
            </w:pPr>
            <w:r w:rsidRPr="00D9622B">
              <w:rPr>
                <w:rFonts w:ascii="Arial" w:eastAsia="Calibri" w:hAnsi="Arial" w:cs="Arial"/>
                <w:b/>
                <w:bCs/>
                <w:color w:val="000000"/>
              </w:rPr>
              <w:t>Title/Designation:</w:t>
            </w:r>
          </w:p>
          <w:p w14:paraId="2AE07765" w14:textId="77777777" w:rsidR="00D9622B" w:rsidRPr="00D9622B" w:rsidRDefault="00D9622B" w:rsidP="00D9622B">
            <w:pPr>
              <w:rPr>
                <w:rFonts w:ascii="Arial" w:eastAsia="Calibri" w:hAnsi="Arial" w:cs="Arial"/>
                <w:b/>
                <w:bCs/>
                <w:color w:val="000000"/>
                <w:sz w:val="24"/>
                <w:szCs w:val="24"/>
              </w:rPr>
            </w:pPr>
          </w:p>
        </w:tc>
        <w:tc>
          <w:tcPr>
            <w:tcW w:w="5902" w:type="dxa"/>
          </w:tcPr>
          <w:p w14:paraId="2A339BC7" w14:textId="77777777" w:rsidR="00FB6FB3" w:rsidRDefault="00FB6FB3" w:rsidP="00D9622B">
            <w:pPr>
              <w:rPr>
                <w:rFonts w:ascii="Arial" w:eastAsia="Calibri" w:hAnsi="Arial" w:cs="Arial"/>
                <w:sz w:val="20"/>
                <w:szCs w:val="20"/>
              </w:rPr>
            </w:pPr>
          </w:p>
          <w:p w14:paraId="451741BC" w14:textId="04889479" w:rsidR="00D9622B" w:rsidRPr="00D9622B" w:rsidRDefault="00F7065A" w:rsidP="00D9622B">
            <w:pPr>
              <w:rPr>
                <w:rFonts w:ascii="Arial" w:eastAsia="Calibri" w:hAnsi="Arial" w:cs="Arial"/>
                <w:sz w:val="20"/>
                <w:szCs w:val="20"/>
              </w:rPr>
            </w:pPr>
            <w:r>
              <w:rPr>
                <w:rFonts w:ascii="Arial" w:eastAsia="Calibri" w:hAnsi="Arial" w:cs="Arial"/>
                <w:sz w:val="20"/>
                <w:szCs w:val="20"/>
              </w:rPr>
              <w:t>Culture</w:t>
            </w:r>
            <w:r w:rsidR="001C3D3C">
              <w:rPr>
                <w:rFonts w:ascii="Arial" w:eastAsia="Calibri" w:hAnsi="Arial" w:cs="Arial"/>
                <w:sz w:val="20"/>
                <w:szCs w:val="20"/>
              </w:rPr>
              <w:t xml:space="preserve"> and Politics</w:t>
            </w:r>
          </w:p>
        </w:tc>
      </w:tr>
      <w:tr w:rsidR="00D9622B" w:rsidRPr="00D9622B" w14:paraId="4BDBEF37" w14:textId="77777777" w:rsidTr="001C3D3C">
        <w:tc>
          <w:tcPr>
            <w:tcW w:w="3114" w:type="dxa"/>
          </w:tcPr>
          <w:p w14:paraId="7AEE00D2"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t>Performing Department:</w:t>
            </w:r>
            <w:r w:rsidRPr="00D9622B">
              <w:rPr>
                <w:rFonts w:ascii="Arial" w:eastAsia="Calibri" w:hAnsi="Arial" w:cs="Arial"/>
                <w:b/>
                <w:bCs/>
                <w:color w:val="000000"/>
              </w:rPr>
              <w:tab/>
            </w:r>
          </w:p>
        </w:tc>
        <w:tc>
          <w:tcPr>
            <w:tcW w:w="5902" w:type="dxa"/>
          </w:tcPr>
          <w:p w14:paraId="17A263D0" w14:textId="77777777" w:rsidR="00D9622B" w:rsidRPr="00D9622B" w:rsidRDefault="00D9622B" w:rsidP="00D9622B">
            <w:pPr>
              <w:rPr>
                <w:rFonts w:ascii="Arial" w:eastAsia="Calibri" w:hAnsi="Arial" w:cs="Arial"/>
                <w:iCs/>
                <w:color w:val="000000"/>
                <w:sz w:val="20"/>
                <w:szCs w:val="20"/>
              </w:rPr>
            </w:pPr>
            <w:r>
              <w:rPr>
                <w:rFonts w:ascii="Arial" w:eastAsia="Calibri" w:hAnsi="Arial" w:cs="Arial"/>
                <w:iCs/>
                <w:color w:val="000000"/>
                <w:sz w:val="20"/>
                <w:szCs w:val="20"/>
              </w:rPr>
              <w:t>KSF</w:t>
            </w:r>
          </w:p>
        </w:tc>
      </w:tr>
      <w:tr w:rsidR="00D9622B" w:rsidRPr="00D9622B" w14:paraId="47177DED" w14:textId="77777777" w:rsidTr="001C3D3C">
        <w:tc>
          <w:tcPr>
            <w:tcW w:w="3114" w:type="dxa"/>
          </w:tcPr>
          <w:p w14:paraId="4F74E3DA" w14:textId="77777777" w:rsidR="00D9622B" w:rsidRPr="00D9622B" w:rsidRDefault="00D9622B" w:rsidP="00D9622B">
            <w:pPr>
              <w:rPr>
                <w:rFonts w:ascii="Calibri" w:eastAsia="Calibri" w:hAnsi="Calibri" w:cs="Arial"/>
              </w:rPr>
            </w:pPr>
            <w:r w:rsidRPr="00D9622B">
              <w:rPr>
                <w:rFonts w:ascii="Arial" w:eastAsia="Calibri" w:hAnsi="Arial" w:cs="Arial"/>
                <w:b/>
                <w:bCs/>
                <w:color w:val="000000"/>
              </w:rPr>
              <w:t>Event type:</w:t>
            </w:r>
          </w:p>
        </w:tc>
        <w:tc>
          <w:tcPr>
            <w:tcW w:w="5902" w:type="dxa"/>
          </w:tcPr>
          <w:p w14:paraId="5255F7FD" w14:textId="51A20774" w:rsidR="00D9622B" w:rsidRPr="00B5142D" w:rsidRDefault="00F7065A" w:rsidP="00D9622B">
            <w:pPr>
              <w:rPr>
                <w:rFonts w:ascii="Arial" w:eastAsia="Calibri" w:hAnsi="Arial" w:cs="Arial"/>
                <w:iCs/>
                <w:color w:val="000000"/>
                <w:sz w:val="20"/>
                <w:szCs w:val="20"/>
              </w:rPr>
            </w:pPr>
            <w:r w:rsidRPr="00B5142D">
              <w:rPr>
                <w:rFonts w:ascii="Arial" w:eastAsia="Calibri" w:hAnsi="Arial" w:cs="Arial"/>
                <w:iCs/>
                <w:color w:val="000000"/>
                <w:sz w:val="20"/>
                <w:szCs w:val="20"/>
              </w:rPr>
              <w:t>Hauptseminar</w:t>
            </w:r>
          </w:p>
        </w:tc>
      </w:tr>
      <w:tr w:rsidR="00D9622B" w:rsidRPr="00D9622B" w14:paraId="68A14344" w14:textId="77777777" w:rsidTr="001C3D3C">
        <w:tc>
          <w:tcPr>
            <w:tcW w:w="3114" w:type="dxa"/>
          </w:tcPr>
          <w:p w14:paraId="6B46BED8" w14:textId="77777777" w:rsidR="00D9622B" w:rsidRPr="00D9622B" w:rsidRDefault="00D9622B" w:rsidP="00D9622B">
            <w:pPr>
              <w:rPr>
                <w:rFonts w:ascii="Arial" w:eastAsia="Calibri" w:hAnsi="Arial" w:cs="Arial"/>
                <w:b/>
                <w:bCs/>
                <w:color w:val="000000"/>
                <w:sz w:val="24"/>
                <w:szCs w:val="24"/>
              </w:rPr>
            </w:pPr>
            <w:r w:rsidRPr="00D9622B">
              <w:rPr>
                <w:rFonts w:ascii="Arial" w:eastAsia="Calibri" w:hAnsi="Arial" w:cs="Arial"/>
                <w:b/>
                <w:bCs/>
                <w:color w:val="000000"/>
              </w:rPr>
              <w:t>Lecturer:</w:t>
            </w:r>
            <w:r w:rsidRPr="00D9622B">
              <w:rPr>
                <w:rFonts w:ascii="Arial" w:eastAsia="Calibri" w:hAnsi="Arial" w:cs="Arial"/>
                <w:b/>
                <w:bCs/>
                <w:color w:val="000000"/>
              </w:rPr>
              <w:tab/>
            </w:r>
          </w:p>
        </w:tc>
        <w:tc>
          <w:tcPr>
            <w:tcW w:w="5902" w:type="dxa"/>
          </w:tcPr>
          <w:p w14:paraId="141444D4" w14:textId="2CF201EA" w:rsidR="00D9622B" w:rsidRPr="00D9622B" w:rsidRDefault="00F7065A" w:rsidP="00D9622B">
            <w:pPr>
              <w:rPr>
                <w:rFonts w:ascii="Arial" w:eastAsia="Calibri" w:hAnsi="Arial" w:cs="Arial"/>
                <w:sz w:val="20"/>
                <w:szCs w:val="20"/>
              </w:rPr>
            </w:pPr>
            <w:r w:rsidRPr="004F1C2A">
              <w:rPr>
                <w:rFonts w:ascii="Arial" w:eastAsia="Calibri" w:hAnsi="Arial" w:cs="Arial"/>
                <w:sz w:val="20"/>
                <w:szCs w:val="20"/>
              </w:rPr>
              <w:t>Álvaro Canalejo Molero, PhD</w:t>
            </w:r>
          </w:p>
        </w:tc>
      </w:tr>
      <w:tr w:rsidR="00D9622B" w:rsidRPr="00B5142D" w14:paraId="4A8EC7B4" w14:textId="77777777" w:rsidTr="001C3D3C">
        <w:tc>
          <w:tcPr>
            <w:tcW w:w="3114" w:type="dxa"/>
          </w:tcPr>
          <w:p w14:paraId="0D9E8822" w14:textId="77777777" w:rsidR="00D9622B" w:rsidRPr="00D9622B" w:rsidRDefault="00D9622B" w:rsidP="00D9622B">
            <w:pPr>
              <w:rPr>
                <w:rFonts w:ascii="Arial" w:eastAsia="Calibri" w:hAnsi="Arial" w:cs="Arial"/>
                <w:b/>
                <w:bCs/>
                <w:color w:val="000000"/>
                <w:sz w:val="24"/>
                <w:szCs w:val="24"/>
              </w:rPr>
            </w:pPr>
            <w:r w:rsidRPr="00D9622B">
              <w:rPr>
                <w:rFonts w:ascii="Arial" w:eastAsia="Calibri" w:hAnsi="Arial" w:cs="Arial"/>
                <w:b/>
                <w:bCs/>
                <w:color w:val="000000"/>
              </w:rPr>
              <w:t>Date:</w:t>
            </w:r>
          </w:p>
        </w:tc>
        <w:tc>
          <w:tcPr>
            <w:tcW w:w="5902" w:type="dxa"/>
          </w:tcPr>
          <w:p w14:paraId="25DCA9DA" w14:textId="77777777" w:rsidR="00D9622B" w:rsidRPr="00196662" w:rsidRDefault="00D9622B" w:rsidP="00D9622B">
            <w:pPr>
              <w:rPr>
                <w:rFonts w:ascii="Arial" w:eastAsia="Calibri" w:hAnsi="Arial" w:cs="Arial"/>
                <w:i/>
                <w:iCs/>
                <w:color w:val="000000"/>
                <w:sz w:val="20"/>
                <w:szCs w:val="20"/>
                <w:lang w:val="en-US"/>
              </w:rPr>
            </w:pPr>
            <w:r w:rsidRPr="00196662">
              <w:rPr>
                <w:rFonts w:ascii="Arial" w:eastAsia="Calibri" w:hAnsi="Arial" w:cs="Arial"/>
                <w:i/>
                <w:iCs/>
                <w:color w:val="000000"/>
                <w:sz w:val="20"/>
                <w:szCs w:val="20"/>
                <w:lang w:val="en-US"/>
              </w:rPr>
              <w:t>Block</w:t>
            </w:r>
            <w:r w:rsidR="008E1334" w:rsidRPr="00196662">
              <w:rPr>
                <w:rFonts w:ascii="Arial" w:eastAsia="Calibri" w:hAnsi="Arial" w:cs="Arial"/>
                <w:i/>
                <w:iCs/>
                <w:color w:val="000000"/>
                <w:sz w:val="20"/>
                <w:szCs w:val="20"/>
                <w:lang w:val="en-US"/>
              </w:rPr>
              <w:t>seminar</w:t>
            </w:r>
          </w:p>
          <w:p w14:paraId="0CF0D9B2" w14:textId="675ABF7B" w:rsidR="00F7065A" w:rsidRPr="00196662" w:rsidRDefault="00F7065A" w:rsidP="00D9622B">
            <w:pPr>
              <w:rPr>
                <w:rFonts w:ascii="Arial" w:eastAsia="Calibri" w:hAnsi="Arial" w:cs="Arial"/>
                <w:i/>
                <w:iCs/>
                <w:color w:val="000000"/>
                <w:sz w:val="20"/>
                <w:szCs w:val="20"/>
                <w:lang w:val="en-US"/>
              </w:rPr>
            </w:pPr>
            <w:r w:rsidRPr="00196662">
              <w:rPr>
                <w:rFonts w:ascii="Arial" w:eastAsia="Calibri" w:hAnsi="Arial" w:cs="Arial"/>
                <w:i/>
                <w:iCs/>
                <w:color w:val="000000"/>
                <w:sz w:val="20"/>
                <w:szCs w:val="20"/>
                <w:lang w:val="en-US"/>
              </w:rPr>
              <w:t>Block I</w:t>
            </w:r>
            <w:r w:rsidR="00196662" w:rsidRPr="00196662">
              <w:rPr>
                <w:rFonts w:ascii="Arial" w:eastAsia="Calibri" w:hAnsi="Arial" w:cs="Arial"/>
                <w:i/>
                <w:iCs/>
                <w:color w:val="000000"/>
                <w:sz w:val="20"/>
                <w:szCs w:val="20"/>
                <w:lang w:val="en-US"/>
              </w:rPr>
              <w:t>.</w:t>
            </w:r>
            <w:r w:rsidRPr="00196662">
              <w:rPr>
                <w:rFonts w:ascii="Arial" w:eastAsia="Calibri" w:hAnsi="Arial" w:cs="Arial"/>
                <w:i/>
                <w:iCs/>
                <w:color w:val="000000"/>
                <w:sz w:val="20"/>
                <w:szCs w:val="20"/>
                <w:lang w:val="en-US"/>
              </w:rPr>
              <w:t xml:space="preserve"> </w:t>
            </w:r>
            <w:r w:rsidR="001C3D3C" w:rsidRPr="00196662">
              <w:rPr>
                <w:rFonts w:ascii="Arial" w:eastAsia="Calibri" w:hAnsi="Arial" w:cs="Arial"/>
                <w:i/>
                <w:iCs/>
                <w:color w:val="000000"/>
                <w:sz w:val="20"/>
                <w:szCs w:val="20"/>
                <w:lang w:val="en-US"/>
              </w:rPr>
              <w:t>Date</w:t>
            </w:r>
            <w:r w:rsidR="00196662" w:rsidRPr="00196662">
              <w:rPr>
                <w:rFonts w:ascii="Arial" w:eastAsia="Calibri" w:hAnsi="Arial" w:cs="Arial"/>
                <w:i/>
                <w:iCs/>
                <w:color w:val="000000"/>
                <w:sz w:val="20"/>
                <w:szCs w:val="20"/>
                <w:lang w:val="en-US"/>
              </w:rPr>
              <w:t xml:space="preserve"> 28.02.2025 </w:t>
            </w:r>
            <w:r w:rsidR="001C3D3C" w:rsidRPr="00196662">
              <w:rPr>
                <w:rFonts w:ascii="Arial" w:eastAsia="Calibri" w:hAnsi="Arial" w:cs="Arial"/>
                <w:i/>
                <w:iCs/>
                <w:color w:val="000000"/>
                <w:sz w:val="20"/>
                <w:szCs w:val="20"/>
                <w:lang w:val="en-US"/>
              </w:rPr>
              <w:t>/ Tim</w:t>
            </w:r>
            <w:r w:rsidR="00196662" w:rsidRPr="00196662">
              <w:rPr>
                <w:rFonts w:ascii="Arial" w:eastAsia="Calibri" w:hAnsi="Arial" w:cs="Arial"/>
                <w:i/>
                <w:iCs/>
                <w:color w:val="000000"/>
                <w:sz w:val="20"/>
                <w:szCs w:val="20"/>
                <w:lang w:val="en-US"/>
              </w:rPr>
              <w:t>e 9:15-17:00</w:t>
            </w:r>
          </w:p>
          <w:p w14:paraId="1FE6AAFE" w14:textId="6132A821" w:rsidR="00F7065A" w:rsidRPr="00196662" w:rsidRDefault="00F7065A" w:rsidP="00F7065A">
            <w:pPr>
              <w:rPr>
                <w:rFonts w:ascii="Arial" w:eastAsia="Calibri" w:hAnsi="Arial" w:cs="Arial"/>
                <w:i/>
                <w:iCs/>
                <w:color w:val="000000"/>
                <w:sz w:val="20"/>
                <w:szCs w:val="20"/>
                <w:lang w:val="en-US"/>
              </w:rPr>
            </w:pPr>
            <w:r w:rsidRPr="00196662">
              <w:rPr>
                <w:rFonts w:ascii="Arial" w:eastAsia="Calibri" w:hAnsi="Arial" w:cs="Arial"/>
                <w:i/>
                <w:iCs/>
                <w:color w:val="000000"/>
                <w:sz w:val="20"/>
                <w:szCs w:val="20"/>
                <w:lang w:val="en-US"/>
              </w:rPr>
              <w:t>Block II.</w:t>
            </w:r>
            <w:r w:rsidR="00196662" w:rsidRPr="00196662">
              <w:rPr>
                <w:rFonts w:ascii="Arial" w:eastAsia="Calibri" w:hAnsi="Arial" w:cs="Arial"/>
                <w:i/>
                <w:iCs/>
                <w:color w:val="000000"/>
                <w:sz w:val="20"/>
                <w:szCs w:val="20"/>
                <w:lang w:val="en-US"/>
              </w:rPr>
              <w:t xml:space="preserve"> Date 21.03.2025 </w:t>
            </w:r>
            <w:r w:rsidR="001C3D3C" w:rsidRPr="00196662">
              <w:rPr>
                <w:rFonts w:ascii="Arial" w:eastAsia="Calibri" w:hAnsi="Arial" w:cs="Arial"/>
                <w:i/>
                <w:iCs/>
                <w:color w:val="000000"/>
                <w:sz w:val="20"/>
                <w:szCs w:val="20"/>
                <w:lang w:val="en-US"/>
              </w:rPr>
              <w:t>/ Tim</w:t>
            </w:r>
            <w:r w:rsidR="00196662" w:rsidRPr="00196662">
              <w:rPr>
                <w:rFonts w:ascii="Arial" w:eastAsia="Calibri" w:hAnsi="Arial" w:cs="Arial"/>
                <w:i/>
                <w:iCs/>
                <w:color w:val="000000"/>
                <w:sz w:val="20"/>
                <w:szCs w:val="20"/>
                <w:lang w:val="en-US"/>
              </w:rPr>
              <w:t>e 9:15-15:30</w:t>
            </w:r>
          </w:p>
          <w:p w14:paraId="6F3A9B40" w14:textId="5331976D" w:rsidR="00F7065A" w:rsidRPr="00196662" w:rsidRDefault="00F7065A" w:rsidP="00F7065A">
            <w:pPr>
              <w:rPr>
                <w:rFonts w:ascii="Arial" w:eastAsia="Calibri" w:hAnsi="Arial" w:cs="Arial"/>
                <w:i/>
                <w:iCs/>
                <w:color w:val="000000"/>
                <w:sz w:val="20"/>
                <w:szCs w:val="20"/>
                <w:lang w:val="en-US"/>
              </w:rPr>
            </w:pPr>
            <w:r w:rsidRPr="00196662">
              <w:rPr>
                <w:rFonts w:ascii="Arial" w:eastAsia="Calibri" w:hAnsi="Arial" w:cs="Arial"/>
                <w:i/>
                <w:iCs/>
                <w:color w:val="000000"/>
                <w:sz w:val="20"/>
                <w:szCs w:val="20"/>
                <w:lang w:val="en-US"/>
              </w:rPr>
              <w:t>Block III</w:t>
            </w:r>
            <w:r w:rsidR="00196662" w:rsidRPr="00196662">
              <w:rPr>
                <w:rFonts w:ascii="Arial" w:eastAsia="Calibri" w:hAnsi="Arial" w:cs="Arial"/>
                <w:i/>
                <w:iCs/>
                <w:color w:val="000000"/>
                <w:sz w:val="20"/>
                <w:szCs w:val="20"/>
                <w:lang w:val="en-US"/>
              </w:rPr>
              <w:t>.</w:t>
            </w:r>
            <w:r w:rsidR="001C3D3C" w:rsidRPr="00196662">
              <w:rPr>
                <w:rFonts w:ascii="Arial" w:eastAsia="Calibri" w:hAnsi="Arial" w:cs="Arial"/>
                <w:i/>
                <w:iCs/>
                <w:color w:val="000000"/>
                <w:sz w:val="20"/>
                <w:szCs w:val="20"/>
                <w:lang w:val="en-US"/>
              </w:rPr>
              <w:t xml:space="preserve"> </w:t>
            </w:r>
            <w:r w:rsidR="00196662" w:rsidRPr="00196662">
              <w:rPr>
                <w:rFonts w:ascii="Arial" w:eastAsia="Calibri" w:hAnsi="Arial" w:cs="Arial"/>
                <w:i/>
                <w:iCs/>
                <w:color w:val="000000"/>
                <w:sz w:val="20"/>
                <w:szCs w:val="20"/>
                <w:lang w:val="en-US"/>
              </w:rPr>
              <w:t xml:space="preserve">Date 11.04.2025 / </w:t>
            </w:r>
            <w:r w:rsidR="001C3D3C" w:rsidRPr="00196662">
              <w:rPr>
                <w:rFonts w:ascii="Arial" w:eastAsia="Calibri" w:hAnsi="Arial" w:cs="Arial"/>
                <w:i/>
                <w:iCs/>
                <w:color w:val="000000"/>
                <w:sz w:val="20"/>
                <w:szCs w:val="20"/>
                <w:lang w:val="en-US"/>
              </w:rPr>
              <w:t>Time</w:t>
            </w:r>
            <w:r w:rsidR="00196662" w:rsidRPr="00196662">
              <w:rPr>
                <w:rFonts w:ascii="Arial" w:eastAsia="Calibri" w:hAnsi="Arial" w:cs="Arial"/>
                <w:i/>
                <w:iCs/>
                <w:color w:val="000000"/>
                <w:sz w:val="20"/>
                <w:szCs w:val="20"/>
                <w:lang w:val="en-US"/>
              </w:rPr>
              <w:t xml:space="preserve"> 9:15-1</w:t>
            </w:r>
            <w:r w:rsidR="00A1219A">
              <w:rPr>
                <w:rFonts w:ascii="Arial" w:eastAsia="Calibri" w:hAnsi="Arial" w:cs="Arial"/>
                <w:i/>
                <w:iCs/>
                <w:color w:val="000000"/>
                <w:sz w:val="20"/>
                <w:szCs w:val="20"/>
                <w:lang w:val="en-US"/>
              </w:rPr>
              <w:t>7</w:t>
            </w:r>
            <w:r w:rsidR="00196662" w:rsidRPr="00196662">
              <w:rPr>
                <w:rFonts w:ascii="Arial" w:eastAsia="Calibri" w:hAnsi="Arial" w:cs="Arial"/>
                <w:i/>
                <w:iCs/>
                <w:color w:val="000000"/>
                <w:sz w:val="20"/>
                <w:szCs w:val="20"/>
                <w:lang w:val="en-US"/>
              </w:rPr>
              <w:t>:</w:t>
            </w:r>
            <w:r w:rsidR="00A1219A">
              <w:rPr>
                <w:rFonts w:ascii="Arial" w:eastAsia="Calibri" w:hAnsi="Arial" w:cs="Arial"/>
                <w:i/>
                <w:iCs/>
                <w:color w:val="000000"/>
                <w:sz w:val="20"/>
                <w:szCs w:val="20"/>
                <w:lang w:val="en-US"/>
              </w:rPr>
              <w:t>0</w:t>
            </w:r>
            <w:r w:rsidR="00196662" w:rsidRPr="00196662">
              <w:rPr>
                <w:rFonts w:ascii="Arial" w:eastAsia="Calibri" w:hAnsi="Arial" w:cs="Arial"/>
                <w:i/>
                <w:iCs/>
                <w:color w:val="000000"/>
                <w:sz w:val="20"/>
                <w:szCs w:val="20"/>
                <w:lang w:val="en-US"/>
              </w:rPr>
              <w:t>0</w:t>
            </w:r>
          </w:p>
          <w:p w14:paraId="15D94091" w14:textId="75E9D9FB" w:rsidR="00F7065A" w:rsidRPr="008E1334" w:rsidRDefault="00F7065A" w:rsidP="00F7065A">
            <w:pPr>
              <w:rPr>
                <w:rFonts w:ascii="Arial" w:eastAsia="Calibri" w:hAnsi="Arial" w:cs="Arial"/>
                <w:i/>
                <w:iCs/>
                <w:color w:val="000000"/>
                <w:sz w:val="20"/>
                <w:szCs w:val="20"/>
                <w:lang w:val="en-US"/>
              </w:rPr>
            </w:pPr>
            <w:r w:rsidRPr="00196662">
              <w:rPr>
                <w:rFonts w:ascii="Arial" w:eastAsia="Calibri" w:hAnsi="Arial" w:cs="Arial"/>
                <w:i/>
                <w:iCs/>
                <w:color w:val="000000"/>
                <w:sz w:val="20"/>
                <w:szCs w:val="20"/>
                <w:lang w:val="en-US"/>
              </w:rPr>
              <w:t>Block IV.</w:t>
            </w:r>
            <w:r w:rsidR="00196662" w:rsidRPr="00196662">
              <w:rPr>
                <w:rFonts w:ascii="Arial" w:eastAsia="Calibri" w:hAnsi="Arial" w:cs="Arial"/>
                <w:i/>
                <w:iCs/>
                <w:color w:val="000000"/>
                <w:sz w:val="20"/>
                <w:szCs w:val="20"/>
                <w:lang w:val="en-US"/>
              </w:rPr>
              <w:t xml:space="preserve"> Date 24.05.2025 / </w:t>
            </w:r>
            <w:r w:rsidR="001C3D3C" w:rsidRPr="00196662">
              <w:rPr>
                <w:rFonts w:ascii="Arial" w:eastAsia="Calibri" w:hAnsi="Arial" w:cs="Arial"/>
                <w:i/>
                <w:iCs/>
                <w:color w:val="000000"/>
                <w:sz w:val="20"/>
                <w:szCs w:val="20"/>
                <w:lang w:val="en-US"/>
              </w:rPr>
              <w:t>Time</w:t>
            </w:r>
            <w:r w:rsidR="00196662" w:rsidRPr="00196662">
              <w:rPr>
                <w:rFonts w:ascii="Arial" w:eastAsia="Calibri" w:hAnsi="Arial" w:cs="Arial"/>
                <w:i/>
                <w:iCs/>
                <w:color w:val="000000"/>
                <w:sz w:val="20"/>
                <w:szCs w:val="20"/>
                <w:lang w:val="en-US"/>
              </w:rPr>
              <w:t xml:space="preserve"> 9:15-1</w:t>
            </w:r>
            <w:r w:rsidR="00A1219A">
              <w:rPr>
                <w:rFonts w:ascii="Arial" w:eastAsia="Calibri" w:hAnsi="Arial" w:cs="Arial"/>
                <w:i/>
                <w:iCs/>
                <w:color w:val="000000"/>
                <w:sz w:val="20"/>
                <w:szCs w:val="20"/>
                <w:lang w:val="en-US"/>
              </w:rPr>
              <w:t>5</w:t>
            </w:r>
            <w:r w:rsidR="00196662" w:rsidRPr="00196662">
              <w:rPr>
                <w:rFonts w:ascii="Arial" w:eastAsia="Calibri" w:hAnsi="Arial" w:cs="Arial"/>
                <w:i/>
                <w:iCs/>
                <w:color w:val="000000"/>
                <w:sz w:val="20"/>
                <w:szCs w:val="20"/>
                <w:lang w:val="en-US"/>
              </w:rPr>
              <w:t>:</w:t>
            </w:r>
            <w:r w:rsidR="00A1219A">
              <w:rPr>
                <w:rFonts w:ascii="Arial" w:eastAsia="Calibri" w:hAnsi="Arial" w:cs="Arial"/>
                <w:i/>
                <w:iCs/>
                <w:color w:val="000000"/>
                <w:sz w:val="20"/>
                <w:szCs w:val="20"/>
                <w:lang w:val="en-US"/>
              </w:rPr>
              <w:t>3</w:t>
            </w:r>
            <w:r w:rsidR="00196662" w:rsidRPr="00196662">
              <w:rPr>
                <w:rFonts w:ascii="Arial" w:eastAsia="Calibri" w:hAnsi="Arial" w:cs="Arial"/>
                <w:i/>
                <w:iCs/>
                <w:color w:val="000000"/>
                <w:sz w:val="20"/>
                <w:szCs w:val="20"/>
                <w:lang w:val="en-US"/>
              </w:rPr>
              <w:t>0</w:t>
            </w:r>
          </w:p>
        </w:tc>
      </w:tr>
      <w:tr w:rsidR="00D9622B" w:rsidRPr="00A1219A" w14:paraId="05D0EF82" w14:textId="77777777" w:rsidTr="001C3D3C">
        <w:tc>
          <w:tcPr>
            <w:tcW w:w="3114" w:type="dxa"/>
          </w:tcPr>
          <w:p w14:paraId="629013BD" w14:textId="77777777" w:rsidR="00D9622B" w:rsidRPr="00D9622B" w:rsidRDefault="00D9622B" w:rsidP="00D9622B">
            <w:pPr>
              <w:tabs>
                <w:tab w:val="left" w:pos="2550"/>
                <w:tab w:val="left" w:pos="5370"/>
              </w:tabs>
              <w:rPr>
                <w:rFonts w:ascii="Calibri" w:eastAsia="Calibri" w:hAnsi="Calibri" w:cs="Arial"/>
              </w:rPr>
            </w:pPr>
            <w:r w:rsidRPr="00D9622B">
              <w:rPr>
                <w:rFonts w:ascii="Arial" w:eastAsia="Calibri" w:hAnsi="Arial" w:cs="Arial"/>
                <w:b/>
                <w:bCs/>
                <w:color w:val="000000"/>
              </w:rPr>
              <w:t>Audience:</w:t>
            </w:r>
          </w:p>
        </w:tc>
        <w:tc>
          <w:tcPr>
            <w:tcW w:w="5902" w:type="dxa"/>
          </w:tcPr>
          <w:p w14:paraId="4C522136" w14:textId="2D6D774A" w:rsidR="00D9622B" w:rsidRPr="008E1334" w:rsidRDefault="00D9622B" w:rsidP="00D9622B">
            <w:pPr>
              <w:tabs>
                <w:tab w:val="left" w:pos="2550"/>
                <w:tab w:val="left" w:pos="5370"/>
              </w:tabs>
              <w:rPr>
                <w:rFonts w:ascii="Arial" w:eastAsia="Calibri" w:hAnsi="Arial" w:cs="Arial"/>
                <w:sz w:val="20"/>
                <w:szCs w:val="20"/>
                <w:lang w:val="en-US"/>
              </w:rPr>
            </w:pPr>
            <w:r w:rsidRPr="008E1334">
              <w:rPr>
                <w:rFonts w:ascii="Arial" w:eastAsia="Calibri" w:hAnsi="Arial" w:cs="Arial"/>
                <w:b/>
                <w:bCs/>
                <w:color w:val="000000"/>
                <w:sz w:val="20"/>
                <w:szCs w:val="20"/>
                <w:lang w:val="en-US"/>
              </w:rPr>
              <w:t>□</w:t>
            </w:r>
            <w:r w:rsidR="008E1334" w:rsidRPr="008E1334">
              <w:rPr>
                <w:rFonts w:ascii="Arial" w:hAnsi="Arial" w:cs="Arial"/>
                <w:b/>
                <w:bCs/>
                <w:color w:val="000000"/>
                <w:sz w:val="20"/>
                <w:szCs w:val="20"/>
                <w:lang w:val="en-US"/>
              </w:rPr>
              <w:t xml:space="preserve"> Yes:      No:        As per a</w:t>
            </w:r>
            <w:r w:rsidR="008E1334">
              <w:rPr>
                <w:rFonts w:ascii="Arial" w:hAnsi="Arial" w:cs="Arial"/>
                <w:b/>
                <w:bCs/>
                <w:color w:val="000000"/>
                <w:sz w:val="20"/>
                <w:szCs w:val="20"/>
                <w:lang w:val="en-US"/>
              </w:rPr>
              <w:t>greement:</w:t>
            </w:r>
            <w:r w:rsidR="00FB6FB3">
              <w:rPr>
                <w:rFonts w:ascii="Arial" w:hAnsi="Arial" w:cs="Arial"/>
                <w:b/>
                <w:bCs/>
                <w:color w:val="000000"/>
                <w:sz w:val="20"/>
                <w:szCs w:val="20"/>
                <w:lang w:val="en-US"/>
              </w:rPr>
              <w:t xml:space="preserve"> X</w:t>
            </w:r>
          </w:p>
        </w:tc>
      </w:tr>
      <w:tr w:rsidR="00D9622B" w:rsidRPr="00A1219A" w14:paraId="6228AEB9" w14:textId="77777777" w:rsidTr="001C3D3C">
        <w:tc>
          <w:tcPr>
            <w:tcW w:w="3114" w:type="dxa"/>
          </w:tcPr>
          <w:p w14:paraId="3B810E5E" w14:textId="77777777" w:rsidR="00D9622B" w:rsidRPr="00D9622B" w:rsidRDefault="00D9622B" w:rsidP="00D9622B">
            <w:pPr>
              <w:spacing w:line="360" w:lineRule="auto"/>
              <w:rPr>
                <w:rFonts w:ascii="Arial" w:eastAsia="Calibri" w:hAnsi="Arial" w:cs="Arial"/>
                <w:b/>
                <w:bCs/>
                <w:color w:val="000000"/>
              </w:rPr>
            </w:pPr>
            <w:r w:rsidRPr="00D9622B">
              <w:rPr>
                <w:rFonts w:ascii="Arial" w:eastAsia="Calibri" w:hAnsi="Arial" w:cs="Arial"/>
                <w:b/>
                <w:bCs/>
                <w:color w:val="000000"/>
              </w:rPr>
              <w:t>Prerequisites (if desired):</w:t>
            </w:r>
            <w:r w:rsidRPr="00D9622B">
              <w:rPr>
                <w:rFonts w:ascii="Arial" w:eastAsia="Calibri" w:hAnsi="Arial" w:cs="Arial"/>
                <w:b/>
                <w:bCs/>
                <w:color w:val="000000"/>
              </w:rPr>
              <w:tab/>
            </w:r>
          </w:p>
        </w:tc>
        <w:tc>
          <w:tcPr>
            <w:tcW w:w="5902" w:type="dxa"/>
          </w:tcPr>
          <w:p w14:paraId="6110F234" w14:textId="7093C84F" w:rsidR="00D9622B" w:rsidRPr="001C3D3C" w:rsidRDefault="00F7065A" w:rsidP="00D9622B">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xml:space="preserve">Advanced level of English. Basic knowledge of statistics and quantitative research design is an </w:t>
            </w:r>
            <w:r w:rsidR="00B5142D" w:rsidRPr="001C3D3C">
              <w:rPr>
                <w:rFonts w:ascii="Arial" w:eastAsia="Calibri" w:hAnsi="Arial" w:cs="Arial"/>
                <w:sz w:val="20"/>
                <w:szCs w:val="20"/>
                <w:lang w:val="en-US"/>
              </w:rPr>
              <w:t>asset,</w:t>
            </w:r>
            <w:r w:rsidRPr="001C3D3C">
              <w:rPr>
                <w:rFonts w:ascii="Arial" w:eastAsia="Calibri" w:hAnsi="Arial" w:cs="Arial"/>
                <w:sz w:val="20"/>
                <w:szCs w:val="20"/>
                <w:lang w:val="en-US"/>
              </w:rPr>
              <w:t xml:space="preserve"> but it is not required.</w:t>
            </w:r>
          </w:p>
        </w:tc>
      </w:tr>
      <w:tr w:rsidR="00D9622B" w:rsidRPr="00A1219A" w14:paraId="58E4E3D5" w14:textId="77777777" w:rsidTr="001C3D3C">
        <w:tc>
          <w:tcPr>
            <w:tcW w:w="3114" w:type="dxa"/>
          </w:tcPr>
          <w:p w14:paraId="4DC3D662" w14:textId="77777777" w:rsidR="00D9622B" w:rsidRPr="00D9622B" w:rsidRDefault="00D9622B" w:rsidP="00D9622B">
            <w:pPr>
              <w:spacing w:line="360" w:lineRule="auto"/>
              <w:rPr>
                <w:rFonts w:ascii="Arial" w:eastAsia="Calibri" w:hAnsi="Arial" w:cs="Arial"/>
                <w:b/>
                <w:bCs/>
                <w:color w:val="000000"/>
              </w:rPr>
            </w:pPr>
            <w:r w:rsidRPr="00D9622B">
              <w:rPr>
                <w:rFonts w:ascii="Arial" w:eastAsia="Calibri" w:hAnsi="Arial" w:cs="Arial"/>
                <w:b/>
                <w:bCs/>
                <w:color w:val="000000"/>
              </w:rPr>
              <w:t>Learning Objectives:</w:t>
            </w:r>
          </w:p>
        </w:tc>
        <w:tc>
          <w:tcPr>
            <w:tcW w:w="5902" w:type="dxa"/>
          </w:tcPr>
          <w:p w14:paraId="67D5577F" w14:textId="77777777" w:rsidR="00F7065A"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By the end of this course, students will be able to:</w:t>
            </w:r>
          </w:p>
          <w:p w14:paraId="7E8A8EE1" w14:textId="77777777" w:rsidR="00F7065A" w:rsidRPr="001C3D3C" w:rsidRDefault="00F7065A" w:rsidP="00F7065A">
            <w:pPr>
              <w:spacing w:line="360" w:lineRule="auto"/>
              <w:rPr>
                <w:rFonts w:ascii="Arial" w:eastAsia="Calibri" w:hAnsi="Arial" w:cs="Arial"/>
                <w:sz w:val="20"/>
                <w:szCs w:val="20"/>
                <w:lang w:val="en-US"/>
              </w:rPr>
            </w:pPr>
          </w:p>
          <w:p w14:paraId="24985596" w14:textId="70786C64" w:rsidR="00F7065A"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(knowledge) approach political topics from a cultural perspective. They will have a clear notion of the concepts of social norms, social identity, cultural origins, transmission and persistence. Moreover, they will have a clear overview of the main cultural explanations of political behavior phenomena.</w:t>
            </w:r>
          </w:p>
          <w:p w14:paraId="03181B1C" w14:textId="77777777" w:rsidR="00F7065A" w:rsidRPr="001C3D3C" w:rsidRDefault="00F7065A" w:rsidP="00F7065A">
            <w:pPr>
              <w:spacing w:line="360" w:lineRule="auto"/>
              <w:rPr>
                <w:rFonts w:ascii="Arial" w:eastAsia="Calibri" w:hAnsi="Arial" w:cs="Arial"/>
                <w:sz w:val="20"/>
                <w:szCs w:val="20"/>
                <w:lang w:val="en-US"/>
              </w:rPr>
            </w:pPr>
          </w:p>
          <w:p w14:paraId="4ED4BCD0" w14:textId="4F5F15F8" w:rsidR="00F7065A"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xml:space="preserve">- (competence - critical reading) read scientific articles critically, and connect ideas from different fields, such as cultural sociology, historical political economy, and political behavior, in an interdisciplinary manner. </w:t>
            </w:r>
          </w:p>
          <w:p w14:paraId="525C67E2" w14:textId="77777777" w:rsidR="00F7065A" w:rsidRPr="001C3D3C" w:rsidRDefault="00F7065A" w:rsidP="00F7065A">
            <w:pPr>
              <w:spacing w:line="360" w:lineRule="auto"/>
              <w:rPr>
                <w:rFonts w:ascii="Arial" w:eastAsia="Calibri" w:hAnsi="Arial" w:cs="Arial"/>
                <w:sz w:val="20"/>
                <w:szCs w:val="20"/>
                <w:lang w:val="en-US"/>
              </w:rPr>
            </w:pPr>
          </w:p>
          <w:p w14:paraId="3E0A1E4C" w14:textId="4FBA4484" w:rsidR="00F7065A"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(competence - research skills) develop original ideas, frame them within the relevant literature, turn them into testable hypotheses, and come up with feasible research designs to test them.</w:t>
            </w:r>
          </w:p>
          <w:p w14:paraId="2539113E" w14:textId="77777777" w:rsidR="00F7065A" w:rsidRPr="001C3D3C" w:rsidRDefault="00F7065A" w:rsidP="00F7065A">
            <w:pPr>
              <w:spacing w:line="360" w:lineRule="auto"/>
              <w:rPr>
                <w:rFonts w:ascii="Arial" w:eastAsia="Calibri" w:hAnsi="Arial" w:cs="Arial"/>
                <w:sz w:val="20"/>
                <w:szCs w:val="20"/>
                <w:lang w:val="en-US"/>
              </w:rPr>
            </w:pPr>
          </w:p>
          <w:p w14:paraId="195743E1" w14:textId="293336DA" w:rsidR="00F7065A"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xml:space="preserve">- (competence - writing skills)  write critical response papers to scientific articles on political culture topics. They will also be able to organize a research design plan meeting scientific standards. </w:t>
            </w:r>
          </w:p>
          <w:p w14:paraId="43D3C5BC" w14:textId="77777777" w:rsidR="00F7065A" w:rsidRPr="001C3D3C" w:rsidRDefault="00F7065A" w:rsidP="00F7065A">
            <w:pPr>
              <w:spacing w:line="360" w:lineRule="auto"/>
              <w:rPr>
                <w:rFonts w:ascii="Arial" w:eastAsia="Calibri" w:hAnsi="Arial" w:cs="Arial"/>
                <w:sz w:val="20"/>
                <w:szCs w:val="20"/>
                <w:lang w:val="en-US"/>
              </w:rPr>
            </w:pPr>
          </w:p>
          <w:p w14:paraId="6D044C02" w14:textId="1675CCAD" w:rsidR="00D9622B" w:rsidRPr="001C3D3C" w:rsidRDefault="00F7065A" w:rsidP="00F7065A">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(competence - communication)  debate in front of and with their colleagues; communicate complex concepts effectively to a broad audience.</w:t>
            </w:r>
          </w:p>
        </w:tc>
      </w:tr>
      <w:tr w:rsidR="00D9622B" w:rsidRPr="00A1219A" w14:paraId="1ACAD45B" w14:textId="77777777" w:rsidTr="001C3D3C">
        <w:tc>
          <w:tcPr>
            <w:tcW w:w="3114" w:type="dxa"/>
          </w:tcPr>
          <w:p w14:paraId="60054D00" w14:textId="77777777" w:rsidR="00D9622B" w:rsidRPr="00D9622B" w:rsidRDefault="00D9622B" w:rsidP="00D9622B">
            <w:pPr>
              <w:spacing w:line="360" w:lineRule="auto"/>
              <w:rPr>
                <w:rFonts w:ascii="Arial" w:eastAsia="Calibri" w:hAnsi="Arial" w:cs="Arial"/>
                <w:b/>
                <w:bCs/>
                <w:color w:val="000000"/>
              </w:rPr>
            </w:pPr>
            <w:r w:rsidRPr="00D9622B">
              <w:rPr>
                <w:rFonts w:ascii="Arial" w:eastAsia="Calibri" w:hAnsi="Arial" w:cs="Arial"/>
                <w:b/>
                <w:bCs/>
                <w:color w:val="000000"/>
              </w:rPr>
              <w:lastRenderedPageBreak/>
              <w:t>Exam:</w:t>
            </w:r>
          </w:p>
        </w:tc>
        <w:tc>
          <w:tcPr>
            <w:tcW w:w="5902" w:type="dxa"/>
          </w:tcPr>
          <w:p w14:paraId="4667E50C" w14:textId="155597CA" w:rsidR="00D9622B" w:rsidRPr="001C3D3C" w:rsidRDefault="00F7065A" w:rsidP="00D9622B">
            <w:pPr>
              <w:spacing w:line="360" w:lineRule="auto"/>
              <w:rPr>
                <w:rFonts w:ascii="Arial" w:eastAsia="Calibri" w:hAnsi="Arial" w:cs="Arial"/>
                <w:sz w:val="20"/>
                <w:szCs w:val="20"/>
                <w:lang w:val="en-US"/>
              </w:rPr>
            </w:pPr>
            <w:r w:rsidRPr="001C3D3C">
              <w:rPr>
                <w:rFonts w:ascii="Arial" w:eastAsia="Calibri" w:hAnsi="Arial" w:cs="Arial"/>
                <w:sz w:val="20"/>
                <w:szCs w:val="20"/>
                <w:lang w:val="en-US"/>
              </w:rPr>
              <w:t xml:space="preserve">There is no </w:t>
            </w:r>
            <w:r w:rsidR="00FB6FB3" w:rsidRPr="001C3D3C">
              <w:rPr>
                <w:rFonts w:ascii="Arial" w:eastAsia="Calibri" w:hAnsi="Arial" w:cs="Arial"/>
                <w:sz w:val="20"/>
                <w:szCs w:val="20"/>
                <w:lang w:val="en-US"/>
              </w:rPr>
              <w:t xml:space="preserve">written </w:t>
            </w:r>
            <w:r w:rsidRPr="001C3D3C">
              <w:rPr>
                <w:rFonts w:ascii="Arial" w:eastAsia="Calibri" w:hAnsi="Arial" w:cs="Arial"/>
                <w:sz w:val="20"/>
                <w:szCs w:val="20"/>
                <w:lang w:val="en-US"/>
              </w:rPr>
              <w:t xml:space="preserve">exam. The evaluation will take place via response papers to the readings, a written research proposal and an oral presentation of </w:t>
            </w:r>
            <w:r w:rsidR="00FB6FB3" w:rsidRPr="001C3D3C">
              <w:rPr>
                <w:rFonts w:ascii="Arial" w:eastAsia="Calibri" w:hAnsi="Arial" w:cs="Arial"/>
                <w:sz w:val="20"/>
                <w:szCs w:val="20"/>
                <w:lang w:val="en-US"/>
              </w:rPr>
              <w:t>the</w:t>
            </w:r>
            <w:r w:rsidRPr="001C3D3C">
              <w:rPr>
                <w:rFonts w:ascii="Arial" w:eastAsia="Calibri" w:hAnsi="Arial" w:cs="Arial"/>
                <w:sz w:val="20"/>
                <w:szCs w:val="20"/>
                <w:lang w:val="en-US"/>
              </w:rPr>
              <w:t xml:space="preserve"> proposal.</w:t>
            </w:r>
          </w:p>
        </w:tc>
      </w:tr>
      <w:tr w:rsidR="00B603A3" w:rsidRPr="00A1219A" w14:paraId="19F85FF8" w14:textId="77777777" w:rsidTr="001C3D3C">
        <w:tc>
          <w:tcPr>
            <w:tcW w:w="3114" w:type="dxa"/>
          </w:tcPr>
          <w:p w14:paraId="7241561C" w14:textId="77777777" w:rsidR="00B603A3" w:rsidRPr="00D9622B" w:rsidRDefault="00B603A3" w:rsidP="00D9622B">
            <w:pPr>
              <w:spacing w:line="360" w:lineRule="auto"/>
              <w:rPr>
                <w:rFonts w:ascii="Arial" w:eastAsia="Calibri" w:hAnsi="Arial" w:cs="Arial"/>
                <w:b/>
                <w:bCs/>
                <w:color w:val="000000"/>
              </w:rPr>
            </w:pPr>
            <w:r>
              <w:rPr>
                <w:rFonts w:ascii="Arial" w:eastAsia="Calibri" w:hAnsi="Arial" w:cs="Arial"/>
                <w:b/>
                <w:bCs/>
                <w:color w:val="000000"/>
              </w:rPr>
              <w:t>Keywords:</w:t>
            </w:r>
          </w:p>
        </w:tc>
        <w:tc>
          <w:tcPr>
            <w:tcW w:w="5902" w:type="dxa"/>
          </w:tcPr>
          <w:p w14:paraId="4F917312" w14:textId="186E702A" w:rsidR="00B603A3" w:rsidRPr="001C3D3C" w:rsidRDefault="00F7065A" w:rsidP="00D9622B">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Political behavior; social norms; group identity; historical legacies; cultural studies</w:t>
            </w:r>
          </w:p>
        </w:tc>
      </w:tr>
      <w:tr w:rsidR="00D9622B" w:rsidRPr="00D9622B" w14:paraId="4832468F" w14:textId="77777777" w:rsidTr="001C3D3C">
        <w:tc>
          <w:tcPr>
            <w:tcW w:w="3114" w:type="dxa"/>
          </w:tcPr>
          <w:p w14:paraId="68866C2E" w14:textId="77777777" w:rsidR="00D9622B" w:rsidRPr="00D9622B" w:rsidRDefault="00D9622B" w:rsidP="00D9622B">
            <w:pPr>
              <w:spacing w:line="360" w:lineRule="auto"/>
              <w:rPr>
                <w:rFonts w:ascii="Arial" w:eastAsia="Calibri" w:hAnsi="Arial" w:cs="Arial"/>
                <w:b/>
                <w:bCs/>
                <w:color w:val="000000"/>
              </w:rPr>
            </w:pPr>
            <w:r w:rsidRPr="00D9622B">
              <w:rPr>
                <w:rFonts w:ascii="Arial" w:eastAsia="Calibri" w:hAnsi="Arial" w:cs="Arial"/>
                <w:b/>
                <w:bCs/>
                <w:color w:val="000000"/>
              </w:rPr>
              <w:t>Material (list specials only):</w:t>
            </w:r>
          </w:p>
        </w:tc>
        <w:tc>
          <w:tcPr>
            <w:tcW w:w="5902" w:type="dxa"/>
          </w:tcPr>
          <w:p w14:paraId="07F11EAB" w14:textId="1B9C9B22" w:rsidR="00D9622B" w:rsidRPr="00D9622B" w:rsidRDefault="00F7065A" w:rsidP="00D9622B">
            <w:pPr>
              <w:spacing w:line="360" w:lineRule="auto"/>
              <w:rPr>
                <w:rFonts w:ascii="Arial" w:eastAsia="Calibri" w:hAnsi="Arial" w:cs="Arial"/>
                <w:i/>
                <w:iCs/>
                <w:color w:val="000000"/>
                <w:sz w:val="20"/>
                <w:szCs w:val="20"/>
              </w:rPr>
            </w:pPr>
            <w:r>
              <w:rPr>
                <w:rFonts w:ascii="Arial" w:eastAsia="Calibri" w:hAnsi="Arial" w:cs="Arial"/>
                <w:i/>
                <w:iCs/>
                <w:color w:val="000000"/>
                <w:sz w:val="20"/>
                <w:szCs w:val="20"/>
              </w:rPr>
              <w:t>Individual laptop</w:t>
            </w:r>
          </w:p>
        </w:tc>
      </w:tr>
      <w:tr w:rsidR="00D9622B" w:rsidRPr="00D9622B" w14:paraId="5BD516AA" w14:textId="77777777" w:rsidTr="001C3D3C">
        <w:tc>
          <w:tcPr>
            <w:tcW w:w="3114" w:type="dxa"/>
          </w:tcPr>
          <w:p w14:paraId="4BC9BDE1" w14:textId="77777777" w:rsidR="00D9622B" w:rsidRPr="00D9622B" w:rsidRDefault="00D9622B" w:rsidP="00D9622B">
            <w:pPr>
              <w:spacing w:line="360" w:lineRule="auto"/>
              <w:rPr>
                <w:rFonts w:ascii="Arial" w:eastAsia="Calibri" w:hAnsi="Arial" w:cs="Arial"/>
                <w:b/>
                <w:bCs/>
                <w:color w:val="000000"/>
              </w:rPr>
            </w:pPr>
            <w:r w:rsidRPr="00D9622B">
              <w:rPr>
                <w:rFonts w:ascii="Arial" w:eastAsia="Calibri" w:hAnsi="Arial" w:cs="Arial"/>
                <w:b/>
                <w:bCs/>
                <w:color w:val="000000"/>
              </w:rPr>
              <w:t>Literature:</w:t>
            </w:r>
            <w:r w:rsidRPr="00D9622B">
              <w:rPr>
                <w:rFonts w:ascii="Arial" w:eastAsia="Calibri" w:hAnsi="Arial" w:cs="Arial"/>
                <w:b/>
                <w:bCs/>
                <w:color w:val="000000"/>
              </w:rPr>
              <w:tab/>
            </w:r>
          </w:p>
        </w:tc>
        <w:tc>
          <w:tcPr>
            <w:tcW w:w="5902" w:type="dxa"/>
          </w:tcPr>
          <w:p w14:paraId="13C24233" w14:textId="77777777" w:rsidR="00F7065A" w:rsidRPr="001C3D3C" w:rsidRDefault="00F7065A" w:rsidP="00F7065A">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xml:space="preserve">This list </w:t>
            </w:r>
            <w:r w:rsidRPr="001C3D3C">
              <w:rPr>
                <w:rFonts w:ascii="Arial" w:eastAsia="Calibri" w:hAnsi="Arial" w:cs="Arial"/>
                <w:i/>
                <w:iCs/>
                <w:sz w:val="20"/>
                <w:szCs w:val="20"/>
                <w:lang w:val="en-US"/>
              </w:rPr>
              <w:t>should</w:t>
            </w:r>
            <w:r w:rsidRPr="001C3D3C">
              <w:rPr>
                <w:rFonts w:ascii="Arial" w:eastAsia="Calibri" w:hAnsi="Arial" w:cs="Arial"/>
                <w:i/>
                <w:iCs/>
                <w:color w:val="000000"/>
                <w:sz w:val="20"/>
                <w:szCs w:val="20"/>
                <w:lang w:val="en-US"/>
              </w:rPr>
              <w:t xml:space="preserve"> be taken as orientative, since it might suffer changes before the beginning of the course:</w:t>
            </w:r>
          </w:p>
          <w:p w14:paraId="3222902A" w14:textId="147D4C3E" w:rsidR="00FB6FB3" w:rsidRPr="001C3D3C" w:rsidRDefault="00FB6FB3" w:rsidP="00FB6FB3">
            <w:pPr>
              <w:spacing w:line="360" w:lineRule="auto"/>
              <w:rPr>
                <w:rFonts w:ascii="Arial" w:eastAsia="Calibri" w:hAnsi="Arial" w:cs="Arial"/>
                <w:i/>
                <w:iCs/>
                <w:color w:val="000000"/>
                <w:sz w:val="20"/>
                <w:szCs w:val="20"/>
                <w:lang w:val="en-US"/>
              </w:rPr>
            </w:pPr>
            <w:r w:rsidRPr="00FB6FB3">
              <w:rPr>
                <w:rFonts w:ascii="Arial" w:eastAsia="Calibri" w:hAnsi="Arial" w:cs="Arial"/>
                <w:i/>
                <w:iCs/>
                <w:color w:val="000000"/>
                <w:sz w:val="20"/>
                <w:szCs w:val="20"/>
              </w:rPr>
              <w:t xml:space="preserve">- Henrich, J., Heine, S. J., &amp; Norenzayan, A. (2010). </w:t>
            </w:r>
            <w:r w:rsidRPr="001C3D3C">
              <w:rPr>
                <w:rFonts w:ascii="Arial" w:eastAsia="Calibri" w:hAnsi="Arial" w:cs="Arial"/>
                <w:i/>
                <w:iCs/>
                <w:color w:val="000000"/>
                <w:sz w:val="20"/>
                <w:szCs w:val="20"/>
                <w:lang w:val="en-US"/>
              </w:rPr>
              <w:t>The weirdest people in the world? Behavioral and Brain Sciences, 33 (2–3), 61–83, discussion 83–135.</w:t>
            </w:r>
          </w:p>
          <w:p w14:paraId="797AD107" w14:textId="171ED27A"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xml:space="preserve">- Jared Rubin (2020). Culture in Historical Political Economy. </w:t>
            </w:r>
          </w:p>
          <w:p w14:paraId="2AD8FC56" w14:textId="1C139BE6"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xml:space="preserve">- Henrich, J. (2015). *The Secret of Our Success: How Culture Is Driving Human Evolution, Domesticating Our Species, and Making Us Smarter*. </w:t>
            </w:r>
          </w:p>
          <w:p w14:paraId="039388A6" w14:textId="296ED316"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xml:space="preserve">- Lena, J. C., Lizardo, O., McDonnell, T. E., Mische, A., Tavory, I., Wherry, F. F. V., ... &amp; Frye, M. (2019). *Measuring culture*. Columbia University Press. </w:t>
            </w:r>
          </w:p>
          <w:p w14:paraId="4C383E38" w14:textId="022586D7"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Bicchieri, C. (2016). Norms in the wild: How to diagnose, measure, and change social norms. Oxford University Press.</w:t>
            </w:r>
          </w:p>
          <w:p w14:paraId="276BBF4D" w14:textId="371A4B29" w:rsidR="00FB6FB3" w:rsidRPr="001C3D3C" w:rsidRDefault="00FB6FB3" w:rsidP="00FB6FB3">
            <w:pPr>
              <w:spacing w:line="360" w:lineRule="auto"/>
              <w:rPr>
                <w:rFonts w:ascii="Arial" w:eastAsia="Calibri" w:hAnsi="Arial" w:cs="Arial"/>
                <w:i/>
                <w:iCs/>
                <w:color w:val="000000"/>
                <w:sz w:val="20"/>
                <w:szCs w:val="20"/>
                <w:lang w:val="en-US"/>
              </w:rPr>
            </w:pPr>
            <w:r w:rsidRPr="00877C33">
              <w:rPr>
                <w:rFonts w:ascii="Arial" w:eastAsia="Calibri" w:hAnsi="Arial" w:cs="Arial"/>
                <w:i/>
                <w:iCs/>
                <w:color w:val="000000"/>
                <w:sz w:val="20"/>
                <w:szCs w:val="20"/>
                <w:lang w:val="en-US"/>
              </w:rPr>
              <w:t xml:space="preserve">- Huddy, L. (2001). From Social to Political Identity: A Critical Examination of Social Identity Theory. </w:t>
            </w:r>
            <w:r w:rsidRPr="001C3D3C">
              <w:rPr>
                <w:rFonts w:ascii="Arial" w:eastAsia="Calibri" w:hAnsi="Arial" w:cs="Arial"/>
                <w:i/>
                <w:iCs/>
                <w:color w:val="000000"/>
                <w:sz w:val="20"/>
                <w:szCs w:val="20"/>
                <w:lang w:val="en-US"/>
              </w:rPr>
              <w:t xml:space="preserve">Political Psychology, 22(1), 127–156. </w:t>
            </w:r>
            <w:hyperlink r:id="rId7" w:history="1">
              <w:r w:rsidRPr="001C3D3C">
                <w:rPr>
                  <w:rStyle w:val="Hyperlink"/>
                  <w:rFonts w:ascii="Arial" w:eastAsia="Calibri" w:hAnsi="Arial" w:cs="Arial"/>
                  <w:i/>
                  <w:iCs/>
                  <w:sz w:val="20"/>
                  <w:szCs w:val="20"/>
                  <w:lang w:val="en-US"/>
                </w:rPr>
                <w:t>https://doi.org/10.1111/0162-895X.00230</w:t>
              </w:r>
            </w:hyperlink>
          </w:p>
          <w:p w14:paraId="0AF9CFEF" w14:textId="3CFCE1B9"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Axelrod, R. (1997). The dissemination of culture: A model with local convergence and global polarization. Journal of Conflict Resolution, 41(2), 203–226.</w:t>
            </w:r>
          </w:p>
          <w:p w14:paraId="03BD6F2B" w14:textId="742D782C"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Lowes, Sara. (2022).“Culture in Historical Political Economy”. National Bureau of Economic Research, no. w30511.</w:t>
            </w:r>
          </w:p>
          <w:p w14:paraId="16500731" w14:textId="3F69434D" w:rsidR="00FB6FB3" w:rsidRPr="001C3D3C" w:rsidRDefault="00FB6FB3" w:rsidP="00FB6FB3">
            <w:pPr>
              <w:spacing w:line="360" w:lineRule="auto"/>
              <w:rPr>
                <w:rFonts w:ascii="Arial" w:eastAsia="Calibri" w:hAnsi="Arial" w:cs="Arial"/>
                <w:i/>
                <w:iCs/>
                <w:color w:val="000000"/>
                <w:sz w:val="20"/>
                <w:szCs w:val="20"/>
                <w:lang w:val="en-US"/>
              </w:rPr>
            </w:pPr>
            <w:r w:rsidRPr="00B5142D">
              <w:rPr>
                <w:rFonts w:ascii="Arial" w:eastAsia="Calibri" w:hAnsi="Arial" w:cs="Arial"/>
                <w:i/>
                <w:iCs/>
                <w:color w:val="000000"/>
                <w:sz w:val="20"/>
                <w:szCs w:val="20"/>
              </w:rPr>
              <w:t xml:space="preserve">- Ziblatt, D., Hilbig, H., &amp; Bischof, D. (2023). </w:t>
            </w:r>
            <w:r w:rsidRPr="001C3D3C">
              <w:rPr>
                <w:rFonts w:ascii="Arial" w:eastAsia="Calibri" w:hAnsi="Arial" w:cs="Arial"/>
                <w:i/>
                <w:iCs/>
                <w:color w:val="000000"/>
                <w:sz w:val="20"/>
                <w:szCs w:val="20"/>
                <w:lang w:val="en-US"/>
              </w:rPr>
              <w:t>Wealth of Tongues: Why Peripheral Regions Vote for the Radical Right in Germany. American Political Science Review, 1–17. https://doi.org/10.1017/S0003055423000862</w:t>
            </w:r>
          </w:p>
          <w:p w14:paraId="2A191E41" w14:textId="17309FA5"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Domènech, J., &amp; Sánchez-Cuenca, I. (2022). The Long Shadow of Agrarian Conflict: Agrarian Inequality and Voting in Spain. British Journal of Political Science, 52(4), 1668–1688.</w:t>
            </w:r>
          </w:p>
          <w:p w14:paraId="58FE04F9" w14:textId="25FC37F4"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Gerber, A. S., Green, D. P., &amp; Larimer, C. W. (2008). Social Pressure and Voter Turnout: Evidence from a Large-Scale Field Experiment. American Political Science Review, 102(1), 33–48. https://doi.org/10.1017/S000305540808009X</w:t>
            </w:r>
          </w:p>
          <w:p w14:paraId="0C4FCC56" w14:textId="4CE01E30" w:rsidR="00FB6FB3" w:rsidRPr="001C3D3C" w:rsidRDefault="00FB6FB3" w:rsidP="00FB6FB3">
            <w:pPr>
              <w:spacing w:line="360" w:lineRule="auto"/>
              <w:rPr>
                <w:rFonts w:ascii="Arial" w:eastAsia="Calibri" w:hAnsi="Arial" w:cs="Arial"/>
                <w:i/>
                <w:iCs/>
                <w:color w:val="000000"/>
                <w:sz w:val="20"/>
                <w:szCs w:val="20"/>
                <w:lang w:val="en-US"/>
              </w:rPr>
            </w:pPr>
            <w:r w:rsidRPr="00877C33">
              <w:rPr>
                <w:rFonts w:ascii="Arial" w:eastAsia="Calibri" w:hAnsi="Arial" w:cs="Arial"/>
                <w:i/>
                <w:iCs/>
                <w:color w:val="000000"/>
                <w:sz w:val="20"/>
                <w:szCs w:val="20"/>
                <w:lang w:val="en-US"/>
              </w:rPr>
              <w:lastRenderedPageBreak/>
              <w:t xml:space="preserve">- Doherty, D., Dowling, C. M., Gerber, A. S., &amp; Huber, G. A. (2017). Are Voting Norms Conditional? How Electoral Context and Peer Behavior Shape the Social Returns to Voting. </w:t>
            </w:r>
            <w:r w:rsidRPr="001C3D3C">
              <w:rPr>
                <w:rFonts w:ascii="Arial" w:eastAsia="Calibri" w:hAnsi="Arial" w:cs="Arial"/>
                <w:i/>
                <w:iCs/>
                <w:color w:val="000000"/>
                <w:sz w:val="20"/>
                <w:szCs w:val="20"/>
                <w:lang w:val="en-US"/>
              </w:rPr>
              <w:t xml:space="preserve">The Journal of Politics, 79(3), 1095–1100. </w:t>
            </w:r>
            <w:hyperlink r:id="rId8" w:history="1">
              <w:r w:rsidRPr="001C3D3C">
                <w:rPr>
                  <w:rStyle w:val="Hyperlink"/>
                  <w:rFonts w:ascii="Arial" w:eastAsia="Calibri" w:hAnsi="Arial" w:cs="Arial"/>
                  <w:i/>
                  <w:iCs/>
                  <w:sz w:val="20"/>
                  <w:szCs w:val="20"/>
                  <w:lang w:val="en-US"/>
                </w:rPr>
                <w:t>https://doi.org/10.1086/691689</w:t>
              </w:r>
            </w:hyperlink>
          </w:p>
          <w:p w14:paraId="19CBBFE0" w14:textId="07D3E630"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Levendusky, M. S. (2018). Americans, Not Partisans: Can Priming American National Identity Reduce Affective Polarization? The Journal of Politics, 80(1), 59–70. https://doi.org/10.1086/693987</w:t>
            </w:r>
          </w:p>
          <w:p w14:paraId="5F29971E" w14:textId="428EE58E"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xml:space="preserve">- Turnbull-Dugarte, S. J., &amp; López Ortega, A. (2023). </w:t>
            </w:r>
            <w:r w:rsidRPr="00877C33">
              <w:rPr>
                <w:rFonts w:ascii="Arial" w:eastAsia="Calibri" w:hAnsi="Arial" w:cs="Arial"/>
                <w:i/>
                <w:iCs/>
                <w:color w:val="000000"/>
                <w:sz w:val="20"/>
                <w:szCs w:val="20"/>
                <w:lang w:val="en-US"/>
              </w:rPr>
              <w:t xml:space="preserve">Instrumentally Inclusive: The Political Psychology of Homonationalism. </w:t>
            </w:r>
            <w:r w:rsidRPr="001C3D3C">
              <w:rPr>
                <w:rFonts w:ascii="Arial" w:eastAsia="Calibri" w:hAnsi="Arial" w:cs="Arial"/>
                <w:i/>
                <w:iCs/>
                <w:color w:val="000000"/>
                <w:sz w:val="20"/>
                <w:szCs w:val="20"/>
                <w:lang w:val="en-US"/>
              </w:rPr>
              <w:t xml:space="preserve">American Political Science Review, 1–19. </w:t>
            </w:r>
            <w:hyperlink r:id="rId9" w:history="1">
              <w:r w:rsidRPr="001C3D3C">
                <w:rPr>
                  <w:rStyle w:val="Hyperlink"/>
                  <w:rFonts w:ascii="Arial" w:eastAsia="Calibri" w:hAnsi="Arial" w:cs="Arial"/>
                  <w:i/>
                  <w:iCs/>
                  <w:sz w:val="20"/>
                  <w:szCs w:val="20"/>
                  <w:lang w:val="en-US"/>
                </w:rPr>
                <w:t>https://doi.org/10.1017/S0003055423000849</w:t>
              </w:r>
            </w:hyperlink>
          </w:p>
          <w:p w14:paraId="082F6285" w14:textId="4DF93B7D"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Valentim, V. (2022). Political Stigmatization and Preference Falsification: Theory and Observational Evidence (SSRN Scholarly Paper 4023263). https://doi.org/10.2139/ssrn.4023263</w:t>
            </w:r>
          </w:p>
          <w:p w14:paraId="17F60F96" w14:textId="1CE33E58"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fr-CH"/>
              </w:rPr>
              <w:t xml:space="preserve">- Dinas, E., Martínez, S., &amp; Valentim, V. (2023). </w:t>
            </w:r>
            <w:r w:rsidRPr="001C3D3C">
              <w:rPr>
                <w:rFonts w:ascii="Arial" w:eastAsia="Calibri" w:hAnsi="Arial" w:cs="Arial"/>
                <w:i/>
                <w:iCs/>
                <w:color w:val="000000"/>
                <w:sz w:val="20"/>
                <w:szCs w:val="20"/>
                <w:lang w:val="en-US"/>
              </w:rPr>
              <w:t>Social Norm Change, Political Symbols, and Expression of Stigmatized Preferences. The Journal of Politics. https://doi.org/10.1086/726951</w:t>
            </w:r>
          </w:p>
          <w:p w14:paraId="25E2BBC2" w14:textId="551D0166"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Bau, N. (2021). Can Policy Change Culture? Government Pension Plans and Traditional Kinship Practices. American Economic Review, 111(6), 1880–1917. https://doi.org/10.1257/aer.20190098</w:t>
            </w:r>
          </w:p>
          <w:p w14:paraId="1D6C4C13" w14:textId="77777777" w:rsidR="00D9622B"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Tankard, M. E., &amp; Paluck, E. L. (2017). The effect of a Supreme Court decision regarding gay marriage on social norms and personal attitudes. Psychological Science, 28(9), 1334–1344.</w:t>
            </w:r>
          </w:p>
          <w:p w14:paraId="2960B619" w14:textId="106857B3" w:rsidR="00FB6FB3" w:rsidRPr="001C3D3C" w:rsidRDefault="00FB6FB3" w:rsidP="00FB6FB3">
            <w:pPr>
              <w:spacing w:line="360" w:lineRule="auto"/>
              <w:rPr>
                <w:rFonts w:ascii="Arial" w:eastAsia="Calibri" w:hAnsi="Arial" w:cs="Arial"/>
                <w:i/>
                <w:iCs/>
                <w:color w:val="000000"/>
                <w:sz w:val="20"/>
                <w:szCs w:val="20"/>
                <w:lang w:val="en-US"/>
              </w:rPr>
            </w:pPr>
            <w:r w:rsidRPr="001C3D3C">
              <w:rPr>
                <w:rFonts w:ascii="Arial" w:eastAsia="Calibri" w:hAnsi="Arial" w:cs="Arial"/>
                <w:i/>
                <w:iCs/>
                <w:color w:val="000000"/>
                <w:sz w:val="20"/>
                <w:szCs w:val="20"/>
                <w:lang w:val="en-US"/>
              </w:rPr>
              <w:t>- Gándara, N. (2023). ‘We are your pack’: Feminist Social Movements on Countering Violence Against Women</w:t>
            </w:r>
          </w:p>
          <w:p w14:paraId="15864A17" w14:textId="7E369E6B" w:rsidR="00FB6FB3" w:rsidRPr="00D9622B" w:rsidRDefault="00FB6FB3" w:rsidP="00FB6FB3">
            <w:pPr>
              <w:spacing w:line="360" w:lineRule="auto"/>
              <w:rPr>
                <w:rFonts w:ascii="Arial" w:eastAsia="Calibri" w:hAnsi="Arial" w:cs="Arial"/>
                <w:i/>
                <w:iCs/>
                <w:color w:val="000000"/>
                <w:sz w:val="20"/>
                <w:szCs w:val="20"/>
              </w:rPr>
            </w:pPr>
            <w:r w:rsidRPr="001C3D3C">
              <w:rPr>
                <w:rFonts w:ascii="Arial" w:eastAsia="Calibri" w:hAnsi="Arial" w:cs="Arial"/>
                <w:i/>
                <w:iCs/>
                <w:color w:val="000000"/>
                <w:sz w:val="20"/>
                <w:szCs w:val="20"/>
                <w:lang w:val="en-US"/>
              </w:rPr>
              <w:t xml:space="preserve">- Anduiza, E., &amp; Rico, G. (2022). Sexism and the Far-Right Vote: The Individual Dynamics of Gender Backlash. </w:t>
            </w:r>
            <w:r w:rsidRPr="00FB6FB3">
              <w:rPr>
                <w:rFonts w:ascii="Arial" w:eastAsia="Calibri" w:hAnsi="Arial" w:cs="Arial"/>
                <w:i/>
                <w:iCs/>
                <w:color w:val="000000"/>
                <w:sz w:val="20"/>
                <w:szCs w:val="20"/>
              </w:rPr>
              <w:t>American Journal of Political Science. https://doi.org/10.1111/ajps.12759</w:t>
            </w:r>
          </w:p>
        </w:tc>
      </w:tr>
      <w:tr w:rsidR="00D9622B" w:rsidRPr="00A1219A" w14:paraId="0240DA78" w14:textId="77777777" w:rsidTr="00D9622B">
        <w:tc>
          <w:tcPr>
            <w:tcW w:w="9016" w:type="dxa"/>
            <w:gridSpan w:val="2"/>
          </w:tcPr>
          <w:p w14:paraId="18D36E72" w14:textId="081C804A" w:rsidR="00D9622B" w:rsidRPr="00D9622B" w:rsidRDefault="00D9622B" w:rsidP="00D9622B">
            <w:pPr>
              <w:tabs>
                <w:tab w:val="left" w:pos="1985"/>
                <w:tab w:val="left" w:pos="3828"/>
                <w:tab w:val="left" w:pos="5387"/>
                <w:tab w:val="left" w:pos="6379"/>
              </w:tabs>
              <w:rPr>
                <w:rFonts w:ascii="Arial" w:eastAsia="Calibri" w:hAnsi="Arial" w:cs="Arial"/>
                <w:sz w:val="20"/>
                <w:szCs w:val="20"/>
                <w:lang w:val="en-US"/>
              </w:rPr>
            </w:pPr>
            <w:r w:rsidRPr="00D9622B">
              <w:rPr>
                <w:rFonts w:ascii="Arial" w:eastAsia="Calibri" w:hAnsi="Arial" w:cs="Arial"/>
                <w:b/>
                <w:bCs/>
                <w:color w:val="000000"/>
                <w:sz w:val="20"/>
                <w:szCs w:val="20"/>
                <w:lang w:val="en-US"/>
              </w:rPr>
              <w:lastRenderedPageBreak/>
              <w:t xml:space="preserve">Please mark level of study: </w:t>
            </w:r>
            <w:r w:rsidRPr="00D9622B">
              <w:rPr>
                <w:rFonts w:ascii="Arial" w:eastAsia="Calibri" w:hAnsi="Arial" w:cs="Arial"/>
                <w:b/>
                <w:bCs/>
                <w:color w:val="000000"/>
                <w:sz w:val="20"/>
                <w:szCs w:val="20"/>
                <w:lang w:val="en-US"/>
              </w:rPr>
              <w:tab/>
            </w:r>
            <w:r>
              <w:rPr>
                <w:rFonts w:ascii="Arial" w:eastAsia="Calibri" w:hAnsi="Arial" w:cs="Arial"/>
                <w:b/>
                <w:bCs/>
                <w:color w:val="000000"/>
                <w:sz w:val="20"/>
                <w:szCs w:val="20"/>
                <w:lang w:val="en-US"/>
              </w:rPr>
              <w:t xml:space="preserve">           </w:t>
            </w:r>
            <w:r w:rsidRPr="00D9622B">
              <w:rPr>
                <w:rFonts w:ascii="Arial" w:eastAsia="Calibri" w:hAnsi="Arial" w:cs="Arial"/>
                <w:b/>
                <w:bCs/>
                <w:color w:val="000000"/>
                <w:sz w:val="20"/>
                <w:szCs w:val="20"/>
                <w:lang w:val="en-US"/>
              </w:rPr>
              <w:t>Doctorate:</w:t>
            </w:r>
            <w:r>
              <w:rPr>
                <w:rFonts w:ascii="Arial" w:eastAsia="Calibri" w:hAnsi="Arial" w:cs="Arial"/>
                <w:b/>
                <w:bCs/>
                <w:color w:val="000000"/>
                <w:sz w:val="20"/>
                <w:szCs w:val="20"/>
                <w:lang w:val="en-US"/>
              </w:rPr>
              <w:t xml:space="preserve">       </w:t>
            </w:r>
            <w:r w:rsidRPr="00D9622B">
              <w:rPr>
                <w:rFonts w:ascii="Arial" w:eastAsia="Calibri" w:hAnsi="Arial" w:cs="Arial"/>
                <w:b/>
                <w:bCs/>
                <w:color w:val="000000"/>
                <w:sz w:val="20"/>
                <w:szCs w:val="20"/>
                <w:lang w:val="en-US"/>
              </w:rPr>
              <w:t xml:space="preserve">Bachelor: </w:t>
            </w:r>
            <w:r>
              <w:rPr>
                <w:rFonts w:ascii="Arial" w:eastAsia="Calibri" w:hAnsi="Arial" w:cs="Arial"/>
                <w:b/>
                <w:bCs/>
                <w:color w:val="000000"/>
                <w:sz w:val="20"/>
                <w:szCs w:val="20"/>
                <w:lang w:val="en-US"/>
              </w:rPr>
              <w:t xml:space="preserve"> </w:t>
            </w:r>
            <w:r w:rsidR="00F7065A">
              <w:rPr>
                <w:rFonts w:ascii="Arial" w:eastAsia="Calibri" w:hAnsi="Arial" w:cs="Arial"/>
                <w:b/>
                <w:bCs/>
                <w:color w:val="000000"/>
                <w:sz w:val="20"/>
                <w:szCs w:val="20"/>
                <w:lang w:val="en-US"/>
              </w:rPr>
              <w:t>X</w:t>
            </w:r>
            <w:r>
              <w:rPr>
                <w:rFonts w:ascii="Arial" w:eastAsia="Calibri" w:hAnsi="Arial" w:cs="Arial"/>
                <w:b/>
                <w:bCs/>
                <w:color w:val="000000"/>
                <w:sz w:val="20"/>
                <w:szCs w:val="20"/>
                <w:lang w:val="en-US"/>
              </w:rPr>
              <w:t xml:space="preserve">          </w:t>
            </w:r>
            <w:r w:rsidRPr="00D9622B">
              <w:rPr>
                <w:rFonts w:ascii="Arial" w:eastAsia="Calibri" w:hAnsi="Arial" w:cs="Arial"/>
                <w:b/>
                <w:bCs/>
                <w:color w:val="000000"/>
                <w:sz w:val="20"/>
                <w:szCs w:val="20"/>
                <w:lang w:val="en-US"/>
              </w:rPr>
              <w:t>Master:</w:t>
            </w:r>
            <w:r>
              <w:rPr>
                <w:rFonts w:ascii="Arial" w:eastAsia="Calibri" w:hAnsi="Arial" w:cs="Arial"/>
                <w:b/>
                <w:bCs/>
                <w:color w:val="000000"/>
                <w:sz w:val="20"/>
                <w:szCs w:val="20"/>
                <w:lang w:val="en-US"/>
              </w:rPr>
              <w:t xml:space="preserve"> </w:t>
            </w:r>
            <w:r w:rsidR="00F7065A">
              <w:rPr>
                <w:rFonts w:ascii="Arial" w:eastAsia="Calibri" w:hAnsi="Arial" w:cs="Arial"/>
                <w:b/>
                <w:bCs/>
                <w:color w:val="000000"/>
                <w:sz w:val="20"/>
                <w:szCs w:val="20"/>
                <w:lang w:val="en-US"/>
              </w:rPr>
              <w:t>X</w:t>
            </w:r>
          </w:p>
        </w:tc>
      </w:tr>
      <w:tr w:rsidR="00D9622B" w:rsidRPr="00A1219A" w14:paraId="7CF2D62B" w14:textId="77777777" w:rsidTr="00D9622B">
        <w:tc>
          <w:tcPr>
            <w:tcW w:w="9016" w:type="dxa"/>
            <w:gridSpan w:val="2"/>
          </w:tcPr>
          <w:p w14:paraId="43559752" w14:textId="65899053" w:rsidR="001C3D3C" w:rsidRPr="001C3D3C" w:rsidRDefault="00D9622B" w:rsidP="001C3D3C">
            <w:pPr>
              <w:rPr>
                <w:rFonts w:ascii="Arial" w:eastAsia="Calibri" w:hAnsi="Arial" w:cs="Arial"/>
                <w:sz w:val="20"/>
                <w:szCs w:val="20"/>
                <w:lang w:val="en-US"/>
              </w:rPr>
            </w:pPr>
            <w:r w:rsidRPr="001C3D3C">
              <w:rPr>
                <w:rFonts w:ascii="Arial" w:eastAsia="Calibri" w:hAnsi="Arial" w:cs="Arial"/>
                <w:b/>
                <w:bCs/>
                <w:color w:val="000000"/>
                <w:sz w:val="20"/>
                <w:szCs w:val="20"/>
                <w:lang w:val="en-US"/>
              </w:rPr>
              <w:t>Content:</w:t>
            </w:r>
            <w:r w:rsidR="00B5142D">
              <w:rPr>
                <w:rFonts w:ascii="Arial" w:eastAsia="Calibri" w:hAnsi="Arial" w:cs="Arial"/>
                <w:b/>
                <w:bCs/>
                <w:color w:val="000000"/>
                <w:sz w:val="20"/>
                <w:szCs w:val="20"/>
                <w:lang w:val="en-US"/>
              </w:rPr>
              <w:t xml:space="preserve"> </w:t>
            </w:r>
            <w:r w:rsidR="001C3D3C" w:rsidRPr="001C3D3C">
              <w:rPr>
                <w:rFonts w:ascii="Arial" w:eastAsia="Calibri" w:hAnsi="Arial" w:cs="Arial"/>
                <w:sz w:val="20"/>
                <w:szCs w:val="20"/>
                <w:lang w:val="en-US"/>
              </w:rPr>
              <w:t xml:space="preserve">Why citizens of Eastern Germany are more likely to vote for the radical right? Why do people turn out to vote even if their likelihood of influencing the election outcome is minimal? How is it possible that support for LGBTQi+ policies increases simultaneously with support for conservative parties? Traditional political science accounts focusing on voters' rationality and institutions fall short of explanatory power to answer these and related questions. Instead, cultural explanations are gaining prominence, and the increasing availability of digitalized historical and text data has provided the ground to test them systematically. Following this trend, this course introduces students to the developing subfield of Political Culture, with a particular focus on applications in political behavior topics. The course combines a well-curated reading list with introductory lectures and seminar discussions to foster critical thinking about the role of culture in </w:t>
            </w:r>
            <w:r w:rsidR="001C3D3C" w:rsidRPr="001C3D3C">
              <w:rPr>
                <w:rFonts w:ascii="Arial" w:eastAsia="Calibri" w:hAnsi="Arial" w:cs="Arial"/>
                <w:sz w:val="20"/>
                <w:szCs w:val="20"/>
                <w:lang w:val="en-US"/>
              </w:rPr>
              <w:lastRenderedPageBreak/>
              <w:t xml:space="preserve">politics. Students who take this course will acquire the skills to analyze political behavior from a cultural perspective, developing original research ideas and successful designs to test them. </w:t>
            </w:r>
          </w:p>
          <w:p w14:paraId="2373F114" w14:textId="6F397809" w:rsidR="00C12538" w:rsidRDefault="001C3D3C" w:rsidP="001C3D3C">
            <w:pPr>
              <w:rPr>
                <w:rFonts w:ascii="Arial" w:eastAsia="Calibri" w:hAnsi="Arial" w:cs="Arial"/>
                <w:sz w:val="20"/>
                <w:szCs w:val="20"/>
                <w:lang w:val="en-US"/>
              </w:rPr>
            </w:pPr>
            <w:r w:rsidRPr="001C3D3C">
              <w:rPr>
                <w:rFonts w:ascii="Arial" w:eastAsia="Calibri" w:hAnsi="Arial" w:cs="Arial"/>
                <w:sz w:val="20"/>
                <w:szCs w:val="20"/>
                <w:lang w:val="en-US"/>
              </w:rPr>
              <w:t>The course is organized as a block seminar that will run during the Spring term of 202</w:t>
            </w:r>
            <w:r w:rsidR="00B5142D">
              <w:rPr>
                <w:rFonts w:ascii="Arial" w:eastAsia="Calibri" w:hAnsi="Arial" w:cs="Arial"/>
                <w:sz w:val="20"/>
                <w:szCs w:val="20"/>
                <w:lang w:val="en-US"/>
              </w:rPr>
              <w:t>5</w:t>
            </w:r>
            <w:r w:rsidRPr="001C3D3C">
              <w:rPr>
                <w:rFonts w:ascii="Arial" w:eastAsia="Calibri" w:hAnsi="Arial" w:cs="Arial"/>
                <w:sz w:val="20"/>
                <w:szCs w:val="20"/>
                <w:lang w:val="en-US"/>
              </w:rPr>
              <w:t>. Each block will consist of three/four sessions concentrated on Fridays. The first block will introduce the core conceptual tools in the study of political culture, such as the concepts of social norms, group identity or cultural transmission. The second and third blocks will then delve into specific political behavior topics revisited from a cultural perspective, such as voting preferences, electoral turnout or inter-group relations. We will also investigate the interaction between political and cultural change and assess the conditions under which they may reinforce or contain each other. Finally, students will present original ideas related to the course topics and a research design to test them.</w:t>
            </w:r>
          </w:p>
          <w:p w14:paraId="23E40079" w14:textId="459AF5DD" w:rsidR="001C3D3C" w:rsidRPr="00C12538" w:rsidRDefault="001C3D3C" w:rsidP="001C3D3C">
            <w:pPr>
              <w:rPr>
                <w:rFonts w:ascii="Arial" w:eastAsia="Calibri" w:hAnsi="Arial" w:cs="Arial"/>
                <w:sz w:val="20"/>
                <w:szCs w:val="20"/>
                <w:lang w:val="en-US"/>
              </w:rPr>
            </w:pPr>
          </w:p>
        </w:tc>
      </w:tr>
      <w:tr w:rsidR="00D9622B" w:rsidRPr="00A1219A" w14:paraId="7A85D3CF" w14:textId="77777777" w:rsidTr="001C3D3C">
        <w:tc>
          <w:tcPr>
            <w:tcW w:w="3114" w:type="dxa"/>
          </w:tcPr>
          <w:p w14:paraId="0B0F37BB"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lastRenderedPageBreak/>
              <w:t>Scope:</w:t>
            </w:r>
          </w:p>
        </w:tc>
        <w:tc>
          <w:tcPr>
            <w:tcW w:w="5902" w:type="dxa"/>
          </w:tcPr>
          <w:p w14:paraId="61D9C5CA" w14:textId="6421DA7D" w:rsidR="00D9622B" w:rsidRPr="008E1334" w:rsidRDefault="00FB6FB3" w:rsidP="00D9622B">
            <w:pPr>
              <w:rPr>
                <w:rFonts w:ascii="Arial" w:eastAsia="Calibri" w:hAnsi="Arial" w:cs="Arial"/>
                <w:color w:val="000000"/>
                <w:sz w:val="20"/>
                <w:szCs w:val="20"/>
                <w:lang w:val="en-US"/>
              </w:rPr>
            </w:pPr>
            <w:r>
              <w:rPr>
                <w:rFonts w:ascii="Arial" w:eastAsia="Calibri" w:hAnsi="Arial" w:cs="Arial"/>
                <w:color w:val="000000"/>
                <w:sz w:val="20"/>
                <w:szCs w:val="20"/>
                <w:lang w:val="en-US"/>
              </w:rPr>
              <w:t>Equivalent to 2</w:t>
            </w:r>
            <w:r w:rsidR="00D9622B" w:rsidRPr="008E1334">
              <w:rPr>
                <w:rFonts w:ascii="Arial" w:eastAsia="Calibri" w:hAnsi="Arial" w:cs="Arial"/>
                <w:color w:val="000000"/>
                <w:sz w:val="20"/>
                <w:szCs w:val="20"/>
                <w:lang w:val="en-US"/>
              </w:rPr>
              <w:t xml:space="preserve"> semester hours per week</w:t>
            </w:r>
          </w:p>
        </w:tc>
      </w:tr>
      <w:tr w:rsidR="00D9622B" w:rsidRPr="00A1219A" w14:paraId="360CE4F9" w14:textId="77777777" w:rsidTr="001C3D3C">
        <w:tc>
          <w:tcPr>
            <w:tcW w:w="3114" w:type="dxa"/>
          </w:tcPr>
          <w:p w14:paraId="7B1BAEF2"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t>Frequency:</w:t>
            </w:r>
          </w:p>
        </w:tc>
        <w:tc>
          <w:tcPr>
            <w:tcW w:w="5902" w:type="dxa"/>
          </w:tcPr>
          <w:p w14:paraId="701378C4" w14:textId="5A299B9E" w:rsidR="00D9622B" w:rsidRPr="001C3D3C" w:rsidRDefault="00FB6FB3" w:rsidP="00D9622B">
            <w:pPr>
              <w:rPr>
                <w:rFonts w:ascii="Arial" w:eastAsia="Calibri" w:hAnsi="Arial" w:cs="Arial"/>
                <w:color w:val="000000"/>
                <w:sz w:val="20"/>
                <w:szCs w:val="20"/>
                <w:lang w:val="en-US"/>
              </w:rPr>
            </w:pPr>
            <w:r w:rsidRPr="001C3D3C">
              <w:rPr>
                <w:rFonts w:ascii="Arial" w:eastAsia="Calibri" w:hAnsi="Arial" w:cs="Arial"/>
                <w:color w:val="000000"/>
                <w:sz w:val="20"/>
                <w:szCs w:val="20"/>
                <w:lang w:val="en-US"/>
              </w:rPr>
              <w:t>Monthly or bi-monthly blocks</w:t>
            </w:r>
          </w:p>
        </w:tc>
      </w:tr>
      <w:tr w:rsidR="00D9622B" w:rsidRPr="00D9622B" w14:paraId="1360A8A5" w14:textId="77777777" w:rsidTr="001C3D3C">
        <w:tc>
          <w:tcPr>
            <w:tcW w:w="3114" w:type="dxa"/>
          </w:tcPr>
          <w:p w14:paraId="27B90258"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t>Language:</w:t>
            </w:r>
          </w:p>
        </w:tc>
        <w:tc>
          <w:tcPr>
            <w:tcW w:w="5902" w:type="dxa"/>
          </w:tcPr>
          <w:p w14:paraId="7F9BB44B" w14:textId="77777777" w:rsidR="00D9622B" w:rsidRPr="00D9622B" w:rsidRDefault="00D9622B" w:rsidP="00D9622B">
            <w:pPr>
              <w:rPr>
                <w:rFonts w:ascii="Arial" w:eastAsia="Calibri" w:hAnsi="Arial" w:cs="Arial"/>
                <w:i/>
                <w:iCs/>
                <w:color w:val="000000"/>
                <w:sz w:val="20"/>
                <w:szCs w:val="20"/>
              </w:rPr>
            </w:pPr>
            <w:r w:rsidRPr="00D9622B">
              <w:rPr>
                <w:rFonts w:ascii="Arial" w:eastAsia="Calibri" w:hAnsi="Arial" w:cs="Arial"/>
                <w:iCs/>
                <w:color w:val="000000"/>
                <w:sz w:val="20"/>
                <w:szCs w:val="20"/>
              </w:rPr>
              <w:t>Englis</w:t>
            </w:r>
            <w:r>
              <w:rPr>
                <w:rFonts w:ascii="Arial" w:eastAsia="Calibri" w:hAnsi="Arial" w:cs="Arial"/>
                <w:iCs/>
                <w:color w:val="000000"/>
                <w:sz w:val="20"/>
                <w:szCs w:val="20"/>
              </w:rPr>
              <w:t>h</w:t>
            </w:r>
          </w:p>
        </w:tc>
      </w:tr>
      <w:tr w:rsidR="00D9622B" w:rsidRPr="00A1219A" w14:paraId="55DFB85A" w14:textId="77777777" w:rsidTr="001C3D3C">
        <w:tc>
          <w:tcPr>
            <w:tcW w:w="3114" w:type="dxa"/>
          </w:tcPr>
          <w:p w14:paraId="7E327E1B"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t>Mode of Examination</w:t>
            </w:r>
          </w:p>
        </w:tc>
        <w:tc>
          <w:tcPr>
            <w:tcW w:w="5902" w:type="dxa"/>
          </w:tcPr>
          <w:p w14:paraId="1AB38B9B" w14:textId="0ABED72D" w:rsidR="00FB6FB3" w:rsidRPr="00FB6FB3" w:rsidRDefault="00FB6FB3" w:rsidP="00FB6FB3">
            <w:p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To receive the credits, students are expected to fulfil the following criteria:</w:t>
            </w:r>
          </w:p>
          <w:p w14:paraId="5CAD60B2" w14:textId="0263866D" w:rsidR="00D9622B" w:rsidRP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Attend all the sessions</w:t>
            </w:r>
          </w:p>
          <w:p w14:paraId="22EDBB52" w14:textId="77777777" w:rsid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Study the mandatory readings before each session</w:t>
            </w:r>
          </w:p>
          <w:p w14:paraId="01CF8B37" w14:textId="3BED6DBB" w:rsid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Participate actively</w:t>
            </w:r>
            <w:r>
              <w:rPr>
                <w:rFonts w:ascii="Arial" w:eastAsia="Calibri" w:hAnsi="Arial" w:cs="Arial"/>
                <w:iCs/>
                <w:color w:val="000000"/>
                <w:sz w:val="20"/>
                <w:szCs w:val="20"/>
                <w:lang w:val="en-US"/>
              </w:rPr>
              <w:t xml:space="preserve"> during class</w:t>
            </w:r>
          </w:p>
          <w:p w14:paraId="70BF8325" w14:textId="77777777" w:rsid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Write two response papers</w:t>
            </w:r>
          </w:p>
          <w:p w14:paraId="79FC5B41" w14:textId="1E9774EB" w:rsid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Write a research proposal</w:t>
            </w:r>
          </w:p>
          <w:p w14:paraId="2F97BCFB" w14:textId="77777777" w:rsid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Present their research proposal</w:t>
            </w:r>
          </w:p>
          <w:p w14:paraId="721CCC8A" w14:textId="07D22C90" w:rsidR="00FB6FB3" w:rsidRPr="00FB6FB3" w:rsidRDefault="00FB6FB3" w:rsidP="00FB6FB3">
            <w:pPr>
              <w:pStyle w:val="ListParagraph"/>
              <w:numPr>
                <w:ilvl w:val="0"/>
                <w:numId w:val="1"/>
              </w:numPr>
              <w:rPr>
                <w:rFonts w:ascii="Arial" w:eastAsia="Calibri" w:hAnsi="Arial" w:cs="Arial"/>
                <w:iCs/>
                <w:color w:val="000000"/>
                <w:sz w:val="20"/>
                <w:szCs w:val="20"/>
                <w:lang w:val="en-US"/>
              </w:rPr>
            </w:pPr>
            <w:r w:rsidRPr="00FB6FB3">
              <w:rPr>
                <w:rFonts w:ascii="Arial" w:eastAsia="Calibri" w:hAnsi="Arial" w:cs="Arial"/>
                <w:iCs/>
                <w:color w:val="000000"/>
                <w:sz w:val="20"/>
                <w:szCs w:val="20"/>
                <w:lang w:val="en-US"/>
              </w:rPr>
              <w:t>Serve as discussant</w:t>
            </w:r>
            <w:r>
              <w:rPr>
                <w:rFonts w:ascii="Arial" w:eastAsia="Calibri" w:hAnsi="Arial" w:cs="Arial"/>
                <w:iCs/>
                <w:color w:val="000000"/>
                <w:sz w:val="20"/>
                <w:szCs w:val="20"/>
                <w:lang w:val="en-US"/>
              </w:rPr>
              <w:t xml:space="preserve"> of one presentation</w:t>
            </w:r>
          </w:p>
        </w:tc>
      </w:tr>
      <w:tr w:rsidR="00D9622B" w:rsidRPr="00D9622B" w14:paraId="7D3C9881" w14:textId="77777777" w:rsidTr="001C3D3C">
        <w:tc>
          <w:tcPr>
            <w:tcW w:w="3114" w:type="dxa"/>
          </w:tcPr>
          <w:p w14:paraId="02B03608" w14:textId="77777777" w:rsidR="00D9622B" w:rsidRPr="00D9622B" w:rsidRDefault="00D9622B" w:rsidP="00D9622B">
            <w:pPr>
              <w:rPr>
                <w:rFonts w:ascii="Arial" w:eastAsia="Calibri" w:hAnsi="Arial" w:cs="Arial"/>
                <w:b/>
                <w:bCs/>
                <w:color w:val="000000"/>
              </w:rPr>
            </w:pPr>
            <w:r w:rsidRPr="00D9622B">
              <w:rPr>
                <w:rFonts w:ascii="Arial" w:eastAsia="Calibri" w:hAnsi="Arial" w:cs="Arial"/>
                <w:b/>
                <w:bCs/>
                <w:color w:val="000000"/>
              </w:rPr>
              <w:t>Contact:</w:t>
            </w:r>
          </w:p>
        </w:tc>
        <w:tc>
          <w:tcPr>
            <w:tcW w:w="5902" w:type="dxa"/>
          </w:tcPr>
          <w:p w14:paraId="3D158282" w14:textId="7CB3CBE5" w:rsidR="00D9622B" w:rsidRPr="00D9622B" w:rsidRDefault="00FB6FB3" w:rsidP="00D9622B">
            <w:pPr>
              <w:rPr>
                <w:rFonts w:ascii="Arial" w:eastAsia="Calibri" w:hAnsi="Arial" w:cs="Arial"/>
                <w:iCs/>
                <w:color w:val="000000"/>
                <w:sz w:val="20"/>
                <w:szCs w:val="20"/>
              </w:rPr>
            </w:pPr>
            <w:r>
              <w:rPr>
                <w:rFonts w:ascii="Arial" w:eastAsia="Calibri" w:hAnsi="Arial" w:cs="Arial"/>
                <w:iCs/>
                <w:color w:val="000000"/>
                <w:sz w:val="20"/>
                <w:szCs w:val="20"/>
              </w:rPr>
              <w:t>alvaro.canalejo@unilu.ch</w:t>
            </w:r>
          </w:p>
        </w:tc>
      </w:tr>
    </w:tbl>
    <w:p w14:paraId="18B3978F" w14:textId="77777777" w:rsidR="00D9622B" w:rsidRDefault="00D9622B"/>
    <w:sectPr w:rsidR="00D96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FD5A" w14:textId="77777777" w:rsidR="00701921" w:rsidRDefault="00701921" w:rsidP="00D9622B">
      <w:pPr>
        <w:spacing w:after="0" w:line="240" w:lineRule="auto"/>
      </w:pPr>
      <w:r>
        <w:separator/>
      </w:r>
    </w:p>
  </w:endnote>
  <w:endnote w:type="continuationSeparator" w:id="0">
    <w:p w14:paraId="562964CA" w14:textId="77777777" w:rsidR="00701921" w:rsidRDefault="00701921" w:rsidP="00D9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8F253" w14:textId="77777777" w:rsidR="00701921" w:rsidRDefault="00701921" w:rsidP="00D9622B">
      <w:pPr>
        <w:spacing w:after="0" w:line="240" w:lineRule="auto"/>
      </w:pPr>
      <w:r>
        <w:separator/>
      </w:r>
    </w:p>
  </w:footnote>
  <w:footnote w:type="continuationSeparator" w:id="0">
    <w:p w14:paraId="556BE026" w14:textId="77777777" w:rsidR="00701921" w:rsidRDefault="00701921" w:rsidP="00D96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818F8"/>
    <w:multiLevelType w:val="hybridMultilevel"/>
    <w:tmpl w:val="FA60D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227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KwsDA3tTAyM7Y0MDdX0lEKTi0uzszPAykwrAUAfK+3kSwAAAA="/>
  </w:docVars>
  <w:rsids>
    <w:rsidRoot w:val="00D9622B"/>
    <w:rsid w:val="00196662"/>
    <w:rsid w:val="001C3D3C"/>
    <w:rsid w:val="002612BE"/>
    <w:rsid w:val="002B5B8A"/>
    <w:rsid w:val="003D63B0"/>
    <w:rsid w:val="006F29B3"/>
    <w:rsid w:val="00701921"/>
    <w:rsid w:val="00764C57"/>
    <w:rsid w:val="00877C33"/>
    <w:rsid w:val="008E1334"/>
    <w:rsid w:val="00974C0E"/>
    <w:rsid w:val="00A1219A"/>
    <w:rsid w:val="00A32C83"/>
    <w:rsid w:val="00B5142D"/>
    <w:rsid w:val="00B603A3"/>
    <w:rsid w:val="00C12538"/>
    <w:rsid w:val="00D053F4"/>
    <w:rsid w:val="00D229F6"/>
    <w:rsid w:val="00D9622B"/>
    <w:rsid w:val="00DA36C2"/>
    <w:rsid w:val="00EB2939"/>
    <w:rsid w:val="00ED3D20"/>
    <w:rsid w:val="00F7065A"/>
    <w:rsid w:val="00FB6F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E9F2"/>
  <w15:chartTrackingRefBased/>
  <w15:docId w15:val="{A7940015-6518-49CC-9514-041DAE0C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raster1">
    <w:name w:val="Tabellenraster1"/>
    <w:basedOn w:val="TableNormal"/>
    <w:next w:val="TableGrid"/>
    <w:uiPriority w:val="59"/>
    <w:rsid w:val="00D9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22B"/>
  </w:style>
  <w:style w:type="paragraph" w:styleId="Footer">
    <w:name w:val="footer"/>
    <w:basedOn w:val="Normal"/>
    <w:link w:val="FooterChar"/>
    <w:uiPriority w:val="99"/>
    <w:unhideWhenUsed/>
    <w:rsid w:val="00D96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22B"/>
  </w:style>
  <w:style w:type="paragraph" w:styleId="ListParagraph">
    <w:name w:val="List Paragraph"/>
    <w:basedOn w:val="Normal"/>
    <w:uiPriority w:val="34"/>
    <w:qFormat/>
    <w:rsid w:val="00FB6FB3"/>
    <w:pPr>
      <w:ind w:left="720"/>
      <w:contextualSpacing/>
    </w:pPr>
  </w:style>
  <w:style w:type="character" w:styleId="Hyperlink">
    <w:name w:val="Hyperlink"/>
    <w:basedOn w:val="DefaultParagraphFont"/>
    <w:uiPriority w:val="99"/>
    <w:unhideWhenUsed/>
    <w:rsid w:val="00FB6FB3"/>
    <w:rPr>
      <w:color w:val="0563C1" w:themeColor="hyperlink"/>
      <w:u w:val="single"/>
    </w:rPr>
  </w:style>
  <w:style w:type="character" w:styleId="UnresolvedMention">
    <w:name w:val="Unresolved Mention"/>
    <w:basedOn w:val="DefaultParagraphFont"/>
    <w:uiPriority w:val="99"/>
    <w:semiHidden/>
    <w:unhideWhenUsed/>
    <w:rsid w:val="00FB6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691689" TargetMode="External"/><Relationship Id="rId3" Type="http://schemas.openxmlformats.org/officeDocument/2006/relationships/settings" Target="settings.xml"/><Relationship Id="rId7" Type="http://schemas.openxmlformats.org/officeDocument/2006/relationships/hyperlink" Target="https://doi.org/10.1111/0162-895X.0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7/S00030554230008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1228</Words>
  <Characters>7002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Luzern</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Sbarra Adriana</dc:creator>
  <cp:keywords/>
  <dc:description/>
  <cp:lastModifiedBy>Álvaro Canalejo Molero</cp:lastModifiedBy>
  <cp:revision>6</cp:revision>
  <dcterms:created xsi:type="dcterms:W3CDTF">2024-10-02T06:52:00Z</dcterms:created>
  <dcterms:modified xsi:type="dcterms:W3CDTF">2024-10-10T13:51:00Z</dcterms:modified>
</cp:coreProperties>
</file>