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C09D0" w14:textId="77777777" w:rsidR="0093239E" w:rsidRPr="0093239E" w:rsidRDefault="00A52348" w:rsidP="00B023F5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Chapter</w:t>
      </w:r>
      <w:r w:rsidR="00BC6A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 w:rsidR="0093239E">
        <w:rPr>
          <w:b/>
          <w:sz w:val="28"/>
          <w:szCs w:val="28"/>
        </w:rPr>
        <w:t>—</w:t>
      </w:r>
      <w:r>
        <w:rPr>
          <w:b/>
          <w:sz w:val="28"/>
          <w:szCs w:val="28"/>
        </w:rPr>
        <w:t>Collapse at the Center: World War, Depression, and the Rebalancing of Global Power, 1914</w:t>
      </w:r>
      <w:r w:rsidR="00BC6AB9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>1970s</w:t>
      </w:r>
    </w:p>
    <w:p w14:paraId="5C4155B7" w14:textId="77777777" w:rsidR="0093239E" w:rsidRDefault="0093239E" w:rsidP="00B023F5">
      <w:pPr>
        <w:rPr>
          <w:b/>
        </w:rPr>
      </w:pPr>
    </w:p>
    <w:p w14:paraId="51822F90" w14:textId="77777777" w:rsidR="00B023F5" w:rsidRDefault="00B023F5" w:rsidP="00B023F5">
      <w:pPr>
        <w:rPr>
          <w:b/>
        </w:rPr>
      </w:pPr>
    </w:p>
    <w:p w14:paraId="0A67783D" w14:textId="77777777" w:rsidR="0093239E" w:rsidRDefault="0093239E" w:rsidP="00B023F5">
      <w:pPr>
        <w:rPr>
          <w:b/>
          <w:sz w:val="28"/>
          <w:szCs w:val="28"/>
        </w:rPr>
      </w:pPr>
      <w:r w:rsidRPr="0093239E">
        <w:rPr>
          <w:b/>
          <w:sz w:val="28"/>
          <w:szCs w:val="28"/>
        </w:rPr>
        <w:t>Seeking the Main Point</w:t>
      </w:r>
    </w:p>
    <w:p w14:paraId="3E7C763B" w14:textId="77777777" w:rsidR="00B023F5" w:rsidRDefault="00B023F5" w:rsidP="00B023F5">
      <w:pPr>
        <w:rPr>
          <w:b/>
          <w:sz w:val="28"/>
          <w:szCs w:val="28"/>
        </w:rPr>
      </w:pPr>
    </w:p>
    <w:p w14:paraId="47D08681" w14:textId="77777777" w:rsidR="001A77D3" w:rsidRDefault="00A52348" w:rsidP="00B023F5">
      <w:pPr>
        <w:rPr>
          <w:b/>
        </w:rPr>
      </w:pPr>
      <w:r>
        <w:rPr>
          <w:b/>
        </w:rPr>
        <w:t xml:space="preserve">In what ways were the </w:t>
      </w:r>
      <w:r w:rsidR="006E4156">
        <w:rPr>
          <w:b/>
        </w:rPr>
        <w:t>w</w:t>
      </w:r>
      <w:r>
        <w:rPr>
          <w:b/>
        </w:rPr>
        <w:t xml:space="preserve">orld </w:t>
      </w:r>
      <w:r w:rsidR="006E4156">
        <w:rPr>
          <w:b/>
        </w:rPr>
        <w:t>w</w:t>
      </w:r>
      <w:r>
        <w:rPr>
          <w:b/>
        </w:rPr>
        <w:t>ars and the Great Depression motors of global change in the history of the twentieth century</w:t>
      </w:r>
      <w:r w:rsidR="00DF1A8F">
        <w:rPr>
          <w:b/>
        </w:rPr>
        <w:t>?</w:t>
      </w:r>
    </w:p>
    <w:p w14:paraId="25C4F13C" w14:textId="77777777" w:rsidR="00B023F5" w:rsidRDefault="00B023F5" w:rsidP="00B023F5">
      <w:pPr>
        <w:rPr>
          <w:b/>
        </w:rPr>
      </w:pPr>
    </w:p>
    <w:p w14:paraId="0F6753A1" w14:textId="700DDC3A" w:rsidR="00510CC9" w:rsidRDefault="002E1AEE" w:rsidP="00B023F5">
      <w:pPr>
        <w:rPr>
          <w:i/>
        </w:rPr>
      </w:pPr>
      <w:r w:rsidRPr="000D4A9B">
        <w:rPr>
          <w:b/>
          <w:i/>
        </w:rPr>
        <w:t xml:space="preserve">Download and save this document so you can return to it as you take notes and for studying. </w:t>
      </w:r>
      <w:r w:rsidR="00510CC9">
        <w:rPr>
          <w:i/>
        </w:rPr>
        <w:t>As you read the chapter, fill in the chart below to re</w:t>
      </w:r>
      <w:r w:rsidR="007660AE">
        <w:rPr>
          <w:i/>
        </w:rPr>
        <w:t xml:space="preserve">cord </w:t>
      </w:r>
      <w:r w:rsidR="00510CC9">
        <w:rPr>
          <w:i/>
        </w:rPr>
        <w:t>important</w:t>
      </w:r>
      <w:r w:rsidR="00DF1A8F">
        <w:rPr>
          <w:i/>
        </w:rPr>
        <w:t xml:space="preserve"> changes</w:t>
      </w:r>
      <w:r w:rsidR="00A52348">
        <w:rPr>
          <w:i/>
        </w:rPr>
        <w:t xml:space="preserve"> caused by the world wars and</w:t>
      </w:r>
      <w:r w:rsidR="00BC6AB9">
        <w:rPr>
          <w:i/>
        </w:rPr>
        <w:t xml:space="preserve"> the</w:t>
      </w:r>
      <w:r w:rsidR="00A52348">
        <w:rPr>
          <w:i/>
        </w:rPr>
        <w:t xml:space="preserve"> Great Depression</w:t>
      </w:r>
      <w:r w:rsidR="00510CC9">
        <w:rPr>
          <w:i/>
        </w:rPr>
        <w:t>. If you copy</w:t>
      </w:r>
      <w:r w:rsidR="00D35CEA">
        <w:rPr>
          <w:i/>
        </w:rPr>
        <w:t xml:space="preserve"> </w:t>
      </w:r>
      <w:r w:rsidR="00510CC9">
        <w:rPr>
          <w:i/>
        </w:rPr>
        <w:t>and</w:t>
      </w:r>
      <w:r w:rsidR="00D35CEA">
        <w:rPr>
          <w:i/>
        </w:rPr>
        <w:t xml:space="preserve"> </w:t>
      </w:r>
      <w:r w:rsidR="00510CC9">
        <w:rPr>
          <w:i/>
        </w:rPr>
        <w:t>paste from the text, make sure to put quotation marks around the copied material; however, if you can think of a way to put it into yo</w:t>
      </w:r>
      <w:r>
        <w:rPr>
          <w:i/>
        </w:rPr>
        <w:t>ur own words, you should do so.</w:t>
      </w:r>
    </w:p>
    <w:p w14:paraId="0A00103F" w14:textId="77777777" w:rsidR="00B023F5" w:rsidRPr="00510CC9" w:rsidRDefault="00B023F5" w:rsidP="00B023F5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019"/>
        <w:gridCol w:w="2428"/>
        <w:gridCol w:w="2565"/>
      </w:tblGrid>
      <w:tr w:rsidR="00A52348" w14:paraId="37F8E91A" w14:textId="77777777" w:rsidTr="00A52348">
        <w:tc>
          <w:tcPr>
            <w:tcW w:w="2564" w:type="dxa"/>
          </w:tcPr>
          <w:p w14:paraId="3F7C02AD" w14:textId="77777777" w:rsidR="00A52348" w:rsidRPr="00C81BF2" w:rsidRDefault="00C81BF2" w:rsidP="00B023F5">
            <w:pPr>
              <w:rPr>
                <w:b/>
              </w:rPr>
            </w:pPr>
            <w:r w:rsidRPr="00C81BF2">
              <w:rPr>
                <w:b/>
              </w:rPr>
              <w:t>Type of Change</w:t>
            </w:r>
          </w:p>
        </w:tc>
        <w:tc>
          <w:tcPr>
            <w:tcW w:w="2019" w:type="dxa"/>
          </w:tcPr>
          <w:p w14:paraId="137F6CC2" w14:textId="77777777" w:rsidR="00A52348" w:rsidRPr="00A52348" w:rsidRDefault="00A52348" w:rsidP="00B023F5">
            <w:pPr>
              <w:rPr>
                <w:b/>
              </w:rPr>
            </w:pPr>
            <w:r>
              <w:rPr>
                <w:b/>
              </w:rPr>
              <w:t>World War I</w:t>
            </w:r>
          </w:p>
        </w:tc>
        <w:tc>
          <w:tcPr>
            <w:tcW w:w="2428" w:type="dxa"/>
          </w:tcPr>
          <w:p w14:paraId="1A7C1403" w14:textId="77777777" w:rsidR="00A52348" w:rsidRPr="00A52348" w:rsidRDefault="00A52348" w:rsidP="00B023F5">
            <w:pPr>
              <w:rPr>
                <w:b/>
              </w:rPr>
            </w:pPr>
            <w:r>
              <w:rPr>
                <w:b/>
              </w:rPr>
              <w:t>The Great Depression</w:t>
            </w:r>
          </w:p>
        </w:tc>
        <w:tc>
          <w:tcPr>
            <w:tcW w:w="2565" w:type="dxa"/>
          </w:tcPr>
          <w:p w14:paraId="25188026" w14:textId="77777777" w:rsidR="00A52348" w:rsidRPr="00A52348" w:rsidRDefault="00A52348" w:rsidP="00B023F5">
            <w:pPr>
              <w:rPr>
                <w:b/>
              </w:rPr>
            </w:pPr>
            <w:r>
              <w:rPr>
                <w:b/>
              </w:rPr>
              <w:t>World War II</w:t>
            </w:r>
          </w:p>
        </w:tc>
      </w:tr>
      <w:tr w:rsidR="00A52348" w14:paraId="027B4CC4" w14:textId="77777777" w:rsidTr="00A52348">
        <w:tc>
          <w:tcPr>
            <w:tcW w:w="2564" w:type="dxa"/>
          </w:tcPr>
          <w:p w14:paraId="6313663B" w14:textId="77777777" w:rsidR="00A52348" w:rsidRPr="0093239E" w:rsidRDefault="00A52348" w:rsidP="00C81BF2">
            <w:pPr>
              <w:spacing w:line="480" w:lineRule="auto"/>
              <w:rPr>
                <w:b/>
              </w:rPr>
            </w:pPr>
            <w:r>
              <w:rPr>
                <w:b/>
              </w:rPr>
              <w:t>Political</w:t>
            </w:r>
          </w:p>
        </w:tc>
        <w:tc>
          <w:tcPr>
            <w:tcW w:w="2019" w:type="dxa"/>
          </w:tcPr>
          <w:p w14:paraId="7A45D2D3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28" w:type="dxa"/>
          </w:tcPr>
          <w:p w14:paraId="63B5F058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565" w:type="dxa"/>
          </w:tcPr>
          <w:p w14:paraId="55D25E5F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A52348" w14:paraId="36DD2558" w14:textId="77777777" w:rsidTr="00A52348">
        <w:tc>
          <w:tcPr>
            <w:tcW w:w="2564" w:type="dxa"/>
          </w:tcPr>
          <w:p w14:paraId="4F3C9E0B" w14:textId="77777777" w:rsidR="00A52348" w:rsidRDefault="00A52348" w:rsidP="00C81BF2">
            <w:pPr>
              <w:spacing w:line="480" w:lineRule="auto"/>
              <w:rPr>
                <w:b/>
              </w:rPr>
            </w:pPr>
            <w:r>
              <w:rPr>
                <w:b/>
              </w:rPr>
              <w:t>Economic</w:t>
            </w:r>
          </w:p>
        </w:tc>
        <w:tc>
          <w:tcPr>
            <w:tcW w:w="2019" w:type="dxa"/>
          </w:tcPr>
          <w:p w14:paraId="6387F798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28" w:type="dxa"/>
          </w:tcPr>
          <w:p w14:paraId="72326CC4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565" w:type="dxa"/>
          </w:tcPr>
          <w:p w14:paraId="13838049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A52348" w14:paraId="5C084065" w14:textId="77777777" w:rsidTr="00A52348">
        <w:tc>
          <w:tcPr>
            <w:tcW w:w="2564" w:type="dxa"/>
          </w:tcPr>
          <w:p w14:paraId="5CEE7CFB" w14:textId="77777777" w:rsidR="00A52348" w:rsidRDefault="00A52348" w:rsidP="00C81BF2">
            <w:pPr>
              <w:spacing w:line="480" w:lineRule="auto"/>
              <w:rPr>
                <w:b/>
              </w:rPr>
            </w:pPr>
            <w:r>
              <w:rPr>
                <w:b/>
              </w:rPr>
              <w:t>Social</w:t>
            </w:r>
          </w:p>
        </w:tc>
        <w:tc>
          <w:tcPr>
            <w:tcW w:w="2019" w:type="dxa"/>
          </w:tcPr>
          <w:p w14:paraId="443D851F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28" w:type="dxa"/>
          </w:tcPr>
          <w:p w14:paraId="0728CB3C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565" w:type="dxa"/>
          </w:tcPr>
          <w:p w14:paraId="43096F86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A52348" w14:paraId="30865D8A" w14:textId="77777777" w:rsidTr="00A52348">
        <w:tc>
          <w:tcPr>
            <w:tcW w:w="2564" w:type="dxa"/>
          </w:tcPr>
          <w:p w14:paraId="439B3EEE" w14:textId="77777777" w:rsidR="00A52348" w:rsidRDefault="00A52348" w:rsidP="00C81BF2">
            <w:pPr>
              <w:spacing w:line="480" w:lineRule="auto"/>
              <w:rPr>
                <w:b/>
              </w:rPr>
            </w:pPr>
            <w:r>
              <w:rPr>
                <w:b/>
              </w:rPr>
              <w:t>Cultural</w:t>
            </w:r>
          </w:p>
        </w:tc>
        <w:tc>
          <w:tcPr>
            <w:tcW w:w="2019" w:type="dxa"/>
          </w:tcPr>
          <w:p w14:paraId="35C9FAF1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28" w:type="dxa"/>
          </w:tcPr>
          <w:p w14:paraId="20ACB829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565" w:type="dxa"/>
          </w:tcPr>
          <w:p w14:paraId="1D21B0BF" w14:textId="77777777" w:rsidR="00A52348" w:rsidRDefault="00A52348" w:rsidP="00C81BF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</w:tbl>
    <w:p w14:paraId="2DBF3BEB" w14:textId="77777777" w:rsidR="0093239E" w:rsidRDefault="0093239E" w:rsidP="00C81BF2">
      <w:pPr>
        <w:spacing w:line="480" w:lineRule="auto"/>
      </w:pPr>
    </w:p>
    <w:p w14:paraId="7CA34F7C" w14:textId="7E7EA17E" w:rsidR="00BD762F" w:rsidRDefault="002E1AEE" w:rsidP="00C81BF2">
      <w:pPr>
        <w:spacing w:line="480" w:lineRule="auto"/>
        <w:rPr>
          <w:i/>
        </w:rPr>
      </w:pPr>
      <w:r>
        <w:rPr>
          <w:i/>
        </w:rPr>
        <w:t xml:space="preserve">After </w:t>
      </w:r>
      <w:r w:rsidR="00BD762F" w:rsidRPr="00BD762F">
        <w:rPr>
          <w:i/>
        </w:rPr>
        <w:t xml:space="preserve">you have read the chapter, </w:t>
      </w:r>
      <w:r>
        <w:rPr>
          <w:i/>
        </w:rPr>
        <w:t xml:space="preserve">use your notes to </w:t>
      </w:r>
      <w:r w:rsidR="00BD762F" w:rsidRPr="00BD762F">
        <w:rPr>
          <w:i/>
        </w:rPr>
        <w:t>compose an essay that answers th</w:t>
      </w:r>
      <w:r w:rsidR="00BC6AB9">
        <w:rPr>
          <w:i/>
        </w:rPr>
        <w:t>is</w:t>
      </w:r>
      <w:r w:rsidR="00BD762F" w:rsidRPr="00BD762F">
        <w:rPr>
          <w:i/>
        </w:rPr>
        <w:t xml:space="preserve"> question:</w:t>
      </w:r>
    </w:p>
    <w:p w14:paraId="202D324C" w14:textId="49ECE102" w:rsidR="00BD762F" w:rsidRDefault="00C8241B" w:rsidP="00B023F5">
      <w:pPr>
        <w:rPr>
          <w:b/>
        </w:rPr>
      </w:pPr>
      <w:r>
        <w:rPr>
          <w:b/>
        </w:rPr>
        <w:t xml:space="preserve">Compare and contrast the impact of </w:t>
      </w:r>
      <w:r w:rsidR="00227B87">
        <w:rPr>
          <w:b/>
        </w:rPr>
        <w:t xml:space="preserve">World War I, </w:t>
      </w:r>
      <w:r w:rsidR="002E1AEE">
        <w:rPr>
          <w:b/>
        </w:rPr>
        <w:t xml:space="preserve">the Great Depression, and </w:t>
      </w:r>
      <w:r w:rsidR="00227B87">
        <w:rPr>
          <w:b/>
        </w:rPr>
        <w:t xml:space="preserve">World War II </w:t>
      </w:r>
      <w:r>
        <w:rPr>
          <w:b/>
        </w:rPr>
        <w:t>on the history of the twentieth century. Are they best understood as a series of distinct developments or</w:t>
      </w:r>
      <w:r w:rsidR="00BC6AB9">
        <w:rPr>
          <w:b/>
        </w:rPr>
        <w:t xml:space="preserve"> as</w:t>
      </w:r>
      <w:r>
        <w:rPr>
          <w:b/>
        </w:rPr>
        <w:t xml:space="preserve"> parts of a single larger development?</w:t>
      </w:r>
    </w:p>
    <w:p w14:paraId="00EF56F8" w14:textId="77777777" w:rsidR="00B023F5" w:rsidRDefault="00B023F5" w:rsidP="00B023F5">
      <w:pPr>
        <w:rPr>
          <w:b/>
        </w:rPr>
      </w:pPr>
    </w:p>
    <w:p w14:paraId="78E814E6" w14:textId="77777777" w:rsidR="00BD762F" w:rsidRPr="00BD762F" w:rsidRDefault="00BD762F" w:rsidP="00B023F5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 w:rsidR="008A29F2">
        <w:rPr>
          <w:i/>
        </w:rPr>
        <w:t xml:space="preserve">. Then use the body of your essay to provide </w:t>
      </w:r>
      <w:r w:rsidRPr="00BD762F">
        <w:rPr>
          <w:i/>
        </w:rPr>
        <w:t>evidence from the chapter to support that thesis.</w:t>
      </w:r>
      <w:r w:rsidR="007660AE">
        <w:rPr>
          <w:i/>
        </w:rPr>
        <w:t xml:space="preserve"> </w:t>
      </w:r>
      <w:r w:rsidRPr="00BD762F">
        <w:rPr>
          <w:i/>
        </w:rPr>
        <w:t>End by writing a clear conclusion to your essay.</w:t>
      </w:r>
    </w:p>
    <w:sectPr w:rsidR="00BD762F" w:rsidRPr="00BD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712BB"/>
    <w:rsid w:val="000E7AD8"/>
    <w:rsid w:val="001A77D3"/>
    <w:rsid w:val="00227B87"/>
    <w:rsid w:val="002950A7"/>
    <w:rsid w:val="002E1AEE"/>
    <w:rsid w:val="004A1264"/>
    <w:rsid w:val="004F2DA7"/>
    <w:rsid w:val="0050364F"/>
    <w:rsid w:val="00510CC9"/>
    <w:rsid w:val="0056352A"/>
    <w:rsid w:val="005D1E4B"/>
    <w:rsid w:val="006E4156"/>
    <w:rsid w:val="007660AE"/>
    <w:rsid w:val="007E2462"/>
    <w:rsid w:val="008A29F2"/>
    <w:rsid w:val="008B2AA8"/>
    <w:rsid w:val="0093239E"/>
    <w:rsid w:val="00A52348"/>
    <w:rsid w:val="00B023F5"/>
    <w:rsid w:val="00BB4ADA"/>
    <w:rsid w:val="00BC6AB9"/>
    <w:rsid w:val="00BD762F"/>
    <w:rsid w:val="00C81BF2"/>
    <w:rsid w:val="00C8241B"/>
    <w:rsid w:val="00D35CEA"/>
    <w:rsid w:val="00DE4241"/>
    <w:rsid w:val="00D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CA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2015-06-24T20:59:00Z</dcterms:created>
  <dcterms:modified xsi:type="dcterms:W3CDTF">2015-06-24T20:59:00Z</dcterms:modified>
</cp:coreProperties>
</file>