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XÂY DỰNG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2506/QĐ-BXD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31 tháng 12 năm 2025</w:t>
            </w:r>
          </w:p>
        </w:tc>
      </w:tr>
    </w:tbl>
    <w:p>
      <w:pPr>
        <w:bidi w:val="0"/>
        <w:spacing w:before="120" w:beforeAutospacing="0" w:after="280" w:afterAutospacing="1"/>
      </w:pPr>
      <w:r>
        <w:rPr>
          <w:i/>
          <w:i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SỬA ĐỔI, BỔ SUNG ĐIỀU 7 CỦA QUYẾT ĐỊNH SỐ 810/QĐ-BGTVT NGÀY 01 THÁNG 7 NĂM 2024 CỦA BỘ TRƯỞNG BỘ GIAO THÔNG VẬN TẢI BAN HÀNH KHUNG GIÁ DỊCH VỤ BỐC DỠ CONTAINER TẠI CẢNG BIỂN VIỆT NAM</w:t>
      </w:r>
      <w:bookmarkEnd w:id="1"/>
    </w:p>
    <w:p>
      <w:pPr>
        <w:bidi w:val="0"/>
        <w:spacing w:before="120" w:beforeAutospacing="0" w:after="280" w:afterAutospacing="1"/>
        <w:jc w:val="center"/>
      </w:pPr>
      <w:r>
        <w:rPr>
          <w:b/>
          <w:bCs/>
          <w:sz w:val="24"/>
          <w:rtl w:val="0"/>
        </w:rPr>
        <w:t>BỘ TRƯỞNG BỘ XÂY DỰNG</w:t>
      </w:r>
    </w:p>
    <w:p>
      <w:pPr>
        <w:bidi w:val="0"/>
        <w:spacing w:before="120" w:beforeAutospacing="0" w:after="280" w:afterAutospacing="1"/>
      </w:pPr>
      <w:r>
        <w:rPr>
          <w:i/>
          <w:iCs/>
          <w:rtl w:val="0"/>
        </w:rPr>
        <w:t xml:space="preserve">Căn cứ </w:t>
      </w:r>
      <w:bookmarkStart w:id="2" w:name="tvpllink_earzhujusq"/>
      <w:r>
        <w:rPr>
          <w:i/>
          <w:iCs/>
          <w:rtl w:val="0"/>
        </w:rPr>
        <w:t>Bộ luật Hàng hải Việt Nam</w:t>
      </w:r>
      <w:bookmarkEnd w:id="2"/>
      <w:r>
        <w:rPr>
          <w:i/>
          <w:iCs/>
          <w:rtl w:val="0"/>
        </w:rPr>
        <w:t xml:space="preserve"> ngày 25 tháng 11 năm 2015;</w:t>
      </w:r>
    </w:p>
    <w:p>
      <w:pPr>
        <w:bidi w:val="0"/>
        <w:spacing w:before="120" w:beforeAutospacing="0" w:after="280" w:afterAutospacing="1"/>
      </w:pPr>
      <w:r>
        <w:rPr>
          <w:i/>
          <w:iCs/>
          <w:rtl w:val="0"/>
        </w:rPr>
        <w:t xml:space="preserve">Căn cứ </w:t>
      </w:r>
      <w:bookmarkStart w:id="3" w:name="tvpllink_pdhckaexos"/>
      <w:r>
        <w:rPr>
          <w:i/>
          <w:iCs/>
          <w:rtl w:val="0"/>
        </w:rPr>
        <w:t>Luật Giá</w:t>
      </w:r>
      <w:bookmarkEnd w:id="3"/>
      <w:r>
        <w:rPr>
          <w:i/>
          <w:iCs/>
          <w:rtl w:val="0"/>
        </w:rPr>
        <w:t xml:space="preserve"> ngày 19 tháng 6 năm 2023;</w:t>
      </w:r>
    </w:p>
    <w:p>
      <w:pPr>
        <w:bidi w:val="0"/>
        <w:spacing w:before="120" w:beforeAutospacing="0" w:after="280" w:afterAutospacing="1"/>
      </w:pPr>
      <w:r>
        <w:rPr>
          <w:i/>
          <w:iCs/>
          <w:rtl w:val="0"/>
        </w:rPr>
        <w:t xml:space="preserve">Căn cứ Nghị định số </w:t>
      </w:r>
      <w:bookmarkStart w:id="4" w:name="tvpllink_olgccxxrex"/>
      <w:r>
        <w:rPr>
          <w:i/>
          <w:iCs/>
          <w:rtl w:val="0"/>
        </w:rPr>
        <w:t>33/2025/NĐ-CP</w:t>
      </w:r>
      <w:bookmarkEnd w:id="4"/>
      <w:r>
        <w:rPr>
          <w:i/>
          <w:iCs/>
          <w:rtl w:val="0"/>
        </w:rPr>
        <w:t xml:space="preserve"> ngày 25 tháng 02 năm 2025 của Chính phủ quy định chức năng, nhiệm vụ, quyền hạn và cơ cấu tổ chức của Bộ Xây dựng;</w:t>
      </w:r>
    </w:p>
    <w:p>
      <w:pPr>
        <w:bidi w:val="0"/>
        <w:spacing w:before="120" w:beforeAutospacing="0" w:after="280" w:afterAutospacing="1"/>
      </w:pPr>
      <w:r>
        <w:rPr>
          <w:i/>
          <w:iCs/>
          <w:rtl w:val="0"/>
        </w:rPr>
        <w:t xml:space="preserve">Căn cứ Nghị định số </w:t>
      </w:r>
      <w:bookmarkStart w:id="5" w:name="tvpllink_yteincvyzl"/>
      <w:r>
        <w:rPr>
          <w:i/>
          <w:iCs/>
          <w:rtl w:val="0"/>
        </w:rPr>
        <w:t>85/2024/NĐ-CP</w:t>
      </w:r>
      <w:bookmarkEnd w:id="5"/>
      <w:r>
        <w:rPr>
          <w:i/>
          <w:iCs/>
          <w:rtl w:val="0"/>
        </w:rPr>
        <w:t xml:space="preserve"> ngày 10 tháng 7 năm 2024 của Chính phủ quy định chi tiết một số điều của </w:t>
      </w:r>
      <w:bookmarkStart w:id="6" w:name="tvpllink_pdhckaexos_1"/>
      <w:r>
        <w:rPr>
          <w:i/>
          <w:iCs/>
          <w:rtl w:val="0"/>
        </w:rPr>
        <w:t>Luật Giá</w:t>
      </w:r>
      <w:bookmarkEnd w:id="6"/>
      <w:r>
        <w:rPr>
          <w:i/>
          <w:iCs/>
          <w:rtl w:val="0"/>
        </w:rPr>
        <w:t>;</w:t>
      </w:r>
    </w:p>
    <w:p>
      <w:pPr>
        <w:bidi w:val="0"/>
        <w:spacing w:before="120" w:beforeAutospacing="0" w:after="280" w:afterAutospacing="1"/>
      </w:pPr>
      <w:r>
        <w:rPr>
          <w:i/>
          <w:iCs/>
          <w:rtl w:val="0"/>
        </w:rPr>
        <w:t xml:space="preserve">Căn cứ Thông tư số </w:t>
      </w:r>
      <w:bookmarkStart w:id="7" w:name="tvpllink_chvukeokxa"/>
      <w:r>
        <w:rPr>
          <w:i/>
          <w:iCs/>
          <w:rtl w:val="0"/>
        </w:rPr>
        <w:t>45/2024/TT-BTC</w:t>
      </w:r>
      <w:bookmarkEnd w:id="7"/>
      <w:r>
        <w:rPr>
          <w:i/>
          <w:iCs/>
          <w:rtl w:val="0"/>
        </w:rPr>
        <w:t xml:space="preserve"> ngày 01 tháng 7 năm 2024 của Bộ trưởng Bộ Tài chính ban hành phương pháp định giá chung đối với hàng hóa, dịch vụ do Nhà nước định giá;</w:t>
      </w:r>
    </w:p>
    <w:p>
      <w:pPr>
        <w:bidi w:val="0"/>
        <w:spacing w:before="120" w:beforeAutospacing="0" w:after="280" w:afterAutospacing="1"/>
      </w:pPr>
      <w:r>
        <w:rPr>
          <w:i/>
          <w:iCs/>
          <w:rtl w:val="0"/>
        </w:rPr>
        <w:t xml:space="preserve">Căn cứ Thông tư số </w:t>
      </w:r>
      <w:bookmarkStart w:id="8" w:name="tvpllink_zlixvuirsl"/>
      <w:r>
        <w:rPr>
          <w:i/>
          <w:iCs/>
          <w:rtl w:val="0"/>
        </w:rPr>
        <w:t>12/2024/TT-BGTVT</w:t>
      </w:r>
      <w:bookmarkEnd w:id="8"/>
      <w:r>
        <w:rPr>
          <w:i/>
          <w:iCs/>
          <w:rtl w:val="0"/>
        </w:rPr>
        <w:t xml:space="preserve"> ngày 15 tháng 5 năm 2024 của Bộ trưởng Bộ Giao thông vận tải quy định cơ chế, chính sách quản lý giá dịch vụ tại cảng biển Việt Nam và Thông tư số </w:t>
      </w:r>
      <w:bookmarkStart w:id="9" w:name="tvpllink_xghvxlyakv"/>
      <w:r>
        <w:rPr>
          <w:i/>
          <w:iCs/>
          <w:rtl w:val="0"/>
        </w:rPr>
        <w:t>31/2024/TT-BGTVT</w:t>
      </w:r>
      <w:bookmarkEnd w:id="9"/>
      <w:r>
        <w:rPr>
          <w:i/>
          <w:iCs/>
          <w:rtl w:val="0"/>
        </w:rPr>
        <w:t xml:space="preserve"> ngày 30 tháng 10 năm 2024 của Bộ trưởng Bộ Giao thông vận tải sửa đổi, bổ sung một số điều của Thông tư số </w:t>
      </w:r>
      <w:bookmarkStart w:id="10" w:name="tvpllink_zlixvuirsl_1"/>
      <w:r>
        <w:rPr>
          <w:i/>
          <w:iCs/>
          <w:rtl w:val="0"/>
        </w:rPr>
        <w:t>12/2024/TT-BGTVT</w:t>
      </w:r>
      <w:bookmarkEnd w:id="10"/>
      <w:r>
        <w:rPr>
          <w:i/>
          <w:iCs/>
          <w:rtl w:val="0"/>
        </w:rPr>
        <w:t xml:space="preserve"> ngày 15 tháng 5 năm 2024 của Bộ trưởng Bộ Giao thông vận tải quy định cơ chế, chính sách quản lý giá dịch vụ tại cảng biển Việt Nam;</w:t>
      </w:r>
    </w:p>
    <w:p>
      <w:pPr>
        <w:bidi w:val="0"/>
        <w:spacing w:before="120" w:beforeAutospacing="0" w:after="280" w:afterAutospacing="1"/>
      </w:pPr>
      <w:r>
        <w:rPr>
          <w:i/>
          <w:iCs/>
          <w:rtl w:val="0"/>
        </w:rPr>
        <w:t>Theo đề nghị của Vụ trưởng Vụ Vận tải và An toàn giao thông và Cục trưởng Cục Hàng hải và Đường thủy Việt Nam.</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11" w:name="dieu_1"/>
      <w:r>
        <w:rPr>
          <w:b/>
          <w:bCs/>
          <w:rtl w:val="0"/>
        </w:rPr>
        <w:t>Điều 1.</w:t>
      </w:r>
      <w:r>
        <w:rPr>
          <w:rtl w:val="0"/>
        </w:rPr>
        <w:t xml:space="preserve"> Sửa đổi, bổ sung</w:t>
      </w:r>
      <w:bookmarkEnd w:id="11"/>
      <w:r>
        <w:rPr>
          <w:rtl w:val="0"/>
        </w:rPr>
        <w:t xml:space="preserve"> </w:t>
      </w:r>
      <w:bookmarkStart w:id="12" w:name="dc_1"/>
      <w:r>
        <w:rPr>
          <w:rtl w:val="0"/>
        </w:rPr>
        <w:t>Điều 7 của Quyết định số 810/QĐ-BGTVT ngày 01 tháng 7 năm 2024</w:t>
      </w:r>
      <w:bookmarkEnd w:id="12"/>
      <w:r>
        <w:rPr>
          <w:rtl w:val="0"/>
        </w:rPr>
        <w:t xml:space="preserve"> </w:t>
      </w:r>
      <w:bookmarkStart w:id="13" w:name="dieu_1_name"/>
      <w:r>
        <w:rPr>
          <w:rtl w:val="0"/>
        </w:rPr>
        <w:t>của Bộ trưởng Bộ Giao thông vận tải ban hành khung giá dịch vụ bốc dỡ container tại cảng biển Việt Nam, như sau:</w:t>
      </w:r>
      <w:bookmarkEnd w:id="13"/>
    </w:p>
    <w:p>
      <w:pPr>
        <w:bidi w:val="0"/>
        <w:spacing w:before="120" w:beforeAutospacing="0" w:after="280" w:afterAutospacing="1"/>
      </w:pPr>
      <w:r>
        <w:rPr>
          <w:b/>
          <w:bCs/>
          <w:rtl w:val="0"/>
        </w:rPr>
        <w:t>“Điều 7. Khung giá dịch vụ bốc dỡ container nhập khẩu, xuất khẩu, tạm nhập, tái xuất, quá cảnh, trung chuyển áp dụng đối với bến cảng Lạch Huyện và khu vực Cái Mép - Thị Vải</w:t>
      </w:r>
    </w:p>
    <w:p>
      <w:pPr>
        <w:bidi w:val="0"/>
        <w:spacing w:before="120" w:beforeAutospacing="0" w:after="280" w:afterAutospacing="1"/>
      </w:pPr>
      <w:r>
        <w:rPr>
          <w:rtl w:val="0"/>
        </w:rPr>
        <w:t>1. Khung giá dịch vụ bốc dỡ container nhập khẩu, xuất khẩu và tạm nhập, tái xuất</w:t>
      </w:r>
    </w:p>
    <w:p>
      <w:pPr>
        <w:bidi w:val="0"/>
        <w:spacing w:before="120" w:beforeAutospacing="0" w:after="280" w:afterAutospacing="1"/>
        <w:jc w:val="right"/>
      </w:pPr>
      <w:r>
        <w:rPr>
          <w:i/>
          <w:iCs/>
          <w:rtl w:val="0"/>
        </w:rPr>
        <w:t>Đơn vị tính: USD/container</w:t>
      </w:r>
    </w:p>
    <w:tbl>
      <w:tblPr>
        <w:tblW w:w="5000" w:type="pct"/>
        <w:jc w:val="left"/>
        <w:tblCellMar>
          <w:top w:w="0" w:type="dxa"/>
          <w:left w:w="0" w:type="dxa"/>
          <w:bottom w:w="0" w:type="dxa"/>
          <w:right w:w="0" w:type="dxa"/>
        </w:tblCellMar>
      </w:tblPr>
      <w:tblGrid>
        <w:gridCol w:w="3734"/>
        <w:gridCol w:w="2264"/>
        <w:gridCol w:w="2642"/>
      </w:tblGrid>
      <w:tr>
        <w:tblPrEx>
          <w:tblW w:w="5000" w:type="pct"/>
          <w:jc w:val="left"/>
          <w:tblCellMar>
            <w:top w:w="0" w:type="dxa"/>
            <w:left w:w="0" w:type="dxa"/>
            <w:bottom w:w="0" w:type="dxa"/>
            <w:right w:w="0" w:type="dxa"/>
          </w:tblCellMar>
        </w:tblPrEx>
        <w:trPr>
          <w:jc w:val="left"/>
        </w:trPr>
        <w:tc>
          <w:tcPr>
            <w:tcW w:w="2161"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container</w:t>
            </w:r>
          </w:p>
        </w:tc>
        <w:tc>
          <w:tcPr>
            <w:tcW w:w="2839"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Khung giá dịch vụ</w:t>
            </w:r>
          </w:p>
          <w:p>
            <w:pPr>
              <w:bidi w:val="0"/>
              <w:spacing w:before="120" w:beforeAutospacing="0" w:after="0" w:afterAutospacing="0"/>
              <w:jc w:val="center"/>
              <w:rPr>
                <w:rtl w:val="0"/>
              </w:rPr>
            </w:pPr>
            <w:r>
              <w:rPr>
                <w:rtl w:val="0"/>
              </w:rPr>
              <w:t>Tàu (Sà lan) ↔ Bãi cảng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152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216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Container 20 feet</w:t>
            </w:r>
          </w:p>
        </w:tc>
        <w:tc>
          <w:tcPr>
            <w:tcW w:w="13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2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6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3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152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r>
      <w:tr>
        <w:tblPrEx>
          <w:tblW w:w="5000" w:type="pct"/>
          <w:jc w:val="left"/>
          <w:tblCellMar>
            <w:top w:w="0" w:type="dxa"/>
            <w:left w:w="0" w:type="dxa"/>
            <w:bottom w:w="0" w:type="dxa"/>
            <w:right w:w="0" w:type="dxa"/>
          </w:tblCellMar>
        </w:tblPrEx>
        <w:trPr>
          <w:jc w:val="left"/>
        </w:trPr>
        <w:tc>
          <w:tcPr>
            <w:tcW w:w="216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3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152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r>
      <w:tr>
        <w:tblPrEx>
          <w:tblW w:w="5000" w:type="pct"/>
          <w:jc w:val="left"/>
          <w:tblCellMar>
            <w:top w:w="0" w:type="dxa"/>
            <w:left w:w="0" w:type="dxa"/>
            <w:bottom w:w="0" w:type="dxa"/>
            <w:right w:w="0" w:type="dxa"/>
          </w:tblCellMar>
        </w:tblPrEx>
        <w:trPr>
          <w:jc w:val="left"/>
        </w:trPr>
        <w:tc>
          <w:tcPr>
            <w:tcW w:w="216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Container 40 feet</w:t>
            </w:r>
          </w:p>
        </w:tc>
        <w:tc>
          <w:tcPr>
            <w:tcW w:w="13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2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6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3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152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r>
      <w:tr>
        <w:tblPrEx>
          <w:tblW w:w="5000" w:type="pct"/>
          <w:jc w:val="left"/>
          <w:tblCellMar>
            <w:top w:w="0" w:type="dxa"/>
            <w:left w:w="0" w:type="dxa"/>
            <w:bottom w:w="0" w:type="dxa"/>
            <w:right w:w="0" w:type="dxa"/>
          </w:tblCellMar>
        </w:tblPrEx>
        <w:trPr>
          <w:jc w:val="left"/>
        </w:trPr>
        <w:tc>
          <w:tcPr>
            <w:tcW w:w="216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3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152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r>
      <w:tr>
        <w:tblPrEx>
          <w:tblW w:w="5000" w:type="pct"/>
          <w:jc w:val="left"/>
          <w:tblCellMar>
            <w:top w:w="0" w:type="dxa"/>
            <w:left w:w="0" w:type="dxa"/>
            <w:bottom w:w="0" w:type="dxa"/>
            <w:right w:w="0" w:type="dxa"/>
          </w:tblCellMar>
        </w:tblPrEx>
        <w:trPr>
          <w:jc w:val="left"/>
        </w:trPr>
        <w:tc>
          <w:tcPr>
            <w:tcW w:w="216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Container trên 40 feet</w:t>
            </w:r>
          </w:p>
        </w:tc>
        <w:tc>
          <w:tcPr>
            <w:tcW w:w="13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2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6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3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152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w:t>
            </w:r>
          </w:p>
        </w:tc>
      </w:tr>
      <w:tr>
        <w:tblPrEx>
          <w:tblW w:w="5000" w:type="pct"/>
          <w:jc w:val="left"/>
          <w:tblCellMar>
            <w:top w:w="0" w:type="dxa"/>
            <w:left w:w="0" w:type="dxa"/>
            <w:bottom w:w="0" w:type="dxa"/>
            <w:right w:w="0" w:type="dxa"/>
          </w:tblCellMar>
        </w:tblPrEx>
        <w:trPr>
          <w:jc w:val="left"/>
        </w:trPr>
        <w:tc>
          <w:tcPr>
            <w:tcW w:w="216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3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152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r>
    </w:tbl>
    <w:p>
      <w:pPr>
        <w:bidi w:val="0"/>
        <w:spacing w:before="120" w:beforeAutospacing="0" w:after="280" w:afterAutospacing="1"/>
      </w:pPr>
      <w:r>
        <w:rPr>
          <w:rtl w:val="0"/>
        </w:rPr>
        <w:t>2. Khung giá dịch vụ bốc dỡ container quá cảnh, trung chuyển</w:t>
      </w:r>
    </w:p>
    <w:p>
      <w:pPr>
        <w:bidi w:val="0"/>
        <w:spacing w:before="120" w:beforeAutospacing="0" w:after="280" w:afterAutospacing="1"/>
        <w:jc w:val="right"/>
      </w:pPr>
      <w:r>
        <w:rPr>
          <w:i/>
          <w:iCs/>
          <w:rtl w:val="0"/>
        </w:rPr>
        <w:t>Đơn vị tính: USD/container</w:t>
      </w:r>
    </w:p>
    <w:tbl>
      <w:tblPr>
        <w:tblW w:w="5000" w:type="pct"/>
        <w:jc w:val="left"/>
        <w:tblCellMar>
          <w:top w:w="0" w:type="dxa"/>
          <w:left w:w="0" w:type="dxa"/>
          <w:bottom w:w="0" w:type="dxa"/>
          <w:right w:w="0" w:type="dxa"/>
        </w:tblCellMar>
      </w:tblPr>
      <w:tblGrid>
        <w:gridCol w:w="3909"/>
        <w:gridCol w:w="2278"/>
        <w:gridCol w:w="2453"/>
        <w:gridCol w:w="1"/>
      </w:tblGrid>
      <w:tr>
        <w:tblPrEx>
          <w:tblW w:w="5000" w:type="pct"/>
          <w:jc w:val="left"/>
          <w:tblCellMar>
            <w:top w:w="0" w:type="dxa"/>
            <w:left w:w="0" w:type="dxa"/>
            <w:bottom w:w="0" w:type="dxa"/>
            <w:right w:w="0" w:type="dxa"/>
          </w:tblCellMar>
        </w:tblPrEx>
        <w:trPr>
          <w:jc w:val="left"/>
        </w:trPr>
        <w:tc>
          <w:tcPr>
            <w:tcW w:w="2262"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container</w:t>
            </w:r>
          </w:p>
        </w:tc>
        <w:tc>
          <w:tcPr>
            <w:tcW w:w="273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Khung giá dịch vụ</w:t>
            </w:r>
          </w:p>
          <w:p>
            <w:pPr>
              <w:bidi w:val="0"/>
              <w:spacing w:before="120" w:beforeAutospacing="0" w:after="0" w:afterAutospacing="0"/>
              <w:jc w:val="center"/>
              <w:rPr>
                <w:rtl w:val="0"/>
              </w:rPr>
            </w:pPr>
            <w:r>
              <w:rPr>
                <w:rtl w:val="0"/>
              </w:rPr>
              <w:t>Tàu (Sà lan) ↔ Bãi cảng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142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22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Container 20 feet</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2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142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r>
      <w:tr>
        <w:tblPrEx>
          <w:tblW w:w="5000" w:type="pct"/>
          <w:jc w:val="left"/>
          <w:tblCellMar>
            <w:top w:w="0" w:type="dxa"/>
            <w:left w:w="0" w:type="dxa"/>
            <w:bottom w:w="0" w:type="dxa"/>
            <w:right w:w="0" w:type="dxa"/>
          </w:tblCellMar>
        </w:tblPrEx>
        <w:trPr>
          <w:jc w:val="left"/>
        </w:trPr>
        <w:tc>
          <w:tcPr>
            <w:tcW w:w="22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142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r>
      <w:tr>
        <w:tblPrEx>
          <w:tblW w:w="5000" w:type="pct"/>
          <w:jc w:val="left"/>
          <w:tblCellMar>
            <w:top w:w="0" w:type="dxa"/>
            <w:left w:w="0" w:type="dxa"/>
            <w:bottom w:w="0" w:type="dxa"/>
            <w:right w:w="0" w:type="dxa"/>
          </w:tblCellMar>
        </w:tblPrEx>
        <w:trPr>
          <w:jc w:val="left"/>
        </w:trPr>
        <w:tc>
          <w:tcPr>
            <w:tcW w:w="22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Container 40 feet</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2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142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r>
      <w:tr>
        <w:tblPrEx>
          <w:tblW w:w="5000" w:type="pct"/>
          <w:jc w:val="left"/>
          <w:tblCellMar>
            <w:top w:w="0" w:type="dxa"/>
            <w:left w:w="0" w:type="dxa"/>
            <w:bottom w:w="0" w:type="dxa"/>
            <w:right w:w="0" w:type="dxa"/>
          </w:tblCellMar>
        </w:tblPrEx>
        <w:trPr>
          <w:jc w:val="left"/>
        </w:trPr>
        <w:tc>
          <w:tcPr>
            <w:tcW w:w="22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142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r>
      <w:tr>
        <w:tblPrEx>
          <w:tblW w:w="5000" w:type="pct"/>
          <w:jc w:val="left"/>
          <w:tblCellMar>
            <w:top w:w="0" w:type="dxa"/>
            <w:left w:w="0" w:type="dxa"/>
            <w:bottom w:w="0" w:type="dxa"/>
            <w:right w:w="0" w:type="dxa"/>
          </w:tblCellMar>
        </w:tblPrEx>
        <w:trPr>
          <w:jc w:val="left"/>
        </w:trPr>
        <w:tc>
          <w:tcPr>
            <w:tcW w:w="22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Container trên 40 feet</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2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142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r>
      <w:tr>
        <w:tblPrEx>
          <w:tblW w:w="5000" w:type="pct"/>
          <w:jc w:val="left"/>
          <w:tblCellMar>
            <w:top w:w="0" w:type="dxa"/>
            <w:left w:w="0" w:type="dxa"/>
            <w:bottom w:w="0" w:type="dxa"/>
            <w:right w:w="0" w:type="dxa"/>
          </w:tblCellMar>
        </w:tblPrEx>
        <w:trPr>
          <w:jc w:val="left"/>
        </w:trPr>
        <w:tc>
          <w:tcPr>
            <w:tcW w:w="226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142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r>
    </w:tbl>
    <w:p>
      <w:pPr>
        <w:bidi w:val="0"/>
        <w:spacing w:before="120" w:beforeAutospacing="0" w:after="280" w:afterAutospacing="1"/>
      </w:pPr>
      <w:r>
        <w:rPr>
          <w:rtl w:val="0"/>
        </w:rPr>
        <w:t>3. Khung giá dịch vụ bốc dỡ container từ tàu (sà lan) sang bãi cảng và ngược lại áp dụng đối với bốc, dỡ container phục vụ vận chuyển qua lại giữa các cảng để xuất hàng, chuyển cảng đích</w:t>
      </w:r>
    </w:p>
    <w:p>
      <w:pPr>
        <w:bidi w:val="0"/>
        <w:spacing w:before="120" w:beforeAutospacing="0" w:after="280" w:afterAutospacing="1"/>
        <w:jc w:val="right"/>
      </w:pPr>
      <w:r>
        <w:rPr>
          <w:i/>
          <w:iCs/>
          <w:rtl w:val="0"/>
        </w:rPr>
        <w:t>Đơn vị tính: USD/container</w:t>
      </w:r>
    </w:p>
    <w:tbl>
      <w:tblPr>
        <w:tblW w:w="5000" w:type="pct"/>
        <w:jc w:val="left"/>
        <w:tblCellMar>
          <w:top w:w="0" w:type="dxa"/>
          <w:left w:w="0" w:type="dxa"/>
          <w:bottom w:w="0" w:type="dxa"/>
          <w:right w:w="0" w:type="dxa"/>
        </w:tblCellMar>
      </w:tblPr>
      <w:tblGrid>
        <w:gridCol w:w="3999"/>
        <w:gridCol w:w="2267"/>
        <w:gridCol w:w="2374"/>
      </w:tblGrid>
      <w:tr>
        <w:tblPrEx>
          <w:tblW w:w="5000" w:type="pct"/>
          <w:jc w:val="left"/>
          <w:tblCellMar>
            <w:top w:w="0" w:type="dxa"/>
            <w:left w:w="0" w:type="dxa"/>
            <w:bottom w:w="0" w:type="dxa"/>
            <w:right w:w="0" w:type="dxa"/>
          </w:tblCellMar>
        </w:tblPrEx>
        <w:trPr>
          <w:jc w:val="left"/>
        </w:trPr>
        <w:tc>
          <w:tcPr>
            <w:tcW w:w="2314"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container</w:t>
            </w:r>
          </w:p>
        </w:tc>
        <w:tc>
          <w:tcPr>
            <w:tcW w:w="2686"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Khung giá dịch vụ</w:t>
            </w:r>
          </w:p>
          <w:p>
            <w:pPr>
              <w:bidi w:val="0"/>
              <w:spacing w:before="120" w:beforeAutospacing="0" w:after="0" w:afterAutospacing="0"/>
              <w:jc w:val="center"/>
              <w:rPr>
                <w:rtl w:val="0"/>
              </w:rPr>
            </w:pPr>
            <w:r>
              <w:rPr>
                <w:rtl w:val="0"/>
              </w:rPr>
              <w:t>Sà lan ↔ Bãi cảng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13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231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Container 20 feet</w:t>
            </w: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3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r>
      <w:tr>
        <w:tblPrEx>
          <w:tblW w:w="5000" w:type="pct"/>
          <w:jc w:val="left"/>
          <w:tblCellMar>
            <w:top w:w="0" w:type="dxa"/>
            <w:left w:w="0" w:type="dxa"/>
            <w:bottom w:w="0" w:type="dxa"/>
            <w:right w:w="0" w:type="dxa"/>
          </w:tblCellMar>
        </w:tblPrEx>
        <w:trPr>
          <w:jc w:val="left"/>
        </w:trPr>
        <w:tc>
          <w:tcPr>
            <w:tcW w:w="231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3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r>
      <w:tr>
        <w:tblPrEx>
          <w:tblW w:w="5000" w:type="pct"/>
          <w:jc w:val="left"/>
          <w:tblCellMar>
            <w:top w:w="0" w:type="dxa"/>
            <w:left w:w="0" w:type="dxa"/>
            <w:bottom w:w="0" w:type="dxa"/>
            <w:right w:w="0" w:type="dxa"/>
          </w:tblCellMar>
        </w:tblPrEx>
        <w:trPr>
          <w:jc w:val="left"/>
        </w:trPr>
        <w:tc>
          <w:tcPr>
            <w:tcW w:w="231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Container 40 feet</w:t>
            </w: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3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r>
      <w:tr>
        <w:tblPrEx>
          <w:tblW w:w="5000" w:type="pct"/>
          <w:jc w:val="left"/>
          <w:tblCellMar>
            <w:top w:w="0" w:type="dxa"/>
            <w:left w:w="0" w:type="dxa"/>
            <w:bottom w:w="0" w:type="dxa"/>
            <w:right w:w="0" w:type="dxa"/>
          </w:tblCellMar>
        </w:tblPrEx>
        <w:trPr>
          <w:jc w:val="left"/>
        </w:trPr>
        <w:tc>
          <w:tcPr>
            <w:tcW w:w="231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3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r>
      <w:tr>
        <w:tblPrEx>
          <w:tblW w:w="5000" w:type="pct"/>
          <w:jc w:val="left"/>
          <w:tblCellMar>
            <w:top w:w="0" w:type="dxa"/>
            <w:left w:w="0" w:type="dxa"/>
            <w:bottom w:w="0" w:type="dxa"/>
            <w:right w:w="0" w:type="dxa"/>
          </w:tblCellMar>
        </w:tblPrEx>
        <w:trPr>
          <w:jc w:val="left"/>
        </w:trPr>
        <w:tc>
          <w:tcPr>
            <w:tcW w:w="231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Container trên 40 feet</w:t>
            </w: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hàng</w:t>
            </w: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3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r>
      <w:tr>
        <w:tblPrEx>
          <w:tblW w:w="5000" w:type="pct"/>
          <w:jc w:val="left"/>
          <w:tblCellMar>
            <w:top w:w="0" w:type="dxa"/>
            <w:left w:w="0" w:type="dxa"/>
            <w:bottom w:w="0" w:type="dxa"/>
            <w:right w:w="0" w:type="dxa"/>
          </w:tblCellMar>
        </w:tblPrEx>
        <w:trPr>
          <w:jc w:val="left"/>
        </w:trPr>
        <w:tc>
          <w:tcPr>
            <w:tcW w:w="231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Rỗng</w:t>
            </w:r>
          </w:p>
        </w:tc>
        <w:tc>
          <w:tcPr>
            <w:tcW w:w="131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37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r>
    </w:tbl>
    <w:p>
      <w:pPr>
        <w:bidi w:val="0"/>
        <w:spacing w:before="120" w:beforeAutospacing="0" w:after="280" w:afterAutospacing="1"/>
      </w:pPr>
      <w:bookmarkStart w:id="14" w:name="dieu_2"/>
      <w:r>
        <w:rPr>
          <w:b/>
          <w:bCs/>
          <w:rtl w:val="0"/>
        </w:rPr>
        <w:t>Điều 2. Hiệu lực thi hành và tổ chức thực hiện</w:t>
      </w:r>
      <w:bookmarkEnd w:id="14"/>
    </w:p>
    <w:p>
      <w:pPr>
        <w:bidi w:val="0"/>
        <w:spacing w:before="120" w:beforeAutospacing="0" w:after="280" w:afterAutospacing="1"/>
      </w:pPr>
      <w:r>
        <w:rPr>
          <w:rtl w:val="0"/>
        </w:rPr>
        <w:t>1. Quyết định này có hiệu lực thi hành từ ngày 01 tháng 02 năm 2026.</w:t>
      </w:r>
    </w:p>
    <w:p>
      <w:pPr>
        <w:bidi w:val="0"/>
        <w:spacing w:before="120" w:beforeAutospacing="0" w:after="280" w:afterAutospacing="1"/>
      </w:pPr>
      <w:r>
        <w:rPr>
          <w:rtl w:val="0"/>
        </w:rPr>
        <w:t xml:space="preserve">2. Bãi bỏ </w:t>
      </w:r>
      <w:bookmarkStart w:id="15" w:name="dc_2"/>
      <w:r>
        <w:rPr>
          <w:rtl w:val="0"/>
        </w:rPr>
        <w:t>Điều 7 của Quyết định số 810/QĐ-BGTVT ngày 01 tháng 7 năm 2024</w:t>
      </w:r>
      <w:bookmarkEnd w:id="15"/>
      <w:r>
        <w:rPr>
          <w:rtl w:val="0"/>
        </w:rPr>
        <w:t xml:space="preserve"> của Bộ trưởng Bộ Giao thông vận tải ban hành khung giá dịch vụ bốc dỡ container tại cảng biển Việt Nam.</w:t>
      </w:r>
    </w:p>
    <w:p>
      <w:pPr>
        <w:bidi w:val="0"/>
        <w:spacing w:before="120" w:beforeAutospacing="0" w:after="280" w:afterAutospacing="1"/>
      </w:pPr>
      <w:r>
        <w:rPr>
          <w:rtl w:val="0"/>
        </w:rPr>
        <w:t>3. Chánh Văn phòng Bộ Xây dựng, các Vụ trưởng, Cục trưởng Cục Hàng hải và Đường thủy Việt Nam, Thủ trưởng các cơ quan, doanh nghiệp và cá nhân có liên quan chịu trách nhiệm thi hành Quyết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8"/>
        <w:gridCol w:w="433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Khoản 3 Điều 2;</w:t>
            </w:r>
            <w:r>
              <w:rPr>
                <w:sz w:val="16"/>
                <w:rtl w:val="0"/>
              </w:rPr>
              <w:br/>
            </w:r>
            <w:r>
              <w:rPr>
                <w:sz w:val="16"/>
                <w:rtl w:val="0"/>
              </w:rPr>
              <w:t>- Thủ tướng Chính phủ (để b/c);</w:t>
            </w:r>
            <w:r>
              <w:rPr>
                <w:sz w:val="16"/>
                <w:rtl w:val="0"/>
              </w:rPr>
              <w:br/>
            </w:r>
            <w:r>
              <w:rPr>
                <w:sz w:val="16"/>
                <w:rtl w:val="0"/>
              </w:rPr>
              <w:t>- Bộ trưởng (để b/c);</w:t>
            </w:r>
            <w:r>
              <w:rPr>
                <w:sz w:val="16"/>
                <w:rtl w:val="0"/>
              </w:rPr>
              <w:br/>
            </w:r>
            <w:r>
              <w:rPr>
                <w:sz w:val="16"/>
                <w:rtl w:val="0"/>
              </w:rPr>
              <w:t>- Văn phòng Chính phủ;</w:t>
            </w:r>
            <w:r>
              <w:rPr>
                <w:sz w:val="16"/>
                <w:rtl w:val="0"/>
              </w:rPr>
              <w:br/>
            </w:r>
            <w:r>
              <w:rPr>
                <w:sz w:val="16"/>
                <w:rtl w:val="0"/>
              </w:rPr>
              <w:t>- Các Bộ: Tài chính, Công Thương, Tư pháp;</w:t>
            </w:r>
            <w:r>
              <w:rPr>
                <w:sz w:val="16"/>
                <w:rtl w:val="0"/>
              </w:rPr>
              <w:br/>
            </w:r>
            <w:r>
              <w:rPr>
                <w:sz w:val="16"/>
                <w:rtl w:val="0"/>
              </w:rPr>
              <w:t>- UBND các tỉnh, thành phố trực thuộc TW;</w:t>
            </w:r>
            <w:r>
              <w:rPr>
                <w:sz w:val="16"/>
                <w:rtl w:val="0"/>
              </w:rPr>
              <w:br/>
            </w:r>
            <w:r>
              <w:rPr>
                <w:sz w:val="16"/>
                <w:rtl w:val="0"/>
              </w:rPr>
              <w:t>- Các Thứ trưởng Bộ Xây dựng;</w:t>
            </w:r>
            <w:r>
              <w:rPr>
                <w:sz w:val="16"/>
                <w:rtl w:val="0"/>
              </w:rPr>
              <w:br/>
            </w:r>
            <w:r>
              <w:rPr>
                <w:sz w:val="16"/>
                <w:rtl w:val="0"/>
              </w:rPr>
              <w:t>- Cổng Thông tin điện tử Bộ Xây dựng;</w:t>
            </w:r>
            <w:r>
              <w:rPr>
                <w:sz w:val="16"/>
                <w:rtl w:val="0"/>
              </w:rPr>
              <w:br/>
            </w:r>
            <w:r>
              <w:rPr>
                <w:sz w:val="16"/>
                <w:rtl w:val="0"/>
              </w:rPr>
              <w:t>- Báo Xây dựng, Tạp chí Xây dựng;</w:t>
            </w:r>
            <w:r>
              <w:rPr>
                <w:sz w:val="16"/>
                <w:rtl w:val="0"/>
              </w:rPr>
              <w:br/>
            </w:r>
            <w:r>
              <w:rPr>
                <w:sz w:val="16"/>
                <w:rtl w:val="0"/>
              </w:rPr>
              <w:t>- Lưu: VT, VT&amp;ATGT.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Xuân Sang</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