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VĂN PHÒNG CHÍNH PHỦ</w:t>
            </w:r>
            <w:r>
              <w:rPr>
                <w:b/>
                <w:bCs/>
                <w:rtl w:val="0"/>
                <w:lang w:val="vi-VN" w:eastAsia="vi-VN"/>
              </w:rPr>
              <w:br/>
            </w:r>
            <w:r>
              <w:rPr>
                <w:b/>
                <w:bCs/>
                <w:rtl w:val="0"/>
                <w:lang w:val="vi-VN" w:eastAsia="vi-VN"/>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CỘNG HÒA XÃ HỘI CHỦ NGHĨA VIỆT NAM</w:t>
            </w:r>
            <w:r>
              <w:rPr>
                <w:b/>
                <w:bCs/>
                <w:rtl w:val="0"/>
                <w:lang w:val="vi-VN" w:eastAsia="vi-VN"/>
              </w:rPr>
              <w:br/>
            </w:r>
            <w:r>
              <w:rPr>
                <w:b/>
                <w:bCs/>
                <w:rtl w:val="0"/>
                <w:lang w:val="vi-VN" w:eastAsia="vi-VN"/>
              </w:rPr>
              <w:t xml:space="preserve">Độc lập - Tự do - Hạnh phúc </w:t>
            </w:r>
            <w:r>
              <w:rPr>
                <w:b/>
                <w:bCs/>
                <w:rtl w:val="0"/>
                <w:lang w:val="vi-VN" w:eastAsia="vi-VN"/>
              </w:rPr>
              <w:br/>
            </w:r>
            <w:r>
              <w:rPr>
                <w:b/>
                <w:bCs/>
                <w:rtl w:val="0"/>
                <w:lang w:val="vi-VN" w:eastAsia="vi-VN"/>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lang w:val="vi-VN" w:eastAsia="vi-VN"/>
              </w:rPr>
              <w:t xml:space="preserve">Số: </w:t>
            </w:r>
            <w:r>
              <w:rPr>
                <w:rtl w:val="0"/>
              </w:rPr>
              <w:t>9827</w:t>
            </w:r>
            <w:r>
              <w:rPr>
                <w:rtl w:val="0"/>
                <w:lang w:val="vi-VN" w:eastAsia="vi-VN"/>
              </w:rPr>
              <w:t>/VPCP-</w:t>
            </w:r>
            <w:r>
              <w:rPr>
                <w:rtl w:val="0"/>
              </w:rPr>
              <w:t>C</w:t>
            </w:r>
            <w:r>
              <w:rPr>
                <w:rtl w:val="0"/>
                <w:lang w:val="vi-VN" w:eastAsia="vi-VN"/>
              </w:rPr>
              <w:t>N</w:t>
            </w:r>
            <w:r>
              <w:rPr>
                <w:rtl w:val="0"/>
              </w:rPr>
              <w:br/>
            </w:r>
            <w:r>
              <w:rPr>
                <w:i/>
                <w:iCs/>
                <w:sz w:val="16"/>
                <w:rtl w:val="0"/>
                <w:lang w:val="vi-VN" w:eastAsia="vi-VN"/>
              </w:rPr>
              <w:t>V/v hướng dẫn một số quy định của Bộ Luật hình sự về hành vi vi phạm TTATGT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lang w:val="vi-VN" w:eastAsia="vi-VN"/>
              </w:rPr>
              <w:t xml:space="preserve">Hà Nội, ngày </w:t>
            </w:r>
            <w:r>
              <w:rPr>
                <w:i/>
                <w:iCs/>
                <w:rtl w:val="0"/>
              </w:rPr>
              <w:t>29</w:t>
            </w:r>
            <w:r>
              <w:rPr>
                <w:i/>
                <w:iCs/>
                <w:rtl w:val="0"/>
                <w:lang w:val="vi-VN" w:eastAsia="vi-VN"/>
              </w:rPr>
              <w:t xml:space="preserve"> tháng </w:t>
            </w:r>
            <w:r>
              <w:rPr>
                <w:i/>
                <w:iCs/>
                <w:rtl w:val="0"/>
              </w:rPr>
              <w:t>10</w:t>
            </w:r>
            <w:r>
              <w:rPr>
                <w:i/>
                <w:iCs/>
                <w:rtl w:val="0"/>
                <w:lang w:val="vi-VN" w:eastAsia="vi-VN"/>
              </w:rPr>
              <w:t xml:space="preserve"> năm 201</w:t>
            </w:r>
            <w:r>
              <w:rPr>
                <w:i/>
                <w:iCs/>
                <w:rtl w:val="0"/>
              </w:rPr>
              <w:t>9</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lang w:val="vi-VN" w:eastAsia="vi-VN"/>
        </w:rPr>
        <w:t>Kính gửi:</w:t>
      </w:r>
      <w:r>
        <w:rPr>
          <w:rtl w:val="0"/>
          <w:lang w:val="vi-VN" w:eastAsia="vi-VN"/>
        </w:rPr>
        <w:t xml:space="preserve"> Bộ Tư pháp.</w:t>
      </w:r>
    </w:p>
    <w:p>
      <w:pPr>
        <w:bidi w:val="0"/>
        <w:spacing w:before="120" w:beforeAutospacing="0" w:after="280" w:afterAutospacing="1"/>
      </w:pPr>
      <w:r>
        <w:rPr>
          <w:rtl w:val="0"/>
        </w:rPr>
        <w:t>V</w:t>
      </w:r>
      <w:r>
        <w:rPr>
          <w:rtl w:val="0"/>
          <w:lang w:val="vi-VN" w:eastAsia="vi-VN"/>
        </w:rPr>
        <w:t xml:space="preserve">ề </w:t>
      </w:r>
      <w:r>
        <w:rPr>
          <w:rtl w:val="0"/>
        </w:rPr>
        <w:t>đề</w:t>
      </w:r>
      <w:r>
        <w:rPr>
          <w:rtl w:val="0"/>
          <w:lang w:val="vi-VN" w:eastAsia="vi-VN"/>
        </w:rPr>
        <w:t xml:space="preserve"> nghị của Bộ Tư pháp tại văn bản số 4049/BTP-PLHSHC ngày 17 tháng 10 năm 2019 về việc thực hiện kết luận của Thủ tướng Chính phủ tại Hội nghị sơ kết công tác bảo đảm trật tự an toàn giao thông, Phó Thủ tướng Thường trực Trương Hòa Bình có ý ki</w:t>
      </w:r>
      <w:r>
        <w:rPr>
          <w:rtl w:val="0"/>
        </w:rPr>
        <w:t>ế</w:t>
      </w:r>
      <w:r>
        <w:rPr>
          <w:rtl w:val="0"/>
          <w:lang w:val="vi-VN" w:eastAsia="vi-VN"/>
        </w:rPr>
        <w:t>n như sau:</w:t>
      </w:r>
    </w:p>
    <w:p>
      <w:pPr>
        <w:bidi w:val="0"/>
        <w:spacing w:before="120" w:beforeAutospacing="0" w:after="280" w:afterAutospacing="1"/>
      </w:pPr>
      <w:r>
        <w:rPr>
          <w:rtl w:val="0"/>
          <w:lang w:val="vi-VN" w:eastAsia="vi-VN"/>
        </w:rPr>
        <w:t xml:space="preserve">Đồng ý Bộ Tư pháp có văn bản gửi Tòa án nhân dân tối cao đề nghị xây dựng, ban hành văn bản hướng dẫn áp dụng quy định "có khả năng thực tế dẫn đến hậu quả nếu được ngăn chặn kịp thời" thuộc </w:t>
      </w:r>
      <w:bookmarkStart w:id="0" w:name="dc_1"/>
      <w:r>
        <w:rPr>
          <w:rtl w:val="0"/>
          <w:lang w:val="vi-VN" w:eastAsia="vi-VN"/>
        </w:rPr>
        <w:t>khoản 4 các Điều 260, 262, 267, 268, 272, 273, 278 và khoản 1 Điều 277 của Bộ Luật hình sự</w:t>
      </w:r>
      <w:bookmarkEnd w:id="0"/>
      <w:r>
        <w:rPr>
          <w:rtl w:val="0"/>
          <w:lang w:val="vi-VN" w:eastAsia="vi-VN"/>
        </w:rPr>
        <w:t>; đồng thời hướng dẫn áp dụng một số tình tiết cụ thể có thể coi là "có nguy cơ gây tai nạn cao" nhưng chưa được quy định rõ ràng, cụ thể tại các tội về xâm phạm an toàn giao thông của Bộ Luật hình sự như đề nghị của Bộ Tư pháp tại văn bản nêu trên.</w:t>
      </w:r>
    </w:p>
    <w:p>
      <w:pPr>
        <w:bidi w:val="0"/>
        <w:spacing w:before="120" w:beforeAutospacing="0" w:after="280" w:afterAutospacing="1"/>
      </w:pPr>
      <w:r>
        <w:rPr>
          <w:rtl w:val="0"/>
          <w:lang w:val="vi-VN" w:eastAsia="vi-VN"/>
        </w:rPr>
        <w:t>Văn phòng Chính phủ thông báo để Bộ Tư pháp và các cơ quan có liên quan biết, thực hiện./.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6"/>
        <w:gridCol w:w="434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lang w:val="vi-VN" w:eastAsia="vi-VN"/>
              </w:rPr>
              <w:br/>
            </w:r>
            <w:r>
              <w:rPr>
                <w:b/>
                <w:bCs/>
                <w:i/>
                <w:iCs/>
                <w:rtl w:val="0"/>
                <w:lang w:val="vi-VN" w:eastAsia="vi-VN"/>
              </w:rPr>
              <w:t>Nơi nhận:</w:t>
            </w:r>
            <w:r>
              <w:rPr>
                <w:b/>
                <w:bCs/>
                <w:i/>
                <w:iCs/>
                <w:rtl w:val="0"/>
                <w:lang w:val="vi-VN" w:eastAsia="vi-VN"/>
              </w:rPr>
              <w:br/>
            </w:r>
            <w:r>
              <w:rPr>
                <w:sz w:val="16"/>
                <w:rtl w:val="0"/>
                <w:lang w:val="vi-VN" w:eastAsia="vi-VN"/>
              </w:rPr>
              <w:t>- Như trên;</w:t>
            </w:r>
            <w:r>
              <w:rPr>
                <w:sz w:val="16"/>
                <w:rtl w:val="0"/>
                <w:lang w:val="vi-VN" w:eastAsia="vi-VN"/>
              </w:rPr>
              <w:br/>
            </w:r>
            <w:r>
              <w:rPr>
                <w:sz w:val="16"/>
                <w:rtl w:val="0"/>
                <w:lang w:val="vi-VN" w:eastAsia="vi-VN"/>
              </w:rPr>
              <w:t>- Thủ tướng, PTTg Trương Hòa Bình;</w:t>
            </w:r>
            <w:r>
              <w:rPr>
                <w:sz w:val="16"/>
                <w:rtl w:val="0"/>
                <w:lang w:val="vi-VN" w:eastAsia="vi-VN"/>
              </w:rPr>
              <w:br/>
            </w:r>
            <w:r>
              <w:rPr>
                <w:sz w:val="16"/>
                <w:rtl w:val="0"/>
                <w:lang w:val="vi-VN" w:eastAsia="vi-VN"/>
              </w:rPr>
              <w:t>- Các Bộ: CA, GTVT;</w:t>
            </w:r>
            <w:r>
              <w:rPr>
                <w:sz w:val="16"/>
                <w:rtl w:val="0"/>
                <w:lang w:val="vi-VN" w:eastAsia="vi-VN"/>
              </w:rPr>
              <w:br/>
            </w:r>
            <w:r>
              <w:rPr>
                <w:sz w:val="16"/>
                <w:rtl w:val="0"/>
                <w:lang w:val="vi-VN" w:eastAsia="vi-VN"/>
              </w:rPr>
              <w:t>- Tòa án nhân dân TC;</w:t>
            </w:r>
            <w:r>
              <w:rPr>
                <w:sz w:val="16"/>
                <w:rtl w:val="0"/>
                <w:lang w:val="vi-VN" w:eastAsia="vi-VN"/>
              </w:rPr>
              <w:br/>
            </w:r>
            <w:r>
              <w:rPr>
                <w:sz w:val="16"/>
                <w:rtl w:val="0"/>
                <w:lang w:val="vi-VN" w:eastAsia="vi-VN"/>
              </w:rPr>
              <w:t>- Viện Kiểm sát nhân dân TC;</w:t>
            </w:r>
            <w:r>
              <w:rPr>
                <w:sz w:val="16"/>
                <w:rtl w:val="0"/>
                <w:lang w:val="vi-VN" w:eastAsia="vi-VN"/>
              </w:rPr>
              <w:br/>
            </w:r>
            <w:r>
              <w:rPr>
                <w:sz w:val="16"/>
                <w:rtl w:val="0"/>
                <w:lang w:val="vi-VN" w:eastAsia="vi-VN"/>
              </w:rPr>
              <w:t>- Ủy ban ATGT Quốc gia;</w:t>
            </w:r>
            <w:r>
              <w:rPr>
                <w:sz w:val="16"/>
                <w:rtl w:val="0"/>
                <w:lang w:val="vi-VN" w:eastAsia="vi-VN"/>
              </w:rPr>
              <w:br/>
            </w:r>
            <w:r>
              <w:rPr>
                <w:sz w:val="16"/>
                <w:rtl w:val="0"/>
                <w:lang w:val="vi-VN" w:eastAsia="vi-VN"/>
              </w:rPr>
              <w:t>- VPCP: BTCN, các Phó Chủ nhiệm, Trợ lý TTg, TGĐ Cổng TTĐT, các Vụ: TH, PL, NC;</w:t>
            </w:r>
            <w:r>
              <w:rPr>
                <w:sz w:val="16"/>
                <w:rtl w:val="0"/>
                <w:lang w:val="vi-VN" w:eastAsia="vi-VN"/>
              </w:rPr>
              <w:br/>
            </w:r>
            <w:r>
              <w:rPr>
                <w:sz w:val="16"/>
                <w:rtl w:val="0"/>
                <w:lang w:val="vi-VN" w:eastAsia="vi-VN"/>
              </w:rPr>
              <w:t xml:space="preserve">- Lưu: VT, CN (2b) </w:t>
            </w:r>
            <w:r>
              <w:rPr>
                <w:sz w:val="16"/>
                <w:vertAlign w:val="subscript"/>
                <w:rtl w:val="0"/>
                <w:lang w:val="vi-VN" w:eastAsia="vi-VN"/>
              </w:rPr>
              <w:t>cp</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lang w:val="vi-VN" w:eastAsia="vi-VN"/>
              </w:rPr>
              <w:t>KT. BỘ TRƯỞNG, CHỦ NHIỆM</w:t>
            </w:r>
            <w:r>
              <w:rPr>
                <w:b/>
                <w:bCs/>
                <w:rtl w:val="0"/>
                <w:lang w:val="vi-VN" w:eastAsia="vi-VN"/>
              </w:rPr>
              <w:br/>
            </w:r>
            <w:r>
              <w:rPr>
                <w:b/>
                <w:bCs/>
                <w:rtl w:val="0"/>
                <w:lang w:val="vi-VN" w:eastAsia="vi-VN"/>
              </w:rPr>
              <w:t>PHÓ CHỦ NHIỆM</w:t>
            </w:r>
            <w:r>
              <w:rPr>
                <w:b/>
                <w:bCs/>
                <w:rtl w:val="0"/>
                <w:lang w:val="vi-VN" w:eastAsia="vi-VN"/>
              </w:rPr>
              <w:br/>
            </w:r>
            <w:r>
              <w:rPr>
                <w:b/>
                <w:bCs/>
                <w:rtl w:val="0"/>
                <w:lang w:val="vi-VN" w:eastAsia="vi-VN"/>
              </w:rPr>
              <w:br/>
            </w:r>
            <w:r>
              <w:rPr>
                <w:b/>
                <w:bCs/>
                <w:rtl w:val="0"/>
                <w:lang w:val="vi-VN" w:eastAsia="vi-VN"/>
              </w:rPr>
              <w:br/>
            </w:r>
            <w:r>
              <w:rPr>
                <w:b/>
                <w:bCs/>
                <w:rtl w:val="0"/>
                <w:lang w:val="vi-VN" w:eastAsia="vi-VN"/>
              </w:rPr>
              <w:br/>
            </w:r>
            <w:r>
              <w:rPr>
                <w:b/>
                <w:bCs/>
                <w:rtl w:val="0"/>
                <w:lang w:val="vi-VN" w:eastAsia="vi-VN"/>
              </w:rPr>
              <w:br/>
            </w:r>
            <w:r>
              <w:rPr>
                <w:b/>
                <w:bCs/>
                <w:rtl w:val="0"/>
                <w:lang w:val="vi-VN" w:eastAsia="vi-VN"/>
              </w:rPr>
              <w:t>Nguyễn Cao Lục</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