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QUỐC HỘI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rPr>
              <w:t>Nghị quyết số: 103/2015/QH13</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25 tháng 11 năm 2015</w:t>
            </w:r>
          </w:p>
        </w:tc>
      </w:tr>
    </w:tbl>
    <w:p>
      <w:pPr>
        <w:bidi w:val="0"/>
        <w:spacing w:after="120" w:afterAutospacing="0"/>
      </w:pPr>
      <w:r>
        <w:rPr>
          <w:rtl w:val="0"/>
        </w:rPr>
        <w:t> </w:t>
      </w:r>
    </w:p>
    <w:p>
      <w:pPr>
        <w:bidi w:val="0"/>
        <w:spacing w:after="120" w:afterAutospacing="0"/>
        <w:jc w:val="center"/>
      </w:pPr>
      <w:bookmarkStart w:id="0" w:name="loai_1"/>
      <w:r>
        <w:rPr>
          <w:b/>
          <w:bCs/>
          <w:sz w:val="24"/>
          <w:rtl w:val="0"/>
        </w:rPr>
        <w:t>NGHỊ QUYẾT</w:t>
      </w:r>
      <w:bookmarkEnd w:id="0"/>
    </w:p>
    <w:p>
      <w:pPr>
        <w:bidi w:val="0"/>
        <w:spacing w:after="120" w:afterAutospacing="0"/>
        <w:jc w:val="center"/>
      </w:pPr>
      <w:bookmarkStart w:id="1" w:name="loai_1_name"/>
      <w:r>
        <w:rPr>
          <w:rtl w:val="0"/>
        </w:rPr>
        <w:t>VỀ VIỆC THI HÀNH BỘ LUẬT TỐ TỤNG DÂN SỰ</w:t>
      </w:r>
      <w:bookmarkEnd w:id="1"/>
    </w:p>
    <w:p>
      <w:pPr>
        <w:bidi w:val="0"/>
        <w:spacing w:after="120" w:afterAutospacing="0"/>
        <w:jc w:val="center"/>
      </w:pPr>
      <w:r>
        <w:rPr>
          <w:b/>
          <w:bCs/>
          <w:sz w:val="24"/>
          <w:rtl w:val="0"/>
        </w:rPr>
        <w:t>QUỐC HỘI</w:t>
      </w:r>
      <w:r>
        <w:rPr>
          <w:b/>
          <w:bCs/>
          <w:sz w:val="24"/>
          <w:rtl w:val="0"/>
        </w:rPr>
        <w:br/>
      </w:r>
      <w:r>
        <w:rPr>
          <w:b/>
          <w:bCs/>
          <w:sz w:val="24"/>
          <w:rtl w:val="0"/>
        </w:rPr>
        <w:t>NƯỚC CỘNG HÒA XÃ HỘI CHỦ NGHĨA VIỆT NAM</w:t>
      </w:r>
    </w:p>
    <w:p>
      <w:pPr>
        <w:bidi w:val="0"/>
        <w:spacing w:after="120" w:afterAutospacing="0"/>
      </w:pPr>
      <w:r>
        <w:rPr>
          <w:i/>
          <w:iCs/>
          <w:rtl w:val="0"/>
        </w:rPr>
        <w:t xml:space="preserve">Căn cứ </w:t>
      </w:r>
      <w:bookmarkStart w:id="2" w:name="tvpllink_khhhnejlqt"/>
      <w:r>
        <w:rPr>
          <w:i/>
          <w:iCs/>
          <w:rtl w:val="0"/>
        </w:rPr>
        <w:t>Hiến pháp nước Cộng hòa xã hội chủ nghĩa Việt Nam</w:t>
      </w:r>
      <w:bookmarkEnd w:id="2"/>
      <w:r>
        <w:rPr>
          <w:i/>
          <w:iCs/>
          <w:rtl w:val="0"/>
        </w:rPr>
        <w:t>;</w:t>
      </w:r>
    </w:p>
    <w:p>
      <w:pPr>
        <w:bidi w:val="0"/>
        <w:spacing w:after="120" w:afterAutospacing="0"/>
        <w:jc w:val="center"/>
      </w:pPr>
      <w:r>
        <w:rPr>
          <w:b/>
          <w:bCs/>
          <w:sz w:val="24"/>
          <w:rtl w:val="0"/>
        </w:rPr>
        <w:t>QUYẾT NGHỊ:</w:t>
      </w:r>
    </w:p>
    <w:p>
      <w:pPr>
        <w:bidi w:val="0"/>
        <w:spacing w:after="120" w:afterAutospacing="0"/>
      </w:pPr>
      <w:bookmarkStart w:id="3" w:name="dieu_1"/>
      <w:r>
        <w:rPr>
          <w:b/>
          <w:bCs/>
          <w:color w:val="000000"/>
          <w:rtl w:val="0"/>
        </w:rPr>
        <w:t>Điều 1</w:t>
      </w:r>
      <w:bookmarkEnd w:id="3"/>
    </w:p>
    <w:p>
      <w:pPr>
        <w:bidi w:val="0"/>
        <w:spacing w:after="120" w:afterAutospacing="0"/>
      </w:pPr>
      <w:bookmarkStart w:id="4" w:name="dieu_1_name"/>
      <w:r>
        <w:rPr>
          <w:color w:val="000000"/>
          <w:rtl w:val="0"/>
        </w:rPr>
        <w:t>Kể từ ngày Bộ luật tố tụng dân sự số 92/2015/QH13 có hiệu lực thi hành (ngày 01 tháng 7 năm 2016):</w:t>
      </w:r>
      <w:bookmarkEnd w:id="4"/>
    </w:p>
    <w:p>
      <w:pPr>
        <w:bidi w:val="0"/>
        <w:spacing w:after="120" w:afterAutospacing="0"/>
      </w:pPr>
      <w:r>
        <w:rPr>
          <w:color w:val="000000"/>
          <w:rtl w:val="0"/>
        </w:rPr>
        <w:t>1. Đối với những vụ việc dân sự, hôn nhân và gia đình, kinh doanh, thương mại, lao động đã được Tòa án thụ lý trước ngày 01 tháng 7 năm 2016, nhưng kể từ ngày 01 tháng 7 năm 2016 mới giải quyết theo thủ tục sơ thẩm thì áp dụng các quy định của Bộ luật này để giải quyết;</w:t>
      </w:r>
    </w:p>
    <w:p>
      <w:pPr>
        <w:bidi w:val="0"/>
        <w:spacing w:after="120" w:afterAutospacing="0"/>
      </w:pPr>
      <w:r>
        <w:rPr>
          <w:color w:val="000000"/>
          <w:rtl w:val="0"/>
        </w:rPr>
        <w:t>2. Đối với những vụ việc dân sự, hôn nhân và gia đình, kinh doanh, thương mại, lao động đã được Tòa án giải quyết theo thủ tục sơ thẩm trước ngày 01 tháng 7 năm 2016, nhưng kể từ ngày 01 tháng 7 năm 2016 mới giải quyết theo thủ tục phúc thẩm thì áp dụng các quy định của Bộ luật này để giải quyết;</w:t>
      </w:r>
    </w:p>
    <w:p>
      <w:pPr>
        <w:bidi w:val="0"/>
        <w:spacing w:after="120" w:afterAutospacing="0"/>
      </w:pPr>
      <w:r>
        <w:rPr>
          <w:color w:val="000000"/>
          <w:rtl w:val="0"/>
        </w:rPr>
        <w:t>3. Đối với những bản án, quyết định dân sự, hôn nhân và gia đình, kinh doanh, thương mại, lao động đã có hiệu lực pháp luật mà bị kháng nghị theo thủ tục giám đốc thẩm, tái thẩm trước ngày 01 tháng 7 năm 2016 nhưng kể từ ngày 01 tháng 7 năm 2016 mới giải quyết theo thủ tục giám đốc thẩm, tái thẩm thì áp dụng các quy định của Bộ luật này để giải quyết;</w:t>
      </w:r>
    </w:p>
    <w:p>
      <w:pPr>
        <w:bidi w:val="0"/>
        <w:spacing w:after="120" w:afterAutospacing="0"/>
      </w:pPr>
      <w:r>
        <w:rPr>
          <w:color w:val="000000"/>
          <w:rtl w:val="0"/>
        </w:rPr>
        <w:t>4. Đối với những bản án, quyết định dân sự, hôn nhân và gia đình, kinh doanh, thương mại, lao động đã có hiệu lực pháp luật trước ngày 01 tháng 7 năm 2016 mà kể từ ngày 01 tháng 7 năm 2016 người có thẩm quyền kháng nghị mới kháng nghị giám đốc thẩm, tái thẩm, thì căn cứ để thực hiện việc kháng nghị theo thủ tục giám đốc thẩm, tái thẩm và việc giải quyết theo thủ tục giám đốc thẩm, tái thẩm được thực hiện theo quy định của Bộ luật này;</w:t>
      </w:r>
    </w:p>
    <w:p>
      <w:pPr>
        <w:bidi w:val="0"/>
        <w:spacing w:after="120" w:afterAutospacing="0"/>
      </w:pPr>
      <w:r>
        <w:rPr>
          <w:color w:val="000000"/>
          <w:rtl w:val="0"/>
        </w:rPr>
        <w:t>5. Đối với những vụ việc hôn nhân và gia đình đã được Tòa án thụ lý giải quyết trước ngày 01 tháng 7 năm 2016 thì Tòa án đã thụ lý tiếp tục giải quyết theo thủ tục chung mà không chuyển cho Tòa gia đình và người chưa thành niên giải quyết;</w:t>
      </w:r>
    </w:p>
    <w:p>
      <w:pPr>
        <w:bidi w:val="0"/>
        <w:spacing w:after="120" w:afterAutospacing="0"/>
      </w:pPr>
      <w:r>
        <w:rPr>
          <w:color w:val="000000"/>
          <w:rtl w:val="0"/>
        </w:rPr>
        <w:t>6. Khi giải quyết vụ việc dân sự, hôn nhân và gia đình, kinh doanh, thương mại, lao động, Tòa án tiếp tục áp dụng quy định của các văn bản quy phạm pháp luật hiện hành về án phí, lệ phí Tòa án, chi phí tố tụng khác cho đến khi có quy định mới của cơ quan nhà nước có thẩm quyền.</w:t>
      </w:r>
    </w:p>
    <w:p>
      <w:pPr>
        <w:bidi w:val="0"/>
        <w:spacing w:after="120" w:afterAutospacing="0"/>
      </w:pPr>
      <w:r>
        <w:rPr>
          <w:color w:val="000000"/>
          <w:rtl w:val="0"/>
        </w:rPr>
        <w:t>Đối với vụ án dân sự, hôn nhân và gia đình, kinh doanh, thương mại, lao động được giải quyết theo thủ tục rút gọn thì áp dụng mức án phí thấp hơn so với mức án phí áp dụng đối với vụ án giải quyết theo thủ tục thông thường.</w:t>
      </w:r>
    </w:p>
    <w:p>
      <w:pPr>
        <w:bidi w:val="0"/>
        <w:spacing w:after="120" w:afterAutospacing="0"/>
      </w:pPr>
      <w:bookmarkStart w:id="5" w:name="dieu_2"/>
      <w:r>
        <w:rPr>
          <w:b/>
          <w:bCs/>
          <w:color w:val="000000"/>
          <w:rtl w:val="0"/>
        </w:rPr>
        <w:t>Điều 2</w:t>
      </w:r>
      <w:bookmarkEnd w:id="5"/>
    </w:p>
    <w:p>
      <w:pPr>
        <w:bidi w:val="0"/>
        <w:spacing w:after="120" w:afterAutospacing="0"/>
      </w:pPr>
      <w:bookmarkStart w:id="6" w:name="dieu_2_name"/>
      <w:r>
        <w:rPr>
          <w:color w:val="000000"/>
          <w:rtl w:val="0"/>
        </w:rPr>
        <w:t>Đối với các tranh chấp, yêu cầu về dân sự, hôn nhân và gia đình, kinh doanh, thương mại, lao động phát sinh trước ngày 01 tháng 01 năm 2017 thì áp dụng quy định về thời hiệu tại</w:t>
      </w:r>
      <w:bookmarkEnd w:id="6"/>
      <w:r>
        <w:rPr>
          <w:color w:val="000000"/>
          <w:rtl w:val="0"/>
        </w:rPr>
        <w:t xml:space="preserve"> </w:t>
      </w:r>
      <w:bookmarkStart w:id="7" w:name="dc_11"/>
      <w:r>
        <w:rPr>
          <w:color w:val="000000"/>
          <w:rtl w:val="0"/>
        </w:rPr>
        <w:t>Điều 159 và điểm h khoản 1 Điều 192 của Bộ luật tố tụng dân sự</w:t>
      </w:r>
      <w:bookmarkEnd w:id="7"/>
      <w:r>
        <w:rPr>
          <w:color w:val="000000"/>
          <w:rtl w:val="0"/>
        </w:rPr>
        <w:t xml:space="preserve"> số 24/2004/QH11 đã được sửa đổi, bổ sung theo Luật số 65/2011/QH12.</w:t>
      </w:r>
    </w:p>
    <w:p>
      <w:pPr>
        <w:bidi w:val="0"/>
        <w:spacing w:after="120" w:afterAutospacing="0"/>
      </w:pPr>
      <w:r>
        <w:rPr>
          <w:b/>
          <w:bCs/>
          <w:color w:val="000000"/>
          <w:rtl w:val="0"/>
        </w:rPr>
        <w:t>Điều 3</w:t>
      </w:r>
    </w:p>
    <w:p>
      <w:pPr>
        <w:bidi w:val="0"/>
        <w:spacing w:after="120" w:afterAutospacing="0"/>
      </w:pPr>
      <w:r>
        <w:rPr>
          <w:color w:val="000000"/>
          <w:rtl w:val="0"/>
        </w:rPr>
        <w:t>1. Chính phủ, Tòa án nhân dân tối cao, Viện kiểm sát nhân dân tối cao trong phạm vi chức năng, nhiệm vụ của mình chủ trì hoặc phối hợp với các cơ quan hữu quan tổ chức việc rà soát các quy định của pháp luật về tố tụng dân sự hiện hành để bãi bỏ, sửa đổi, bổ sung, ban hành văn bản mới hoặc đề nghị Quốc hội, Ủy ban thường vụ Quốc hội bãi bỏ, sửa đổi, bổ sung hoặc ban hành văn bản mới phù hợp với quy định của Bộ luật tố tụng dân sự số 92/2015/QH13, bảo đảm hiệu lực thi hành của Bộ luật này từ ngày 01 tháng 7 năm 2016.</w:t>
      </w:r>
    </w:p>
    <w:p>
      <w:pPr>
        <w:bidi w:val="0"/>
        <w:spacing w:after="120" w:afterAutospacing="0"/>
      </w:pPr>
      <w:r>
        <w:rPr>
          <w:color w:val="000000"/>
          <w:rtl w:val="0"/>
        </w:rPr>
        <w:t>2. Chính phủ, Tòa án nhân dân tối cao, Viện kiểm sát nhân dân tối cao trong phạm vi chức năng, nhiệm vụ, quyền hạn của mình khẩn trương kiện toàn tổ chức bộ máy, cơ sở vật chất; đào tạo, bồi dưỡng nghiệp vụ đối với cán bộ, công chức, viên chức của Tòa án nhân dân, Viện kiểm sát nhân dân, Cơ quan thi hành án dân sự để bảo đảm giải quyết các vụ việc dân sự khi Bộ luật này có hiệu lực thi hành.</w:t>
      </w:r>
    </w:p>
    <w:p>
      <w:pPr>
        <w:bidi w:val="0"/>
        <w:spacing w:after="120" w:afterAutospacing="0"/>
      </w:pPr>
      <w:r>
        <w:rPr>
          <w:color w:val="000000"/>
          <w:rtl w:val="0"/>
        </w:rPr>
        <w:t>3. Chính phủ, Tòa án nhân dân tối cao, Viện kiểm sát nhân dân tối cao trong phạm vi nhiệm vụ, quyền hạn của mình có trách nhiệm phối hợp với Ủy ban trung ương Mặt trận Tổ quốc Việt Nam và các tổ chức thành viên của Mặt trận tuyên truyền, phổ biến rộng rãi Bộ luật tố tụng dân sự số 92/2015/QH13 trong cán bộ, công chức, viên chức và Nhân dân nhằm góp phần tăng cường pháp chế xã hội chủ nghĩa, phát huy tác dụng của Bộ luật này trong việc bảo vệ lợi ích của Nhà nước, quyền và lợi ích hợp pháp của cơ quan, tổ chức, cá nhân.</w:t>
      </w:r>
    </w:p>
    <w:p>
      <w:pPr>
        <w:bidi w:val="0"/>
        <w:spacing w:after="120" w:afterAutospacing="0"/>
      </w:pPr>
      <w:bookmarkStart w:id="8" w:name="khoan_4_4"/>
      <w:r>
        <w:rPr>
          <w:color w:val="000000"/>
          <w:rtl w:val="0"/>
        </w:rPr>
        <w:t>4. Chính phủ, Tòa án nhân dân tối cao, Viện kiểm sát nhân dân tối cao có trách nhiệm hướng dẫn thi hành Nghị quyết này.</w:t>
      </w:r>
      <w:bookmarkEnd w:id="8"/>
    </w:p>
    <w:p>
      <w:pPr>
        <w:bidi w:val="0"/>
        <w:spacing w:after="120" w:afterAutospacing="0"/>
      </w:pPr>
      <w:r>
        <w:rPr>
          <w:i/>
          <w:iCs/>
          <w:color w:val="000000"/>
          <w:rtl w:val="0"/>
        </w:rPr>
        <w:t>Nghị quyết này đã được Quốc hội nước Cộng hòa xã hội chủ nghĩa Việt Nam khóa XIII, kỳ họp thứ 10 thông qua ngày 25 tháng 11 năm 2015.</w:t>
      </w:r>
    </w:p>
    <w:p>
      <w:pPr>
        <w:bidi w:val="0"/>
        <w:spacing w:after="120" w:afterAutospacing="0"/>
      </w:pPr>
      <w:r>
        <w:rPr>
          <w:i/>
          <w:iCs/>
          <w:color w:val="000000"/>
          <w:rtl w:val="0"/>
        </w:rPr>
        <w:t> </w:t>
      </w:r>
    </w:p>
    <w:tbl>
      <w:tblPr>
        <w:jc w:val="left"/>
        <w:tblCellMar>
          <w:top w:w="0" w:type="dxa"/>
          <w:left w:w="0" w:type="dxa"/>
          <w:bottom w:w="0" w:type="dxa"/>
          <w:right w:w="0" w:type="dxa"/>
        </w:tblCellMar>
      </w:tblPr>
      <w:tblGrid>
        <w:gridCol w:w="3957"/>
        <w:gridCol w:w="4683"/>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after="0" w:afterAutospacing="0"/>
            </w:pPr>
            <w:r>
              <w:rPr>
                <w:b/>
                <w:bCs/>
                <w:rtl w:val="0"/>
              </w:rPr>
              <w:t> </w:t>
            </w:r>
          </w:p>
        </w:tc>
        <w:tc>
          <w:tcPr>
            <w:tcW w:w="4788" w:type="dxa"/>
            <w:shd w:val="clear" w:color="auto" w:fill="auto"/>
            <w:tcMar>
              <w:top w:w="0" w:type="dxa"/>
              <w:left w:w="108" w:type="dxa"/>
              <w:bottom w:w="0" w:type="dxa"/>
              <w:right w:w="108" w:type="dxa"/>
            </w:tcMar>
          </w:tcPr>
          <w:p>
            <w:pPr>
              <w:bidi w:val="0"/>
              <w:spacing w:after="0" w:afterAutospacing="0"/>
              <w:jc w:val="center"/>
            </w:pPr>
            <w:r>
              <w:rPr>
                <w:b/>
                <w:bCs/>
                <w:color w:val="000000"/>
                <w:rtl w:val="0"/>
              </w:rPr>
              <w:t>CHỦ TỊCH QUỐC HỘI</w:t>
            </w:r>
            <w:r>
              <w:rPr>
                <w:b/>
                <w:bCs/>
                <w:color w:val="000000"/>
                <w:rtl w:val="0"/>
              </w:rPr>
              <w:br/>
            </w:r>
            <w:r>
              <w:rPr>
                <w:rtl w:val="0"/>
              </w:rPr>
              <w:br/>
            </w:r>
            <w:r>
              <w:rPr>
                <w:rtl w:val="0"/>
              </w:rPr>
              <w:br/>
            </w:r>
            <w:r>
              <w:rPr>
                <w:rtl w:val="0"/>
              </w:rPr>
              <w:br/>
            </w:r>
            <w:r>
              <w:rPr>
                <w:b/>
                <w:bCs/>
                <w:color w:val="000000"/>
                <w:rtl w:val="0"/>
              </w:rPr>
              <w:br/>
            </w:r>
            <w:r>
              <w:rPr>
                <w:b/>
                <w:bCs/>
                <w:color w:val="000000"/>
                <w:rtl w:val="0"/>
              </w:rPr>
              <w:t>Nguyễn Sinh Hùng</w:t>
            </w:r>
          </w:p>
        </w:tc>
      </w:tr>
    </w:tbl>
    <w:p>
      <w:pPr>
        <w:bidi w:val="0"/>
        <w:spacing w:after="120" w:afterAutospacing="0"/>
      </w:pPr>
      <w:r>
        <w:rPr>
          <w:rtl w:val="0"/>
        </w:rPr>
        <w:t> </w:t>
      </w:r>
    </w:p>
    <w:p>
      <w:pPr>
        <w:bidi w:val="0"/>
        <w:spacing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