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Nghị quyết số: 110/2015/QH13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27 tháng 11 năm 2015</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VỀ VIỆC THI HÀNH BỘ LUẬT TỐ TỤNG HÌNH SỰ</w:t>
      </w:r>
      <w:bookmarkEnd w:id="1"/>
    </w:p>
    <w:p>
      <w:pPr>
        <w:bidi w:val="0"/>
        <w:spacing w:after="120" w:afterAutospacing="0"/>
        <w:jc w:val="center"/>
      </w:pPr>
      <w:r>
        <w:rPr>
          <w:b/>
          <w:bCs/>
          <w:sz w:val="24"/>
          <w:rtl w:val="0"/>
        </w:rPr>
        <w:t>QUỐC HỘI</w:t>
      </w:r>
      <w:r>
        <w:rPr>
          <w:b/>
          <w:bCs/>
          <w:sz w:val="24"/>
          <w:rtl w:val="0"/>
        </w:rPr>
        <w:br/>
      </w:r>
      <w:r>
        <w:rPr>
          <w:b/>
          <w:bCs/>
          <w:sz w:val="24"/>
          <w:rtl w:val="0"/>
        </w:rPr>
        <w:t>NƯỚC CỘNG HÒA XÃ HỘI CHỦ NGHĨA VIỆT NAM</w:t>
      </w:r>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jc w:val="center"/>
      </w:pPr>
      <w:r>
        <w:rPr>
          <w:b/>
          <w:bCs/>
          <w:sz w:val="24"/>
          <w:rtl w:val="0"/>
        </w:rPr>
        <w:t>QUYẾT NGHỊ:</w:t>
      </w:r>
    </w:p>
    <w:p>
      <w:pPr>
        <w:bidi w:val="0"/>
        <w:spacing w:after="120" w:afterAutospacing="0"/>
      </w:pPr>
      <w:bookmarkStart w:id="3" w:name="khoan_1"/>
      <w:r>
        <w:rPr>
          <w:b/>
          <w:bCs/>
          <w:rtl w:val="0"/>
          <w:lang w:val="pt-BR" w:eastAsia="pt-BR"/>
        </w:rPr>
        <w:t>Điều 1</w:t>
      </w:r>
      <w:bookmarkEnd w:id="3"/>
    </w:p>
    <w:p>
      <w:pPr>
        <w:bidi w:val="0"/>
        <w:spacing w:after="120" w:afterAutospacing="0"/>
      </w:pPr>
      <w:bookmarkStart w:id="4" w:name="khoan_1_name"/>
      <w:r>
        <w:rPr>
          <w:rtl w:val="0"/>
          <w:lang w:val="pt-BR" w:eastAsia="pt-BR"/>
        </w:rPr>
        <w:t>Kể từ ngày Bộ luật tố tụng hình sự số 101/2015/QH13 (sau đây gọi là Bộ luật tố tụng hình sự năm 2015) có hiệu lực thi hành</w:t>
      </w:r>
      <w:bookmarkEnd w:id="4"/>
      <w:r>
        <w:rPr>
          <w:rtl w:val="0"/>
          <w:lang w:val="pt-BR" w:eastAsia="pt-BR"/>
        </w:rPr>
        <w:t xml:space="preserve"> (</w:t>
      </w:r>
      <w:bookmarkStart w:id="5" w:name="cumtu_1"/>
      <w:r>
        <w:rPr>
          <w:rtl w:val="0"/>
          <w:lang w:val="pt-BR" w:eastAsia="pt-BR"/>
        </w:rPr>
        <w:t>ngày 01 tháng 7 năm 2016</w:t>
      </w:r>
      <w:bookmarkEnd w:id="5"/>
      <w:r>
        <w:rPr>
          <w:rtl w:val="0"/>
          <w:lang w:val="pt-BR" w:eastAsia="pt-BR"/>
        </w:rPr>
        <w:t>):</w:t>
      </w:r>
    </w:p>
    <w:p>
      <w:pPr>
        <w:bidi w:val="0"/>
        <w:spacing w:after="120" w:afterAutospacing="0"/>
      </w:pPr>
      <w:r>
        <w:rPr>
          <w:rtl w:val="0"/>
          <w:lang w:val="pt-BR" w:eastAsia="pt-BR"/>
        </w:rPr>
        <w:t xml:space="preserve">1. Đối với những vụ án do Cơ quan điều tra, cơ quan được giao nhiệm vụ tiến hành một số hoạt động điều tra, Viện kiểm sát, Tòa án đang </w:t>
      </w:r>
      <w:r>
        <w:rPr>
          <w:rtl w:val="0"/>
          <w:lang w:val="it-IT" w:eastAsia="it-IT"/>
        </w:rPr>
        <w:t xml:space="preserve">thụ lý, giải quyết theo thẩm quyền quy định tại </w:t>
      </w:r>
      <w:bookmarkStart w:id="6" w:name="tvpllink_rhjegoumpn"/>
      <w:r>
        <w:rPr>
          <w:rtl w:val="0"/>
          <w:lang w:val="it-IT" w:eastAsia="it-IT"/>
        </w:rPr>
        <w:t>Bộ luật tố tụng hình sự số 19/2003/QH11</w:t>
      </w:r>
      <w:bookmarkEnd w:id="6"/>
      <w:r>
        <w:rPr>
          <w:rtl w:val="0"/>
          <w:lang w:val="it-IT" w:eastAsia="it-IT"/>
        </w:rPr>
        <w:t xml:space="preserve"> </w:t>
      </w:r>
      <w:r>
        <w:rPr>
          <w:rtl w:val="0"/>
          <w:lang w:val="pt-BR" w:eastAsia="pt-BR"/>
        </w:rPr>
        <w:t xml:space="preserve">(sau đây gọi là </w:t>
      </w:r>
      <w:bookmarkStart w:id="7" w:name="tvpllink_rhjegoumpn_1"/>
      <w:r>
        <w:rPr>
          <w:rtl w:val="0"/>
          <w:lang w:val="pt-BR" w:eastAsia="pt-BR"/>
        </w:rPr>
        <w:t>Bộ luật tố tụng hình sự năm 2003</w:t>
      </w:r>
      <w:bookmarkEnd w:id="7"/>
      <w:r>
        <w:rPr>
          <w:rtl w:val="0"/>
          <w:lang w:val="pt-BR" w:eastAsia="pt-BR"/>
        </w:rPr>
        <w:t xml:space="preserve">) </w:t>
      </w:r>
      <w:r>
        <w:rPr>
          <w:rtl w:val="0"/>
          <w:lang w:val="it-IT" w:eastAsia="it-IT"/>
        </w:rPr>
        <w:t xml:space="preserve">nhưng đến </w:t>
      </w:r>
      <w:bookmarkStart w:id="8" w:name="cumtu_2"/>
      <w:r>
        <w:rPr>
          <w:rtl w:val="0"/>
          <w:lang w:val="it-IT" w:eastAsia="it-IT"/>
        </w:rPr>
        <w:t>ngày 01 tháng 7 năm 2016</w:t>
      </w:r>
      <w:bookmarkEnd w:id="8"/>
      <w:r>
        <w:rPr>
          <w:rtl w:val="0"/>
          <w:lang w:val="it-IT" w:eastAsia="it-IT"/>
        </w:rPr>
        <w:t xml:space="preserve"> chưa kết thúc thì thẩm quyền giải quyết tiếp tục được áp dụng theo quy định của </w:t>
      </w:r>
      <w:r>
        <w:rPr>
          <w:rtl w:val="0"/>
          <w:lang w:val="pt-BR" w:eastAsia="pt-BR"/>
        </w:rPr>
        <w:t xml:space="preserve">Bộ luật tố tụng hình sự năm 2003 </w:t>
      </w:r>
      <w:r>
        <w:rPr>
          <w:rtl w:val="0"/>
          <w:lang w:val="it-IT" w:eastAsia="it-IT"/>
        </w:rPr>
        <w:t xml:space="preserve">cho đến khi kết thúc vụ án, còn các vấn đề khác được thực hiện theo quy định của </w:t>
      </w:r>
      <w:bookmarkStart w:id="9" w:name="tvpllink_sqyypjucfe"/>
      <w:r>
        <w:rPr>
          <w:rtl w:val="0"/>
          <w:lang w:val="it-IT" w:eastAsia="it-IT"/>
        </w:rPr>
        <w:t>Bộ luật tố tụng hình sự năm 2015</w:t>
      </w:r>
      <w:bookmarkEnd w:id="9"/>
      <w:r>
        <w:rPr>
          <w:rtl w:val="0"/>
          <w:lang w:val="it-IT" w:eastAsia="it-IT"/>
        </w:rPr>
        <w:t>;</w:t>
      </w:r>
    </w:p>
    <w:p>
      <w:pPr>
        <w:bidi w:val="0"/>
        <w:spacing w:after="120" w:afterAutospacing="0"/>
      </w:pPr>
      <w:r>
        <w:rPr>
          <w:rtl w:val="0"/>
          <w:lang w:val="it-IT" w:eastAsia="it-IT"/>
        </w:rPr>
        <w:t>2.</w:t>
      </w:r>
      <w:r>
        <w:rPr>
          <w:b/>
          <w:bCs/>
          <w:rtl w:val="0"/>
          <w:lang w:val="it-IT" w:eastAsia="it-IT"/>
        </w:rPr>
        <w:t xml:space="preserve"> </w:t>
      </w:r>
      <w:r>
        <w:rPr>
          <w:rtl w:val="0"/>
          <w:lang w:val="it-IT" w:eastAsia="it-IT"/>
        </w:rPr>
        <w:t xml:space="preserve">Đối với những tố giác, tin báo về tội phạm, kiến nghị khởi tố đang trong quá trình kiểm tra, xác minh nhưng đến </w:t>
      </w:r>
      <w:bookmarkStart w:id="10" w:name="cumtu_3"/>
      <w:r>
        <w:rPr>
          <w:rtl w:val="0"/>
          <w:lang w:val="it-IT" w:eastAsia="it-IT"/>
        </w:rPr>
        <w:t>ngày 01 tháng 7 năm 2016</w:t>
      </w:r>
      <w:bookmarkEnd w:id="10"/>
      <w:r>
        <w:rPr>
          <w:rtl w:val="0"/>
          <w:lang w:val="it-IT" w:eastAsia="it-IT"/>
        </w:rPr>
        <w:t xml:space="preserve"> chưa kết thúc thì thời hạn giải quyết được tính theo thời hạn của </w:t>
      </w:r>
      <w:bookmarkStart w:id="11" w:name="tvpllink_sqyypjucfe_1"/>
      <w:r>
        <w:rPr>
          <w:rtl w:val="0"/>
          <w:lang w:val="it-IT" w:eastAsia="it-IT"/>
        </w:rPr>
        <w:t>Bộ luật tố tụng hình sự năm 2015</w:t>
      </w:r>
      <w:bookmarkEnd w:id="11"/>
      <w:r>
        <w:rPr>
          <w:rtl w:val="0"/>
          <w:lang w:val="it-IT" w:eastAsia="it-IT"/>
        </w:rPr>
        <w:t>;</w:t>
      </w:r>
    </w:p>
    <w:p>
      <w:pPr>
        <w:bidi w:val="0"/>
        <w:spacing w:after="120" w:afterAutospacing="0"/>
      </w:pPr>
      <w:r>
        <w:rPr>
          <w:rtl w:val="0"/>
          <w:lang w:val="it-IT" w:eastAsia="it-IT"/>
        </w:rPr>
        <w:t>3.</w:t>
      </w:r>
      <w:r>
        <w:rPr>
          <w:b/>
          <w:bCs/>
          <w:rtl w:val="0"/>
          <w:lang w:val="it-IT" w:eastAsia="it-IT"/>
        </w:rPr>
        <w:t xml:space="preserve"> </w:t>
      </w:r>
      <w:r>
        <w:rPr>
          <w:rtl w:val="0"/>
          <w:lang w:val="it-IT" w:eastAsia="it-IT"/>
        </w:rPr>
        <w:t xml:space="preserve">Đối với những bị can, bị cáo đang bị tạm giam theo quy định của </w:t>
      </w:r>
      <w:bookmarkStart w:id="12" w:name="tvpllink_rhjegoumpn_2"/>
      <w:r>
        <w:rPr>
          <w:rtl w:val="0"/>
          <w:lang w:val="it-IT" w:eastAsia="it-IT"/>
        </w:rPr>
        <w:t>Bộ luật tố tụng hình sự năm 2003</w:t>
      </w:r>
      <w:bookmarkEnd w:id="12"/>
      <w:r>
        <w:rPr>
          <w:rtl w:val="0"/>
          <w:lang w:val="it-IT" w:eastAsia="it-IT"/>
        </w:rPr>
        <w:t xml:space="preserve"> nhưng đến </w:t>
      </w:r>
      <w:bookmarkStart w:id="13" w:name="cumtu_4"/>
      <w:r>
        <w:rPr>
          <w:rtl w:val="0"/>
          <w:lang w:val="it-IT" w:eastAsia="it-IT"/>
        </w:rPr>
        <w:t>ngày 01 tháng 7 năm 2016</w:t>
      </w:r>
      <w:bookmarkEnd w:id="13"/>
      <w:r>
        <w:rPr>
          <w:rtl w:val="0"/>
          <w:lang w:val="it-IT" w:eastAsia="it-IT"/>
        </w:rPr>
        <w:t xml:space="preserve"> không được tạm giam theo quy định của </w:t>
      </w:r>
      <w:bookmarkStart w:id="14" w:name="tvpllink_sqyypjucfe_13"/>
      <w:r>
        <w:rPr>
          <w:rtl w:val="0"/>
          <w:lang w:val="it-IT" w:eastAsia="it-IT"/>
        </w:rPr>
        <w:t>Bộ luật tố tụng hình sự năm 2015</w:t>
      </w:r>
      <w:bookmarkEnd w:id="14"/>
      <w:r>
        <w:rPr>
          <w:rtl w:val="0"/>
          <w:lang w:val="it-IT" w:eastAsia="it-IT"/>
        </w:rPr>
        <w:t xml:space="preserve"> hoặc thời hạn tạm giam vượt quá thời hạn theo quy định của </w:t>
      </w:r>
      <w:bookmarkStart w:id="15" w:name="tvpllink_sqyypjucfe_14"/>
      <w:r>
        <w:rPr>
          <w:rtl w:val="0"/>
          <w:lang w:val="it-IT" w:eastAsia="it-IT"/>
        </w:rPr>
        <w:t>Bộ luật tố tụng hình sự năm 2015</w:t>
      </w:r>
      <w:bookmarkEnd w:id="15"/>
      <w:r>
        <w:rPr>
          <w:rtl w:val="0"/>
          <w:lang w:val="it-IT" w:eastAsia="it-IT"/>
        </w:rPr>
        <w:t xml:space="preserve"> </w:t>
      </w:r>
      <w:r>
        <w:rPr>
          <w:rtl w:val="0"/>
          <w:lang w:val="it-IT" w:eastAsia="it-IT"/>
        </w:rPr>
        <w:t xml:space="preserve">thì Viện kiểm sát, Tòa án quyết định hủy bỏ biện pháp tạm giam đang áp dụng hoặc thay thế bằng biện pháp ngăn chặn khác theo quy định của </w:t>
      </w:r>
      <w:bookmarkStart w:id="16" w:name="tvpllink_sqyypjucfe_3"/>
      <w:r>
        <w:rPr>
          <w:rtl w:val="0"/>
          <w:lang w:val="it-IT" w:eastAsia="it-IT"/>
        </w:rPr>
        <w:t>Bộ luật tố tụng hình sự năm 2015</w:t>
      </w:r>
      <w:bookmarkEnd w:id="16"/>
      <w:r>
        <w:rPr>
          <w:rtl w:val="0"/>
          <w:lang w:val="pt-BR" w:eastAsia="pt-BR"/>
        </w:rPr>
        <w:t>;</w:t>
      </w:r>
    </w:p>
    <w:p>
      <w:pPr>
        <w:bidi w:val="0"/>
        <w:spacing w:after="120" w:afterAutospacing="0"/>
      </w:pPr>
      <w:r>
        <w:rPr>
          <w:rtl w:val="0"/>
          <w:lang w:val="it-IT" w:eastAsia="it-IT"/>
        </w:rPr>
        <w:t xml:space="preserve">4. Đối với những vụ án hình sự do cơ quan được giao nhiệm vụ tiến hành một số hoạt động điều tra đang tiến hành điều tra nhưng đến </w:t>
      </w:r>
      <w:bookmarkStart w:id="17" w:name="cumtu_5"/>
      <w:r>
        <w:rPr>
          <w:rtl w:val="0"/>
          <w:lang w:val="it-IT" w:eastAsia="it-IT"/>
        </w:rPr>
        <w:t>ngày 01 tháng 7 năm 2016</w:t>
      </w:r>
      <w:bookmarkEnd w:id="17"/>
      <w:r>
        <w:rPr>
          <w:rtl w:val="0"/>
          <w:lang w:val="it-IT" w:eastAsia="it-IT"/>
        </w:rPr>
        <w:t xml:space="preserve"> chưa kết thúc điều tra thì thời hạn điều tra được thực hiện theo quy định của </w:t>
      </w:r>
      <w:bookmarkStart w:id="18" w:name="tvpllink_sqyypjucfe_4"/>
      <w:r>
        <w:rPr>
          <w:rtl w:val="0"/>
          <w:lang w:val="it-IT" w:eastAsia="it-IT"/>
        </w:rPr>
        <w:t>Bộ luật tố tụng hình sự năm 2015</w:t>
      </w:r>
      <w:bookmarkEnd w:id="18"/>
      <w:r>
        <w:rPr>
          <w:rtl w:val="0"/>
          <w:lang w:val="it-IT" w:eastAsia="it-IT"/>
        </w:rPr>
        <w:t>;</w:t>
      </w:r>
    </w:p>
    <w:p>
      <w:pPr>
        <w:bidi w:val="0"/>
        <w:spacing w:after="120" w:afterAutospacing="0"/>
      </w:pPr>
      <w:r>
        <w:rPr>
          <w:rtl w:val="0"/>
          <w:lang w:val="it-IT" w:eastAsia="it-IT"/>
        </w:rPr>
        <w:t xml:space="preserve">5. Đối với những vụ án hình sự đang trong quá trình điều tra, truy tố, xét xử theo thủ tục rút gọn nhưng đến </w:t>
      </w:r>
      <w:bookmarkStart w:id="19" w:name="cumtu_6"/>
      <w:r>
        <w:rPr>
          <w:rtl w:val="0"/>
          <w:lang w:val="it-IT" w:eastAsia="it-IT"/>
        </w:rPr>
        <w:t>ngày 01 tháng 7 năm 2016</w:t>
      </w:r>
      <w:bookmarkEnd w:id="19"/>
      <w:r>
        <w:rPr>
          <w:rtl w:val="0"/>
          <w:lang w:val="it-IT" w:eastAsia="it-IT"/>
        </w:rPr>
        <w:t xml:space="preserve"> chưa kết thúc điều tra, chưa quyết định việc truy tố hoặc chưa đưa vụ án ra xét xử sơ thẩm thì thời hạn điều tra, truy tố, xét xử được tính theo thời hạn của </w:t>
      </w:r>
      <w:bookmarkStart w:id="20" w:name="tvpllink_sqyypjucfe_5"/>
      <w:r>
        <w:rPr>
          <w:rtl w:val="0"/>
          <w:lang w:val="it-IT" w:eastAsia="it-IT"/>
        </w:rPr>
        <w:t>Bộ luật tố tụng hình sự năm 2015</w:t>
      </w:r>
      <w:bookmarkEnd w:id="20"/>
      <w:r>
        <w:rPr>
          <w:rtl w:val="0"/>
          <w:lang w:val="it-IT" w:eastAsia="it-IT"/>
        </w:rPr>
        <w:t>.</w:t>
      </w:r>
    </w:p>
    <w:p>
      <w:pPr>
        <w:bidi w:val="0"/>
        <w:spacing w:after="120" w:afterAutospacing="0"/>
      </w:pPr>
      <w:r>
        <w:rPr>
          <w:rtl w:val="0"/>
          <w:lang w:val="it-IT" w:eastAsia="it-IT"/>
        </w:rPr>
        <w:t xml:space="preserve">Đối với những bản án sơ thẩm chưa có hiệu lực pháp luật bị kháng cáo, kháng nghị trước </w:t>
      </w:r>
      <w:bookmarkStart w:id="21" w:name="cumtu_7"/>
      <w:r>
        <w:rPr>
          <w:rtl w:val="0"/>
          <w:lang w:val="it-IT" w:eastAsia="it-IT"/>
        </w:rPr>
        <w:t>ngày 01 tháng 7 năm 2016</w:t>
      </w:r>
      <w:bookmarkEnd w:id="21"/>
      <w:r>
        <w:rPr>
          <w:rtl w:val="0"/>
          <w:lang w:val="it-IT" w:eastAsia="it-IT"/>
        </w:rPr>
        <w:t xml:space="preserve"> và thuộc trường hợp quy định tại </w:t>
      </w:r>
      <w:bookmarkStart w:id="22" w:name="dc_8"/>
      <w:r>
        <w:rPr>
          <w:rtl w:val="0"/>
          <w:lang w:val="it-IT" w:eastAsia="it-IT"/>
        </w:rPr>
        <w:t xml:space="preserve">khoản 2 Điều 456 của Bộ luật tố tụng hình sự năm 2015 </w:t>
      </w:r>
      <w:bookmarkEnd w:id="22"/>
      <w:r>
        <w:rPr>
          <w:rtl w:val="0"/>
          <w:lang w:val="it-IT" w:eastAsia="it-IT"/>
        </w:rPr>
        <w:t xml:space="preserve">nhưng kể từ </w:t>
      </w:r>
      <w:bookmarkStart w:id="23" w:name="cumtu_8"/>
      <w:r>
        <w:rPr>
          <w:rtl w:val="0"/>
          <w:lang w:val="it-IT" w:eastAsia="it-IT"/>
        </w:rPr>
        <w:t>ngày 01 tháng 7 năm 2016</w:t>
      </w:r>
      <w:bookmarkEnd w:id="23"/>
      <w:r>
        <w:rPr>
          <w:rtl w:val="0"/>
          <w:lang w:val="it-IT" w:eastAsia="it-IT"/>
        </w:rPr>
        <w:t xml:space="preserve"> mới xét xử thì áp dụng thủ tục rút gọn theo quy định của </w:t>
      </w:r>
      <w:bookmarkStart w:id="24" w:name="tvpllink_sqyypjucfe_6"/>
      <w:r>
        <w:rPr>
          <w:rtl w:val="0"/>
          <w:lang w:val="it-IT" w:eastAsia="it-IT"/>
        </w:rPr>
        <w:t>Bộ luật tố tụng hình sự năm 2015</w:t>
      </w:r>
      <w:bookmarkEnd w:id="24"/>
      <w:r>
        <w:rPr>
          <w:rtl w:val="0"/>
          <w:lang w:val="it-IT" w:eastAsia="it-IT"/>
        </w:rPr>
        <w:t xml:space="preserve"> để giải quyết;</w:t>
      </w:r>
    </w:p>
    <w:p>
      <w:pPr>
        <w:bidi w:val="0"/>
        <w:spacing w:after="120" w:afterAutospacing="0"/>
      </w:pPr>
      <w:r>
        <w:rPr>
          <w:rtl w:val="0"/>
          <w:lang w:val="it-IT" w:eastAsia="it-IT"/>
        </w:rPr>
        <w:t xml:space="preserve">6. Đối với những vụ án hình sự đã xét xử sơ thẩm theo quy định tại </w:t>
      </w:r>
      <w:bookmarkStart w:id="25" w:name="tvpllink_rhjegoumpn_6"/>
      <w:r>
        <w:rPr>
          <w:rtl w:val="0"/>
          <w:lang w:val="it-IT" w:eastAsia="it-IT"/>
        </w:rPr>
        <w:t>Bộ luật tố tụng hình sự năm 2003</w:t>
      </w:r>
      <w:bookmarkEnd w:id="25"/>
      <w:r>
        <w:rPr>
          <w:rtl w:val="0"/>
          <w:lang w:val="it-IT" w:eastAsia="it-IT"/>
        </w:rPr>
        <w:t xml:space="preserve"> mà có kháng cáo, kháng nghị trước </w:t>
      </w:r>
      <w:bookmarkStart w:id="26" w:name="cumtu_9"/>
      <w:r>
        <w:rPr>
          <w:rtl w:val="0"/>
          <w:lang w:val="it-IT" w:eastAsia="it-IT"/>
        </w:rPr>
        <w:t>ngày 01 tháng 7 năm 2016</w:t>
      </w:r>
      <w:bookmarkEnd w:id="26"/>
      <w:r>
        <w:rPr>
          <w:rtl w:val="0"/>
          <w:lang w:val="it-IT" w:eastAsia="it-IT"/>
        </w:rPr>
        <w:t xml:space="preserve"> nhưng kể từ </w:t>
      </w:r>
      <w:bookmarkStart w:id="27" w:name="cumtu_12"/>
      <w:r>
        <w:rPr>
          <w:rtl w:val="0"/>
          <w:lang w:val="it-IT" w:eastAsia="it-IT"/>
        </w:rPr>
        <w:t>ngày 01 tháng 7 năm 2016</w:t>
      </w:r>
      <w:bookmarkEnd w:id="27"/>
      <w:r>
        <w:rPr>
          <w:rtl w:val="0"/>
          <w:lang w:val="it-IT" w:eastAsia="it-IT"/>
        </w:rPr>
        <w:t xml:space="preserve"> mới xét xử phúc thẩm thì áp dụng </w:t>
      </w:r>
      <w:bookmarkStart w:id="28" w:name="tvpllink_sqyypjucfe_7"/>
      <w:r>
        <w:rPr>
          <w:rtl w:val="0"/>
          <w:lang w:val="it-IT" w:eastAsia="it-IT"/>
        </w:rPr>
        <w:t>Bộ luật tố tụng hình sự năm 2015</w:t>
      </w:r>
      <w:bookmarkEnd w:id="28"/>
      <w:r>
        <w:rPr>
          <w:rtl w:val="0"/>
          <w:lang w:val="it-IT" w:eastAsia="it-IT"/>
        </w:rPr>
        <w:t xml:space="preserve"> để giải quyết.</w:t>
      </w:r>
    </w:p>
    <w:p>
      <w:pPr>
        <w:bidi w:val="0"/>
        <w:spacing w:after="120" w:afterAutospacing="0"/>
      </w:pPr>
      <w:r>
        <w:rPr>
          <w:rtl w:val="0"/>
          <w:lang w:val="it-IT" w:eastAsia="it-IT"/>
        </w:rPr>
        <w:t xml:space="preserve">Đối với bản án, quyết định của Tòa án đã có hiệu lực pháp luật theo quy định tại </w:t>
      </w:r>
      <w:bookmarkStart w:id="29" w:name="tvpllink_rhjegoumpn_3"/>
      <w:r>
        <w:rPr>
          <w:rtl w:val="0"/>
          <w:lang w:val="it-IT" w:eastAsia="it-IT"/>
        </w:rPr>
        <w:t>Bộ luật tố tụng hình sự năm 2003</w:t>
      </w:r>
      <w:bookmarkEnd w:id="29"/>
      <w:r>
        <w:rPr>
          <w:rtl w:val="0"/>
          <w:lang w:val="it-IT" w:eastAsia="it-IT"/>
        </w:rPr>
        <w:t xml:space="preserve"> mà có kháng nghị giám đốc thẩm, tái thẩm trước </w:t>
      </w:r>
      <w:bookmarkStart w:id="30" w:name="cumtu_10"/>
      <w:r>
        <w:rPr>
          <w:rtl w:val="0"/>
          <w:lang w:val="it-IT" w:eastAsia="it-IT"/>
        </w:rPr>
        <w:t>ngày 01 tháng 7 năm 2016</w:t>
      </w:r>
      <w:bookmarkEnd w:id="30"/>
      <w:r>
        <w:rPr>
          <w:rtl w:val="0"/>
          <w:lang w:val="it-IT" w:eastAsia="it-IT"/>
        </w:rPr>
        <w:t xml:space="preserve"> nhưng chưa giải quyết hoặc kể từ </w:t>
      </w:r>
      <w:bookmarkStart w:id="31" w:name="cumtu_13"/>
      <w:r>
        <w:rPr>
          <w:rtl w:val="0"/>
          <w:lang w:val="it-IT" w:eastAsia="it-IT"/>
        </w:rPr>
        <w:t>ngày 01 tháng 7 năm 2016</w:t>
      </w:r>
      <w:bookmarkEnd w:id="31"/>
      <w:r>
        <w:rPr>
          <w:rtl w:val="0"/>
          <w:lang w:val="it-IT" w:eastAsia="it-IT"/>
        </w:rPr>
        <w:t xml:space="preserve"> mới có kháng nghị giám đốc thẩm, tái thẩm thì áp dụng </w:t>
      </w:r>
      <w:bookmarkStart w:id="32" w:name="tvpllink_sqyypjucfe_8"/>
      <w:r>
        <w:rPr>
          <w:rtl w:val="0"/>
          <w:lang w:val="it-IT" w:eastAsia="it-IT"/>
        </w:rPr>
        <w:t>Bộ luật tố tụng hình sự năm 2015</w:t>
      </w:r>
      <w:bookmarkEnd w:id="32"/>
      <w:r>
        <w:rPr>
          <w:rtl w:val="0"/>
          <w:lang w:val="it-IT" w:eastAsia="it-IT"/>
        </w:rPr>
        <w:t xml:space="preserve"> để giải quyết;</w:t>
      </w:r>
    </w:p>
    <w:p>
      <w:pPr>
        <w:bidi w:val="0"/>
        <w:spacing w:after="120" w:afterAutospacing="0"/>
      </w:pPr>
      <w:r>
        <w:rPr>
          <w:rtl w:val="0"/>
          <w:lang w:val="it-IT" w:eastAsia="it-IT"/>
        </w:rPr>
        <w:t xml:space="preserve">7. Đối với những trường hợp đã được cấp giấy chứng nhận người bào chữa theo quy định của </w:t>
      </w:r>
      <w:bookmarkStart w:id="33" w:name="tvpllink_rhjegoumpn_4"/>
      <w:r>
        <w:rPr>
          <w:rtl w:val="0"/>
          <w:lang w:val="it-IT" w:eastAsia="it-IT"/>
        </w:rPr>
        <w:t>Bộ luật tố tụng hình sự năm 2003</w:t>
      </w:r>
      <w:bookmarkEnd w:id="33"/>
      <w:r>
        <w:rPr>
          <w:rtl w:val="0"/>
          <w:lang w:val="it-IT" w:eastAsia="it-IT"/>
        </w:rPr>
        <w:t xml:space="preserve"> thì người bào chữa tiếp tục sử dụng cho đến khi kết thúc việc bào chữa;</w:t>
      </w:r>
    </w:p>
    <w:p>
      <w:pPr>
        <w:bidi w:val="0"/>
        <w:spacing w:after="120" w:afterAutospacing="0"/>
      </w:pPr>
      <w:r>
        <w:rPr>
          <w:rtl w:val="0"/>
          <w:lang w:val="it-IT" w:eastAsia="it-IT"/>
        </w:rPr>
        <w:t>8. Tòa án tiếp tục áp dụng các quy định pháp luật hiện hành về án phí, lệ phí Tòa án và các chi phí tố tụng khác cho đến khi có quy định mới của cơ quan có thẩm quyền.</w:t>
      </w:r>
    </w:p>
    <w:p>
      <w:pPr>
        <w:bidi w:val="0"/>
        <w:spacing w:after="120" w:afterAutospacing="0"/>
      </w:pPr>
      <w:r>
        <w:rPr>
          <w:b/>
          <w:bCs/>
          <w:rtl w:val="0"/>
          <w:lang w:val="it-IT" w:eastAsia="it-IT"/>
        </w:rPr>
        <w:t>Điều 2</w:t>
      </w:r>
    </w:p>
    <w:p>
      <w:pPr>
        <w:bidi w:val="0"/>
        <w:spacing w:after="120" w:afterAutospacing="0"/>
      </w:pPr>
      <w:bookmarkStart w:id="34" w:name="khoan_1_2"/>
      <w:r>
        <w:rPr>
          <w:rtl w:val="0"/>
          <w:lang w:val="it-IT" w:eastAsia="it-IT"/>
        </w:rPr>
        <w:t xml:space="preserve">1. Giao Chính phủ </w:t>
      </w:r>
      <w:r>
        <w:rPr>
          <w:rtl w:val="0"/>
        </w:rPr>
        <w:t xml:space="preserve">đầu tư kinh phí để </w:t>
      </w:r>
      <w:bookmarkEnd w:id="34"/>
      <w:r>
        <w:rPr>
          <w:rtl w:val="0"/>
          <w:lang w:val="it-IT" w:eastAsia="it-IT"/>
        </w:rPr>
        <w:t xml:space="preserve">bảo đảm việc thực hiện các quy định về chỉ định người bào chữa, </w:t>
      </w:r>
      <w:r>
        <w:rPr>
          <w:rtl w:val="0"/>
        </w:rPr>
        <w:t xml:space="preserve">ghi âm hoặc ghi hình </w:t>
      </w:r>
      <w:r>
        <w:rPr>
          <w:rtl w:val="0"/>
          <w:lang w:val="it-IT" w:eastAsia="it-IT"/>
        </w:rPr>
        <w:t>có âm thanh việc hỏi cung bị can, sao chép, số hóa tài liệu trong hồ sơ vụ án hình sự, giám định tư pháp và hoạt động điều tra, truy tố, xét xử, thi hành án.</w:t>
      </w:r>
    </w:p>
    <w:p>
      <w:pPr>
        <w:bidi w:val="0"/>
        <w:spacing w:after="120" w:afterAutospacing="0"/>
      </w:pPr>
      <w:r>
        <w:rPr>
          <w:rtl w:val="0"/>
          <w:lang w:val="it-IT" w:eastAsia="it-IT"/>
        </w:rPr>
        <w:t>Giao Bộ trưởng Bộ Công an chủ trì, phối hợp với Bộ trưởng Bộ Quốc phòng, Viện trưởng Viện kiểm sát nhân dân tối cao và Chánh án Tòa án nhân dân tối cao hướng dẫn trình tự, thủ tục thực hiện ghi âm hoặc ghi hình có âm thanh việc hỏi cung bị can; sử dụng, bảo quản, lưu trữ kết quả ghi âm hoặc ghi hình có âm thanh việc hỏi cung bị can trong quá trình điều tra, truy tố, xét xử.</w:t>
      </w:r>
    </w:p>
    <w:p>
      <w:pPr>
        <w:bidi w:val="0"/>
        <w:spacing w:after="120" w:afterAutospacing="0"/>
      </w:pPr>
      <w:r>
        <w:rPr>
          <w:rtl w:val="0"/>
          <w:lang w:val="it-IT" w:eastAsia="it-IT"/>
        </w:rPr>
        <w:t xml:space="preserve">Giao Bộ trưởng Bộ Công an chủ trì, phối hợp với Viện trưởng Viện kiểm sát nhân dân tối cao, Chánh án Tòa án nhân dân tối cao, Bộ trưởng Bộ Quốc phòng, Bộ trưởng Bộ Kế hoạch và Đầu tư, Bộ trưởng Bộ Tài chính và Bộ trưởng Bộ Nội vụ xây dựng đề án về cơ sở vật chất, bộ máy, cán bộ và lộ trình cụ thể thực hiện việc ghi âm hoặc ghi hình có âm thanh việc hỏi cung bị can theo quy định của </w:t>
      </w:r>
      <w:bookmarkStart w:id="35" w:name="tvpllink_sqyypjucfe_9"/>
      <w:r>
        <w:rPr>
          <w:rtl w:val="0"/>
          <w:lang w:val="it-IT" w:eastAsia="it-IT"/>
        </w:rPr>
        <w:t>Bộ luật tố tụng hình sự năm 2015</w:t>
      </w:r>
      <w:bookmarkEnd w:id="35"/>
      <w:r>
        <w:rPr>
          <w:rtl w:val="0"/>
          <w:lang w:val="it-IT" w:eastAsia="it-IT"/>
        </w:rPr>
        <w:t>.</w:t>
      </w:r>
    </w:p>
    <w:p>
      <w:pPr>
        <w:bidi w:val="0"/>
        <w:spacing w:after="120" w:afterAutospacing="0"/>
      </w:pPr>
      <w:r>
        <w:rPr>
          <w:rtl w:val="0"/>
          <w:lang w:val="it-IT" w:eastAsia="it-IT"/>
        </w:rPr>
        <w:t xml:space="preserve">Giao Bộ trưởng Bộ Công an quyết định cụ thể nơi có điều kiện để thực hiện việc ghi âm hoặc ghi hình có âm thanh hoạt động hỏi cung bị can kể từ </w:t>
      </w:r>
      <w:bookmarkStart w:id="36" w:name="cumtu_11"/>
      <w:r>
        <w:rPr>
          <w:rtl w:val="0"/>
          <w:lang w:val="it-IT" w:eastAsia="it-IT"/>
        </w:rPr>
        <w:t>ngày 01 tháng 7 năm 2016</w:t>
      </w:r>
      <w:bookmarkEnd w:id="36"/>
      <w:r>
        <w:rPr>
          <w:rtl w:val="0"/>
          <w:lang w:val="it-IT" w:eastAsia="it-IT"/>
        </w:rPr>
        <w:t xml:space="preserve">. Chậm nhất đến </w:t>
      </w:r>
      <w:bookmarkStart w:id="37" w:name="cumtu_14"/>
      <w:r>
        <w:rPr>
          <w:rtl w:val="0"/>
          <w:lang w:val="it-IT" w:eastAsia="it-IT"/>
        </w:rPr>
        <w:t>ngày 01 tháng 01 năm 2019</w:t>
      </w:r>
      <w:bookmarkEnd w:id="37"/>
      <w:r>
        <w:rPr>
          <w:rtl w:val="0"/>
          <w:lang w:val="it-IT" w:eastAsia="it-IT"/>
        </w:rPr>
        <w:t xml:space="preserve"> thì thực hiện thống nhất việc ghi âm hoặc ghi hình có âm thanh việc hỏi cung bị can trên phạm vi toàn quốc.</w:t>
      </w:r>
    </w:p>
    <w:p>
      <w:pPr>
        <w:bidi w:val="0"/>
        <w:spacing w:after="120" w:afterAutospacing="0"/>
      </w:pPr>
      <w:r>
        <w:rPr>
          <w:rtl w:val="0"/>
          <w:lang w:val="it-IT" w:eastAsia="it-IT"/>
        </w:rPr>
        <w:t xml:space="preserve">2. Giao Chính phủ, Tòa án nhân dân tối cao, Viện kiểm sát nhân dân tối cao trong phạm vi chức năng, nhiệm vụ, quyền hạn của mình, tự mình hoặc phối hợp với các cơ quan hữu quan tổ chức việc rà soát các văn bản quy định chi tiết và hướng dẫn thi hành </w:t>
      </w:r>
      <w:bookmarkStart w:id="38" w:name="tvpllink_rhjegoumpn_5"/>
      <w:r>
        <w:rPr>
          <w:rtl w:val="0"/>
          <w:lang w:val="it-IT" w:eastAsia="it-IT"/>
        </w:rPr>
        <w:t>Bộ luật tố tụng hình sự năm 2003</w:t>
      </w:r>
      <w:bookmarkEnd w:id="38"/>
      <w:r>
        <w:rPr>
          <w:rtl w:val="0"/>
          <w:lang w:val="it-IT" w:eastAsia="it-IT"/>
        </w:rPr>
        <w:t xml:space="preserve"> để bãi bỏ, sửa đổi, bổ sung hoặc ban hành văn bản mới; đề nghị Quốc hội, Ủy ban thường vụ Quốc hội và các cơ quan hữu quan bãi bỏ, sửa đổi, bổ sung hoặc ban hành văn bản mới cho phù hợp với quy định của </w:t>
      </w:r>
      <w:bookmarkStart w:id="39" w:name="tvpllink_sqyypjucfe_10"/>
      <w:r>
        <w:rPr>
          <w:rtl w:val="0"/>
          <w:lang w:val="it-IT" w:eastAsia="it-IT"/>
        </w:rPr>
        <w:t>Bộ luật tố tụng hình sự năm 2015</w:t>
      </w:r>
      <w:bookmarkEnd w:id="39"/>
      <w:r>
        <w:rPr>
          <w:rtl w:val="0"/>
          <w:lang w:val="it-IT" w:eastAsia="it-IT"/>
        </w:rPr>
        <w:t>.</w:t>
      </w:r>
    </w:p>
    <w:p>
      <w:pPr>
        <w:bidi w:val="0"/>
        <w:spacing w:after="120" w:afterAutospacing="0"/>
      </w:pPr>
      <w:r>
        <w:rPr>
          <w:rtl w:val="0"/>
          <w:lang w:val="it-IT" w:eastAsia="it-IT"/>
        </w:rPr>
        <w:t xml:space="preserve">3. Chính phủ, Tòa án nhân dân tối cao, Viện kiểm sát nhân dân tối cao trong phạm vi chức năng, nhiệm vụ, quyền hạn của mình khẩn trương kiện toàn tổ chức bộ máy, cán bộ, công chức, cơ sở vật chất; bổ sung, đào tạo, bồi dưỡng nghiệp vụ đối với đội ngũ cán bộ, công chức của Cơ quan điều tra, Tòa án nhân dân, Viện kiểm sát nhân dân, cơ quan thi hành án và các cơ quan bổ trợ tư pháp; bổ sung các điều kiện cần thiết khác để bảo đảm đáp ứng yêu cầu giải quyết các vụ án hình sự và thi hành án hình sự khi </w:t>
      </w:r>
      <w:bookmarkStart w:id="40" w:name="tvpllink_sqyypjucfe_11"/>
      <w:r>
        <w:rPr>
          <w:rtl w:val="0"/>
          <w:lang w:val="it-IT" w:eastAsia="it-IT"/>
        </w:rPr>
        <w:t>Bộ luật tố tụng hình sự năm 2015</w:t>
      </w:r>
      <w:bookmarkEnd w:id="40"/>
      <w:r>
        <w:rPr>
          <w:rtl w:val="0"/>
          <w:lang w:val="it-IT" w:eastAsia="it-IT"/>
        </w:rPr>
        <w:t xml:space="preserve"> có hiệu lực thi hành; phối hợp với Ủy ban trung ương Mặt trận Tổ quốc Việt Nam và các tổ chức thành viên của Mặt trận tuyên truyền, phổ biến rộng rãi </w:t>
      </w:r>
      <w:bookmarkStart w:id="41" w:name="tvpllink_sqyypjucfe_12"/>
      <w:r>
        <w:rPr>
          <w:rtl w:val="0"/>
          <w:lang w:val="it-IT" w:eastAsia="it-IT"/>
        </w:rPr>
        <w:t>Bộ luật tố tụng hình sự năm 2015</w:t>
      </w:r>
      <w:bookmarkEnd w:id="41"/>
      <w:r>
        <w:rPr>
          <w:rtl w:val="0"/>
          <w:lang w:val="it-IT" w:eastAsia="it-IT"/>
        </w:rPr>
        <w:t xml:space="preserve"> trong cán bộ, công chức, viên chức và Nhân dân nhằm phát huy hiệu quả của Bộ luật này trong đấu tranh phòng, chống tội phạm.</w:t>
      </w:r>
    </w:p>
    <w:p>
      <w:pPr>
        <w:bidi w:val="0"/>
        <w:spacing w:after="120" w:afterAutospacing="0"/>
      </w:pPr>
      <w:r>
        <w:rPr>
          <w:b/>
          <w:bCs/>
          <w:rtl w:val="0"/>
          <w:lang w:val="it-IT" w:eastAsia="it-IT"/>
        </w:rPr>
        <w:t>Điều 3</w:t>
      </w:r>
    </w:p>
    <w:p>
      <w:pPr>
        <w:bidi w:val="0"/>
        <w:spacing w:after="120" w:afterAutospacing="0"/>
      </w:pPr>
      <w:r>
        <w:rPr>
          <w:rtl w:val="0"/>
          <w:lang w:val="it-IT" w:eastAsia="it-IT"/>
        </w:rPr>
        <w:t>Chính phủ, Viện kiểm sát nhân dân tối cao, Tòa án nhân dân tối cao có trách nhiệm thực hiện và hướng dẫn thi hành Nghị quyết này.</w:t>
      </w:r>
    </w:p>
    <w:p>
      <w:pPr>
        <w:bidi w:val="0"/>
        <w:spacing w:after="120" w:afterAutospacing="0"/>
      </w:pPr>
      <w:r>
        <w:rPr>
          <w:i/>
          <w:iCs/>
          <w:rtl w:val="0"/>
          <w:lang w:val="it-IT" w:eastAsia="it-IT"/>
        </w:rPr>
        <w:t>Nghị quyết này đã được Quốc hội nước Cộng hòa xã hội chủ nghĩa Việt Nam khóa XIII, kỳ họp thứ 10 thông qua ngày 27 tháng 11 năm 2015.</w:t>
      </w:r>
    </w:p>
    <w:p>
      <w:pPr>
        <w:bidi w:val="0"/>
        <w:spacing w:after="120" w:afterAutospacing="0"/>
      </w:pPr>
      <w:r>
        <w:rPr>
          <w:i/>
          <w:iCs/>
          <w:rtl w:val="0"/>
          <w:lang w:val="it-IT" w:eastAsia="it-IT"/>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rtl w:val="0"/>
              </w:rPr>
              <w:br/>
            </w:r>
            <w:r>
              <w:rPr>
                <w:rtl w:val="0"/>
              </w:rPr>
              <w:br/>
            </w:r>
            <w:r>
              <w:rPr>
                <w:rtl w:val="0"/>
              </w:rPr>
              <w:br/>
            </w:r>
            <w:r>
              <w:rPr>
                <w:b/>
                <w:bCs/>
                <w:rtl w:val="0"/>
              </w:rPr>
              <w:br/>
            </w:r>
            <w:r>
              <w:rPr>
                <w:b/>
                <w:bCs/>
                <w:rtl w:val="0"/>
              </w:rPr>
              <w:br/>
            </w:r>
            <w:r>
              <w:rPr>
                <w:b/>
                <w:bCs/>
                <w:rtl w:val="0"/>
              </w:rPr>
              <w:t>Nguyễn Sinh Hùng</w:t>
            </w:r>
          </w:p>
        </w:tc>
      </w:tr>
    </w:tbl>
    <w:p>
      <w:pPr>
        <w:bidi w:val="0"/>
        <w:spacing w:after="120" w:afterAutospacing="0"/>
      </w:pPr>
      <w:r>
        <w:rPr>
          <w:i/>
          <w:iCs/>
          <w:rtl w:val="0"/>
          <w:lang w:val="it-IT" w:eastAsia="it-IT"/>
        </w:rPr>
        <w:t> </w:t>
      </w:r>
    </w:p>
    <w:p>
      <w:pPr>
        <w:bidi w:val="0"/>
        <w:spacing w:after="120" w:afterAutospacing="0"/>
        <w:rPr>
          <w:rtl w:val="0"/>
        </w:rPr>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