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99/2024/NĐ-CP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26 tháng 7 năm 2024</w:t>
            </w:r>
          </w:p>
        </w:tc>
      </w:tr>
    </w:tbl>
    <w:p>
      <w:pPr>
        <w:bidi w:val="0"/>
        <w:spacing w:before="120" w:beforeAutospacing="0" w:after="280" w:afterAutospacing="1"/>
      </w:pPr>
      <w:r>
        <w:rPr>
          <w:rtl w:val="0"/>
        </w:rPr>
        <w:t> </w:t>
      </w:r>
    </w:p>
    <w:p>
      <w:pPr>
        <w:bidi w:val="0"/>
        <w:spacing w:before="120" w:beforeAutospacing="0" w:after="280" w:afterAutospacing="1"/>
        <w:jc w:val="center"/>
        <w:rPr>
          <w:rtl w:val="0"/>
        </w:rP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SỬA ĐỔI, BỔ SUNG ĐIỂM P KHOẢN 1 ĐIỀU 2 NGHỊ ĐỊNH SỐ 83/2022/NĐ-CP NGÀY 18 THÁNG 10 NĂM 2022 CỦA CHÍNH PHỦ QUY ĐỊNH VỀ NGHỈ HƯU Ở TUỔI CAO HƠN ĐỐI VỚI CÁN BỘ, CÔNG CHỨC GIỮ CHỨC VỤ LÃNH ĐẠO, QUẢN LÝ</w:t>
      </w:r>
      <w:bookmarkEnd w:id="1"/>
    </w:p>
    <w:p>
      <w:pPr>
        <w:bidi w:val="0"/>
        <w:spacing w:before="120" w:beforeAutospacing="0" w:after="280" w:afterAutospacing="1"/>
        <w:rPr>
          <w:rtl w:val="0"/>
        </w:rPr>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rPr>
          <w:rtl w:val="0"/>
        </w:rPr>
      </w:pPr>
      <w:r>
        <w:rPr>
          <w:i/>
          <w:iCs/>
          <w:rtl w:val="0"/>
        </w:rPr>
        <w:t xml:space="preserve">Căn cứ </w:t>
      </w:r>
      <w:bookmarkStart w:id="4" w:name="tvpllink_nbilipmzhq"/>
      <w:r>
        <w:rPr>
          <w:i/>
          <w:iCs/>
          <w:rtl w:val="0"/>
        </w:rPr>
        <w:t>Bộ luật Lao động</w:t>
      </w:r>
      <w:bookmarkEnd w:id="4"/>
      <w:r>
        <w:rPr>
          <w:i/>
          <w:iCs/>
          <w:rtl w:val="0"/>
        </w:rPr>
        <w:t xml:space="preserve"> ngày 20 tháng 11 năm 2019;</w:t>
      </w:r>
    </w:p>
    <w:p>
      <w:pPr>
        <w:bidi w:val="0"/>
        <w:spacing w:before="120" w:beforeAutospacing="0" w:after="280" w:afterAutospacing="1"/>
        <w:rPr>
          <w:rtl w:val="0"/>
        </w:rPr>
      </w:pPr>
      <w:r>
        <w:rPr>
          <w:i/>
          <w:iCs/>
          <w:rtl w:val="0"/>
        </w:rPr>
        <w:t xml:space="preserve">Căn cứ </w:t>
      </w:r>
      <w:bookmarkStart w:id="5" w:name="tvpllink_gumcmwraco"/>
      <w:r>
        <w:rPr>
          <w:i/>
          <w:iCs/>
          <w:rtl w:val="0"/>
        </w:rPr>
        <w:t>Luật Cán bộ, công chức</w:t>
      </w:r>
      <w:bookmarkEnd w:id="5"/>
      <w:r>
        <w:rPr>
          <w:i/>
          <w:iCs/>
          <w:rtl w:val="0"/>
        </w:rPr>
        <w:t xml:space="preserve"> ngày 13 tháng 11 năm 2008; </w:t>
      </w:r>
      <w:bookmarkStart w:id="6" w:name="tvpllink_txueccitjt"/>
      <w:r>
        <w:rPr>
          <w:i/>
          <w:iCs/>
          <w:rtl w:val="0"/>
        </w:rPr>
        <w:t>Luật sửa đổi, bổ sung một số điều của Luật Cán bộ, công chức và Luật Viên chức</w:t>
      </w:r>
      <w:bookmarkEnd w:id="6"/>
      <w:r>
        <w:rPr>
          <w:i/>
          <w:iCs/>
          <w:rtl w:val="0"/>
        </w:rPr>
        <w:t xml:space="preserve"> ngày 25 tháng 11 năm 2019;</w:t>
      </w:r>
    </w:p>
    <w:p>
      <w:pPr>
        <w:bidi w:val="0"/>
        <w:spacing w:before="120" w:beforeAutospacing="0" w:after="280" w:afterAutospacing="1"/>
        <w:rPr>
          <w:rtl w:val="0"/>
        </w:rPr>
      </w:pPr>
      <w:r>
        <w:rPr>
          <w:i/>
          <w:iCs/>
          <w:rtl w:val="0"/>
        </w:rPr>
        <w:t>Theo đề nghị của Bộ trưởng Bộ Nội vụ;</w:t>
      </w:r>
    </w:p>
    <w:p>
      <w:pPr>
        <w:bidi w:val="0"/>
        <w:spacing w:before="120" w:beforeAutospacing="0" w:after="280" w:afterAutospacing="1"/>
        <w:rPr>
          <w:rtl w:val="0"/>
        </w:rPr>
      </w:pPr>
      <w:r>
        <w:rPr>
          <w:i/>
          <w:iCs/>
          <w:rtl w:val="0"/>
        </w:rPr>
        <w:t xml:space="preserve">Chính phủ ban hành Nghị định sửa đổi, bổ sung điểm p khoản 1 Điều 2 Nghị định số </w:t>
      </w:r>
      <w:bookmarkStart w:id="7" w:name="tvpllink_gtzfebkiyd"/>
      <w:r>
        <w:rPr>
          <w:i/>
          <w:iCs/>
          <w:rtl w:val="0"/>
        </w:rPr>
        <w:t>83/2022/NĐ-CP</w:t>
      </w:r>
      <w:bookmarkEnd w:id="7"/>
      <w:r>
        <w:rPr>
          <w:i/>
          <w:iCs/>
          <w:rtl w:val="0"/>
        </w:rPr>
        <w:t xml:space="preserve"> ngày 18 tháng 10 năm 2022 của Chính phủ quy định về nghỉ hưu ở tuổi cao hơn đối với cán bộ, công chức giữ chức vụ lãnh đạo, quản lý.</w:t>
      </w:r>
    </w:p>
    <w:p>
      <w:pPr>
        <w:bidi w:val="0"/>
        <w:spacing w:before="120" w:beforeAutospacing="0" w:after="280" w:afterAutospacing="1"/>
        <w:rPr>
          <w:rtl w:val="0"/>
        </w:rPr>
      </w:pPr>
      <w:bookmarkStart w:id="8" w:name="dieu_1"/>
      <w:r>
        <w:rPr>
          <w:b/>
          <w:bCs/>
          <w:rtl w:val="0"/>
        </w:rPr>
        <w:t>Điều 1. Sửa đổi</w:t>
      </w:r>
      <w:bookmarkEnd w:id="8"/>
      <w:r>
        <w:rPr>
          <w:b/>
          <w:bCs/>
          <w:rtl w:val="0"/>
        </w:rPr>
        <w:t xml:space="preserve"> </w:t>
      </w:r>
      <w:bookmarkStart w:id="9" w:name="dc_2"/>
      <w:r>
        <w:rPr>
          <w:b/>
          <w:bCs/>
          <w:rtl w:val="0"/>
        </w:rPr>
        <w:t>điểm p khoản 1 Điều 2 của Nghị định số 83/2022/NĐ-CP</w:t>
      </w:r>
      <w:bookmarkEnd w:id="9"/>
      <w:r>
        <w:rPr>
          <w:b/>
          <w:bCs/>
          <w:rtl w:val="0"/>
        </w:rPr>
        <w:t xml:space="preserve"> </w:t>
      </w:r>
      <w:bookmarkStart w:id="10" w:name="dieu_1_name"/>
      <w:r>
        <w:rPr>
          <w:b/>
          <w:bCs/>
          <w:rtl w:val="0"/>
        </w:rPr>
        <w:t>ngày 18 tháng 10 năm 2022 của Chính phủ quy định về nghỉ hưu ở tuổi cao hơn đối với cán bộ, công chức giữ chức vụ lãnh đạo, quản lý</w:t>
      </w:r>
      <w:bookmarkEnd w:id="10"/>
    </w:p>
    <w:p>
      <w:pPr>
        <w:bidi w:val="0"/>
        <w:spacing w:before="120" w:beforeAutospacing="0" w:after="280" w:afterAutospacing="1"/>
        <w:rPr>
          <w:rtl w:val="0"/>
        </w:rPr>
      </w:pPr>
      <w:r>
        <w:rPr>
          <w:rtl w:val="0"/>
        </w:rPr>
        <w:t>“p) Ủy viên Ban Thường vụ Thành ủy thành phố Hà Nội và Thành phố Hồ Chí Minh.”</w:t>
      </w:r>
    </w:p>
    <w:p>
      <w:pPr>
        <w:bidi w:val="0"/>
        <w:spacing w:before="120" w:beforeAutospacing="0" w:after="280" w:afterAutospacing="1"/>
        <w:rPr>
          <w:rtl w:val="0"/>
        </w:rPr>
      </w:pPr>
      <w:bookmarkStart w:id="11" w:name="dieu_2"/>
      <w:r>
        <w:rPr>
          <w:b/>
          <w:bCs/>
          <w:rtl w:val="0"/>
        </w:rPr>
        <w:t>Điều 2. Hiệu lực thi hành</w:t>
      </w:r>
      <w:bookmarkEnd w:id="11"/>
    </w:p>
    <w:p>
      <w:pPr>
        <w:bidi w:val="0"/>
        <w:spacing w:before="120" w:beforeAutospacing="0" w:after="280" w:afterAutospacing="1"/>
        <w:rPr>
          <w:rtl w:val="0"/>
        </w:rPr>
      </w:pPr>
      <w:r>
        <w:rPr>
          <w:rtl w:val="0"/>
        </w:rPr>
        <w:t>Nghị định này có hiệu lực thi hành kể từ ngày ký ban hành.</w:t>
      </w:r>
    </w:p>
    <w:p>
      <w:pPr>
        <w:bidi w:val="0"/>
        <w:spacing w:before="120" w:beforeAutospacing="0" w:after="280" w:afterAutospacing="1"/>
        <w:rPr>
          <w:rtl w:val="0"/>
        </w:rPr>
      </w:pPr>
      <w:bookmarkStart w:id="12" w:name="dieu_3"/>
      <w:r>
        <w:rPr>
          <w:b/>
          <w:bCs/>
          <w:rtl w:val="0"/>
        </w:rPr>
        <w:t>Điều 3. Trách nhiệm thi hành</w:t>
      </w:r>
      <w:bookmarkEnd w:id="12"/>
    </w:p>
    <w:p>
      <w:pPr>
        <w:bidi w:val="0"/>
        <w:spacing w:before="120" w:beforeAutospacing="0" w:after="280" w:afterAutospacing="1"/>
        <w:rPr>
          <w:rtl w:val="0"/>
        </w:rPr>
      </w:pPr>
      <w:r>
        <w:rPr>
          <w:rtl w:val="0"/>
        </w:rPr>
        <w:t>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TCCV (2b).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TM. CHÍNH PHỦ </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Phạm Minh Chính</w:t>
            </w:r>
          </w:p>
        </w:tc>
      </w:tr>
    </w:tbl>
    <w:p>
      <w:pPr>
        <w:bidi w:val="0"/>
        <w:spacing w:after="280" w:afterAutospacing="1"/>
        <w:rPr>
          <w:rtl w:val="0"/>
        </w:rPr>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