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Aptos" w:hAnsi="Aptos"/>
          <w:b/>
          <w:color w:val="111722"/>
          <w:sz w:val="46"/>
        </w:rPr>
        <w:t>VYTAL HOUSE BUSINESS PLAN</w:t>
      </w:r>
    </w:p>
    <w:p>
      <w:pPr>
        <w:jc w:val="center"/>
      </w:pPr>
      <w:r>
        <w:rPr>
          <w:rFonts w:ascii="Aptos" w:hAnsi="Aptos"/>
          <w:b/>
          <w:color w:val="C8A46B"/>
          <w:sz w:val="24"/>
        </w:rPr>
        <w:t>Recharge. Recover. Evolve.</w:t>
      </w:r>
    </w:p>
    <w:p>
      <w:pPr>
        <w:jc w:val="center"/>
      </w:pPr>
      <w:r>
        <w:rPr>
          <w:rFonts w:ascii="Aptos" w:hAnsi="Aptos"/>
          <w:b w:val="0"/>
          <w:color w:val="5C626E"/>
          <w:sz w:val="19"/>
        </w:rPr>
        <w:t>Draft operating plan | June 19, 2026 | Professional review required</w:t>
      </w:r>
    </w:p>
    <w:p>
      <w:pPr>
        <w:spacing w:before="240" w:after="120"/>
      </w:pPr>
      <w:r>
        <w:rPr>
          <w:rFonts w:ascii="Aptos" w:hAnsi="Aptos"/>
          <w:b/>
          <w:color w:val="111722"/>
          <w:sz w:val="34"/>
        </w:rPr>
        <w:t>Executive Summary</w:t>
      </w:r>
    </w:p>
    <w:p>
      <w:pPr>
        <w:spacing w:after="120" w:line="264" w:lineRule="auto"/>
      </w:pPr>
      <w:r>
        <w:rPr>
          <w:rFonts w:ascii="Aptos" w:hAnsi="Aptos"/>
          <w:b w:val="0"/>
          <w:color w:val="22262E"/>
          <w:sz w:val="21"/>
        </w:rPr>
        <w:t>VYTAL House is a premium recovery and wellness club for high-performance members in Maryland. The concept combines clinical-grade recovery modalities, a recurring membership model, concierge operations, and a dark cinematic lounge experience.</w:t>
      </w:r>
    </w:p>
    <w:p>
      <w:pPr>
        <w:pStyle w:val="ListBullet"/>
        <w:spacing w:after="80"/>
      </w:pPr>
      <w:r>
        <w:rPr>
          <w:rFonts w:ascii="Aptos" w:hAnsi="Aptos"/>
          <w:b w:val="0"/>
          <w:color w:val="22262E"/>
          <w:sz w:val="21"/>
        </w:rPr>
        <w:t>Brand: VYTAL House only.</w:t>
      </w:r>
    </w:p>
    <w:p>
      <w:pPr>
        <w:pStyle w:val="ListBullet"/>
        <w:spacing w:after="80"/>
      </w:pPr>
      <w:r>
        <w:rPr>
          <w:rFonts w:ascii="Aptos" w:hAnsi="Aptos"/>
          <w:b w:val="0"/>
          <w:color w:val="22262E"/>
          <w:sz w:val="21"/>
        </w:rPr>
        <w:t>Owners: Chauncey Gardner and Kathy Ha.</w:t>
      </w:r>
    </w:p>
    <w:p>
      <w:pPr>
        <w:pStyle w:val="ListBullet"/>
        <w:spacing w:after="80"/>
      </w:pPr>
      <w:r>
        <w:rPr>
          <w:rFonts w:ascii="Aptos" w:hAnsi="Aptos"/>
          <w:b w:val="0"/>
          <w:color w:val="22262E"/>
          <w:sz w:val="21"/>
        </w:rPr>
        <w:t>Promise: Recharge. Recover. Evolve.</w:t>
      </w:r>
    </w:p>
    <w:p>
      <w:pPr>
        <w:pStyle w:val="ListBullet"/>
        <w:spacing w:after="80"/>
      </w:pPr>
      <w:r>
        <w:rPr>
          <w:rFonts w:ascii="Aptos" w:hAnsi="Aptos"/>
          <w:b w:val="0"/>
          <w:color w:val="22262E"/>
          <w:sz w:val="21"/>
        </w:rPr>
        <w:t>Guardrails: no live payments, no protected health information, no vendor sending, and no legal filing without explicit approval.</w:t>
      </w:r>
    </w:p>
    <w:p>
      <w:pPr>
        <w:spacing w:before="240" w:after="120"/>
      </w:pPr>
      <w:r>
        <w:rPr>
          <w:rFonts w:ascii="Aptos" w:hAnsi="Aptos"/>
          <w:b/>
          <w:color w:val="111722"/>
          <w:sz w:val="34"/>
        </w:rPr>
        <w:t>Market Positioning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111722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Dimension</w:t>
            </w:r>
          </w:p>
        </w:tc>
        <w:tc>
          <w:tcPr>
            <w:tcW w:type="dxa" w:w="4968"/>
            <w:shd w:fill="111722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Plan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Category</w:t>
            </w:r>
          </w:p>
        </w:tc>
        <w:tc>
          <w:tcPr>
            <w:tcW w:type="dxa" w:w="4968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Recovery, longevity, and wellness club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Primary users</w:t>
            </w:r>
          </w:p>
        </w:tc>
        <w:tc>
          <w:tcPr>
            <w:tcW w:type="dxa" w:w="4968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Founders, artists, athletes, executives, wellness clients, and recovery-focused members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Differentiator</w:t>
            </w:r>
          </w:p>
        </w:tc>
        <w:tc>
          <w:tcPr>
            <w:tcW w:type="dxa" w:w="4968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Design-forward facility, recurring membership revenue, clinical oversight, and high-touch concierge flow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Experience</w:t>
            </w:r>
          </w:p>
        </w:tc>
        <w:tc>
          <w:tcPr>
            <w:tcW w:type="dxa" w:w="4968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Private, cinematic, quiet, and operationally controlled</w:t>
            </w:r>
          </w:p>
        </w:tc>
      </w:tr>
    </w:tbl>
    <w:p/>
    <w:p>
      <w:pPr>
        <w:spacing w:before="240" w:after="120"/>
      </w:pPr>
      <w:r>
        <w:rPr>
          <w:rFonts w:ascii="Aptos" w:hAnsi="Aptos"/>
          <w:b/>
          <w:color w:val="111722"/>
          <w:sz w:val="34"/>
        </w:rPr>
        <w:t>Services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11722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Service</w:t>
            </w:r>
          </w:p>
        </w:tc>
        <w:tc>
          <w:tcPr>
            <w:tcW w:type="dxa" w:w="3312"/>
            <w:shd w:fill="111722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Commercial Role</w:t>
            </w:r>
          </w:p>
        </w:tc>
        <w:tc>
          <w:tcPr>
            <w:tcW w:type="dxa" w:w="3312"/>
            <w:shd w:fill="111722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Control Gate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Hyperbaric Oxygen Therapy</w:t>
            </w:r>
          </w:p>
        </w:tc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Anchor clinical recovery modality</w:t>
            </w:r>
          </w:p>
        </w:tc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Clinical protocol review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IV and NAD+ Lounge</w:t>
            </w:r>
          </w:p>
        </w:tc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Premium treatment lane</w:t>
            </w:r>
          </w:p>
        </w:tc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Medical director and pharmacy review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Red Light Therapy</w:t>
            </w:r>
          </w:p>
        </w:tc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Photobiomodulation and recovery</w:t>
            </w:r>
          </w:p>
        </w:tc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Protocol and claims review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Cryotherapy</w:t>
            </w:r>
          </w:p>
        </w:tc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Cold exposure lane</w:t>
            </w:r>
          </w:p>
        </w:tc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Safety and waiver review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Sauna and Cold Plunge</w:t>
            </w:r>
          </w:p>
        </w:tc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Thermal contrast suite</w:t>
            </w:r>
          </w:p>
        </w:tc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Operations and maintenance review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Float and Dry Float</w:t>
            </w:r>
          </w:p>
        </w:tc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Restoration and stress relief</w:t>
            </w:r>
          </w:p>
        </w:tc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Operations review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Compression and Recovery Zone</w:t>
            </w:r>
          </w:p>
        </w:tc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Member utilization and retention</w:t>
            </w:r>
          </w:p>
        </w:tc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Staff training review</w:t>
            </w:r>
          </w:p>
        </w:tc>
      </w:tr>
    </w:tbl>
    <w:p/>
    <w:p>
      <w:r>
        <w:br w:type="page"/>
      </w:r>
    </w:p>
    <w:p>
      <w:pPr>
        <w:spacing w:before="240" w:after="120"/>
      </w:pPr>
      <w:r>
        <w:rPr>
          <w:rFonts w:ascii="Aptos" w:hAnsi="Aptos"/>
          <w:b/>
          <w:color w:val="111722"/>
          <w:sz w:val="34"/>
        </w:rPr>
        <w:t>Membership Model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11722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Tier</w:t>
            </w:r>
          </w:p>
        </w:tc>
        <w:tc>
          <w:tcPr>
            <w:tcW w:type="dxa" w:w="1987"/>
            <w:shd w:fill="111722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Price</w:t>
            </w:r>
          </w:p>
        </w:tc>
        <w:tc>
          <w:tcPr>
            <w:tcW w:type="dxa" w:w="1987"/>
            <w:shd w:fill="111722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Projected Members</w:t>
            </w:r>
          </w:p>
        </w:tc>
        <w:tc>
          <w:tcPr>
            <w:tcW w:type="dxa" w:w="1987"/>
            <w:shd w:fill="111722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Projected MRR</w:t>
            </w:r>
          </w:p>
        </w:tc>
        <w:tc>
          <w:tcPr>
            <w:tcW w:type="dxa" w:w="1987"/>
            <w:shd w:fill="111722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Includes</w:t>
            </w:r>
          </w:p>
        </w:tc>
      </w:tr>
      <w:tr>
        <w:tc>
          <w:tcPr>
            <w:tcW w:type="dxa" w:w="1987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Core</w:t>
            </w:r>
          </w:p>
        </w:tc>
        <w:tc>
          <w:tcPr>
            <w:tcW w:type="dxa" w:w="1987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$299/mo</w:t>
            </w:r>
          </w:p>
        </w:tc>
        <w:tc>
          <w:tcPr>
            <w:tcW w:type="dxa" w:w="1987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150</w:t>
            </w:r>
          </w:p>
        </w:tc>
        <w:tc>
          <w:tcPr>
            <w:tcW w:type="dxa" w:w="1987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$44,850</w:t>
            </w:r>
          </w:p>
        </w:tc>
        <w:tc>
          <w:tcPr>
            <w:tcW w:type="dxa" w:w="1987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Red light, compression, recovery lounge, education</w:t>
            </w:r>
          </w:p>
        </w:tc>
      </w:tr>
      <w:tr>
        <w:tc>
          <w:tcPr>
            <w:tcW w:type="dxa" w:w="1987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Elite</w:t>
            </w:r>
          </w:p>
        </w:tc>
        <w:tc>
          <w:tcPr>
            <w:tcW w:type="dxa" w:w="1987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$599/mo</w:t>
            </w:r>
          </w:p>
        </w:tc>
        <w:tc>
          <w:tcPr>
            <w:tcW w:type="dxa" w:w="1987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100</w:t>
            </w:r>
          </w:p>
        </w:tc>
        <w:tc>
          <w:tcPr>
            <w:tcW w:type="dxa" w:w="1987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$59,900</w:t>
            </w:r>
          </w:p>
        </w:tc>
        <w:tc>
          <w:tcPr>
            <w:tcW w:type="dxa" w:w="1987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Unlimited recovery services, monthly IV/NAD+ credit, booking priority</w:t>
            </w:r>
          </w:p>
        </w:tc>
      </w:tr>
      <w:tr>
        <w:tc>
          <w:tcPr>
            <w:tcW w:type="dxa" w:w="1987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Black</w:t>
            </w:r>
          </w:p>
        </w:tc>
        <w:tc>
          <w:tcPr>
            <w:tcW w:type="dxa" w:w="1987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$1,499/mo</w:t>
            </w:r>
          </w:p>
        </w:tc>
        <w:tc>
          <w:tcPr>
            <w:tcW w:type="dxa" w:w="1987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50</w:t>
            </w:r>
          </w:p>
        </w:tc>
        <w:tc>
          <w:tcPr>
            <w:tcW w:type="dxa" w:w="1987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$74,950</w:t>
            </w:r>
          </w:p>
        </w:tc>
        <w:tc>
          <w:tcPr>
            <w:tcW w:type="dxa" w:w="1987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Concierge scheduling, quarterly labs, peptide optimization, VIP access</w:t>
            </w:r>
          </w:p>
        </w:tc>
      </w:tr>
    </w:tbl>
    <w:p/>
    <w:p>
      <w:pPr>
        <w:spacing w:before="240" w:after="120"/>
      </w:pPr>
      <w:r>
        <w:rPr>
          <w:rFonts w:ascii="Aptos" w:hAnsi="Aptos"/>
          <w:b/>
          <w:color w:val="111722"/>
          <w:sz w:val="34"/>
        </w:rPr>
        <w:t>Financial Baseline</w:t>
      </w:r>
    </w:p>
    <w:p>
      <w:pPr>
        <w:pStyle w:val="ListBullet"/>
        <w:spacing w:after="80"/>
      </w:pPr>
      <w:r>
        <w:rPr>
          <w:rFonts w:ascii="Aptos" w:hAnsi="Aptos"/>
          <w:b w:val="0"/>
          <w:color w:val="22262E"/>
          <w:sz w:val="21"/>
        </w:rPr>
        <w:t>Target membership revenue: $179,700/month at the modeled tier mix.</w:t>
      </w:r>
    </w:p>
    <w:p>
      <w:pPr>
        <w:pStyle w:val="ListBullet"/>
        <w:spacing w:after="80"/>
      </w:pPr>
      <w:r>
        <w:rPr>
          <w:rFonts w:ascii="Aptos" w:hAnsi="Aptos"/>
          <w:b w:val="0"/>
          <w:color w:val="22262E"/>
          <w:sz w:val="21"/>
        </w:rPr>
        <w:t>Additional revenue lanes: IV/NAD+, peptides and hormone programs, float sessions, cryotherapy, sauna/cold plunge, compression, events, and retail.</w:t>
      </w:r>
    </w:p>
    <w:p>
      <w:pPr>
        <w:pStyle w:val="ListBullet"/>
        <w:spacing w:after="80"/>
      </w:pPr>
      <w:r>
        <w:rPr>
          <w:rFonts w:ascii="Aptos" w:hAnsi="Aptos"/>
          <w:b w:val="0"/>
          <w:color w:val="22262E"/>
          <w:sz w:val="21"/>
        </w:rPr>
        <w:t>Startup cost planning range: $750,000 to $1,800,000 depending on lease terms, tenant improvements, equipment mix, staffing, launch marketing, and working capital.</w:t>
      </w:r>
    </w:p>
    <w:p>
      <w:pPr>
        <w:pStyle w:val="ListBullet"/>
        <w:spacing w:after="80"/>
      </w:pPr>
      <w:r>
        <w:rPr>
          <w:rFonts w:ascii="Aptos" w:hAnsi="Aptos"/>
          <w:b w:val="0"/>
          <w:color w:val="22262E"/>
          <w:sz w:val="21"/>
        </w:rPr>
        <w:t>All financial assumptions require accountant, tax, lending, and securities review before investor or lender use.</w:t>
      </w:r>
    </w:p>
    <w:p>
      <w:pPr>
        <w:spacing w:before="240" w:after="120"/>
      </w:pPr>
      <w:r>
        <w:rPr>
          <w:rFonts w:ascii="Aptos" w:hAnsi="Aptos"/>
          <w:b/>
          <w:color w:val="111722"/>
          <w:sz w:val="34"/>
        </w:rPr>
        <w:t>Execution Roadmap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11722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Phase</w:t>
            </w:r>
          </w:p>
        </w:tc>
        <w:tc>
          <w:tcPr>
            <w:tcW w:type="dxa" w:w="2484"/>
            <w:shd w:fill="111722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2484"/>
            <w:shd w:fill="111722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Owner Role</w:t>
            </w:r>
          </w:p>
        </w:tc>
        <w:tc>
          <w:tcPr>
            <w:tcW w:type="dxa" w:w="2484"/>
            <w:shd w:fill="111722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Gate</w:t>
            </w:r>
          </w:p>
        </w:tc>
      </w:tr>
      <w:tr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Lease and due diligence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Confirm site, zoning, utilities, and tenant improvement terms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owner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Legal and lease review</w:t>
            </w:r>
          </w:p>
        </w:tc>
      </w:tr>
      <w:tr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Medical structure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Define clinical roles, protocols, consent, and pharmacy workflows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clinical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Medical counsel approval</w:t>
            </w:r>
          </w:p>
        </w:tc>
      </w:tr>
      <w:tr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Vendor procurement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Request quotes, install needs, warranties, and maintenance terms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operations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Owner quote approval</w:t>
            </w:r>
          </w:p>
        </w:tc>
      </w:tr>
      <w:tr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Digital platform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Launch website, member app, admin, vendor CRM, and source-backed content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admin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Quality score &gt;= 97</w:t>
            </w:r>
          </w:p>
        </w:tc>
      </w:tr>
      <w:tr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Founder launch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Prepare presale material and social calendar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marketing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Claims and payment approval</w:t>
            </w:r>
          </w:p>
        </w:tc>
      </w:tr>
      <w:tr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Controlled opening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Open with a limited member cohort and track utilization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operations</w:t>
            </w:r>
          </w:p>
        </w:tc>
        <w:tc>
          <w:tcPr>
            <w:tcW w:type="dxa" w:w="2484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Staff and compliance readiness</w:t>
            </w:r>
          </w:p>
        </w:tc>
      </w:tr>
    </w:tbl>
    <w:p/>
    <w:p>
      <w:pPr>
        <w:spacing w:before="240" w:after="120"/>
      </w:pPr>
      <w:r>
        <w:rPr>
          <w:rFonts w:ascii="Aptos" w:hAnsi="Aptos"/>
          <w:b/>
          <w:color w:val="111722"/>
          <w:sz w:val="34"/>
        </w:rPr>
        <w:t>Source Appendix</w:t>
      </w:r>
    </w:p>
    <w:p>
      <w:pPr>
        <w:pStyle w:val="ListBullet"/>
        <w:spacing w:after="80"/>
      </w:pPr>
      <w:r>
        <w:rPr>
          <w:rFonts w:ascii="Aptos" w:hAnsi="Aptos"/>
          <w:b w:val="0"/>
          <w:color w:val="22262E"/>
          <w:sz w:val="21"/>
        </w:rPr>
        <w:t>Oxycell, Hyperbaric Pro, Oxynergy, TrueREST, VacuActiv, Eleve, and Awesome Design MD are used as reference inputs, not endorsements.</w:t>
      </w:r>
    </w:p>
    <w:p>
      <w:pPr>
        <w:pStyle w:val="ListBullet"/>
        <w:spacing w:after="80"/>
      </w:pPr>
      <w:r>
        <w:rPr>
          <w:rFonts w:ascii="Aptos" w:hAnsi="Aptos"/>
          <w:b w:val="0"/>
          <w:color w:val="22262E"/>
          <w:sz w:val="21"/>
        </w:rPr>
        <w:t>Maryland Business Express and Maryland SDAT sources are used for formation workflow planning.</w:t>
      </w:r>
    </w:p>
    <w:p>
      <w:pPr>
        <w:pStyle w:val="ListBullet"/>
        <w:spacing w:after="80"/>
      </w:pPr>
      <w:r>
        <w:rPr>
          <w:rFonts w:ascii="Aptos" w:hAnsi="Aptos"/>
          <w:b w:val="0"/>
          <w:color w:val="22262E"/>
          <w:sz w:val="21"/>
        </w:rPr>
        <w:t>HHS HIPAA guidance is used as a privacy planning reference. The prototype does not collect PHI.</w:t>
      </w:r>
    </w:p>
    <w:sectPr w:rsidR="00FC693F" w:rsidRPr="0006063C" w:rsidSect="00034616">
      <w:footerReference w:type="default" r:id="rId9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b w:val="0"/>
        <w:color w:val="5C626E"/>
        <w:sz w:val="16"/>
      </w:rPr>
      <w:t>VYTAL House Business Plan | Draft for professional review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