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Articles of Organization</w:t>
      </w:r>
    </w:p>
    <w:p>
      <w:r>
        <w:t>VYTAL House LLC</w:t>
      </w:r>
    </w:p>
    <w:p>
      <w:r>
        <w:t>Tagline: Recharge. Recover. Evolve.</w:t>
      </w:r>
    </w:p>
    <w:p/>
    <w:p>
      <w:pPr>
        <w:pStyle w:val="Heading2"/>
      </w:pPr>
      <w:r>
        <w:t>Article I – Name</w:t>
      </w:r>
    </w:p>
    <w:p>
      <w:r>
        <w:t>The name of the limited liability company is VYTAL House LLC (the “Company”).</w:t>
      </w:r>
    </w:p>
    <w:p/>
    <w:p>
      <w:pPr>
        <w:pStyle w:val="Heading2"/>
      </w:pPr>
      <w:r>
        <w:t>Article II – Formation and Legal Authority</w:t>
      </w:r>
    </w:p>
    <w:p>
      <w:r>
        <w:t>The Company is organized under and governed by the laws of the State of Maryland, particularly the Maryland Limited Liability Company Act.</w:t>
      </w:r>
    </w:p>
    <w:p/>
    <w:p>
      <w:pPr>
        <w:pStyle w:val="Heading2"/>
      </w:pPr>
      <w:r>
        <w:t>Article III – Purpose</w:t>
      </w:r>
    </w:p>
    <w:p>
      <w:r>
        <w:t>The purpose of the Company is to own and operate a membership‑based recovery and wellness center offering clinical‑grade services such as hyperbaric oxygen therapy, photobiomodulation, float therapy, cryotherapy, peptide and hormone therapies, NAD+ infusions, intravenous vitamin and hydration drips, and related health and wellness services, as well as to engage in any other lawful business or activity permitted under Maryland law.</w:t>
      </w:r>
    </w:p>
    <w:p/>
    <w:p>
      <w:pPr>
        <w:pStyle w:val="Heading2"/>
      </w:pPr>
      <w:r>
        <w:t>Article IV – Principal Office</w:t>
      </w:r>
    </w:p>
    <w:p>
      <w:r>
        <w:t>The principal office of the Company shall be located in Severn, Maryland, United States, or at such other place within the State of Maryland as may be determined by the Members. Additional offices may be established at such places as the Members may designate.</w:t>
      </w:r>
    </w:p>
    <w:p/>
    <w:p>
      <w:pPr>
        <w:pStyle w:val="Heading2"/>
      </w:pPr>
      <w:r>
        <w:t>Article V – Registered Agent</w:t>
      </w:r>
    </w:p>
    <w:p>
      <w:r>
        <w:t>The registered agents of the Company are Chauncey Gardner and Kathy Ha, who shall serve as agents for service of process. The registered office and registered agent may be changed from time to time by filing the address and/or agent change with the appropriate state authorities.</w:t>
      </w:r>
    </w:p>
    <w:p/>
    <w:p>
      <w:pPr>
        <w:pStyle w:val="Heading2"/>
      </w:pPr>
      <w:r>
        <w:t>Article VI – Duration</w:t>
      </w:r>
    </w:p>
    <w:p>
      <w:r>
        <w:t>The Company shall continue perpetually unless dissolved according to the provisions of its operating agreement or as otherwise provided by law.</w:t>
      </w:r>
    </w:p>
    <w:p/>
    <w:p>
      <w:pPr>
        <w:pStyle w:val="Heading2"/>
      </w:pPr>
      <w:r>
        <w:t>Article VII – Management</w:t>
      </w:r>
    </w:p>
    <w:p>
      <w:r>
        <w:t>The Company shall be managed by its Members. Chauncey Gardner and Kathy Ha are the initial Members and shall have full authority to manage and bind the Company. The rights and duties of the Members shall be governed by an operating agreement adopted by the Members.</w:t>
      </w:r>
    </w:p>
    <w:p/>
    <w:p>
      <w:pPr>
        <w:pStyle w:val="Heading2"/>
      </w:pPr>
      <w:r>
        <w:t>Article VIII – Membership</w:t>
      </w:r>
    </w:p>
    <w:p>
      <w:r>
        <w:t>The Membership interests of the Company shall be set forth in the operating agreement. Additional Members may be admitted upon the unanimous consent of the existing Members and execution of a joinder to the operating agreement.</w:t>
      </w:r>
    </w:p>
    <w:p/>
    <w:p>
      <w:pPr>
        <w:pStyle w:val="Heading2"/>
      </w:pPr>
      <w:r>
        <w:t>Article IX – Indemnification</w:t>
      </w:r>
    </w:p>
    <w:p>
      <w:r>
        <w:t>To the fullest extent permitted by Maryland law, the Company shall indemnify and hold harmless its Members, managers, officers and agents from and against any and all claims, actions, liabilities and expenses arising out of their service to the Company, except in cases of gross negligence or willful misconduct.</w:t>
      </w:r>
    </w:p>
    <w:p/>
    <w:p>
      <w:pPr>
        <w:pStyle w:val="Heading2"/>
      </w:pPr>
      <w:r>
        <w:t>Article X – Effective Date</w:t>
      </w:r>
    </w:p>
    <w:p>
      <w:r>
        <w:t>These Articles of Organization shall become effective upon filing with the Maryland Department of Assessments and Taxation. Certification of acceptance by the registered agent is evidenced by their signatures below.</w:t>
      </w:r>
    </w:p>
    <w:p/>
    <w:p>
      <w:pPr>
        <w:pStyle w:val="Heading2"/>
      </w:pPr>
      <w:r>
        <w:t>Signatures</w:t>
      </w:r>
    </w:p>
    <w:p>
      <w:r>
        <w:t>Executed this ___ day of __________, 2026.</w:t>
      </w:r>
    </w:p>
    <w:p/>
    <w:p>
      <w:r>
        <w:t>Chauncey Gardner, Member</w:t>
      </w:r>
    </w:p>
    <w:p>
      <w:r>
        <w:t>Kathy Ha,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