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w:hAnsi="Aptos"/>
          <w:b/>
          <w:color w:val="111722"/>
          <w:sz w:val="46"/>
        </w:rPr>
        <w:t>VYTAL HOUSE ENTITY FORMATION STACK</w:t>
      </w:r>
    </w:p>
    <w:p>
      <w:pPr>
        <w:jc w:val="center"/>
      </w:pPr>
      <w:r>
        <w:rPr>
          <w:rFonts w:ascii="Aptos" w:hAnsi="Aptos"/>
          <w:b/>
          <w:color w:val="C8A46B"/>
          <w:sz w:val="24"/>
        </w:rPr>
        <w:t>Articles of Organization Templates</w:t>
      </w:r>
    </w:p>
    <w:p>
      <w:pPr>
        <w:jc w:val="center"/>
      </w:pPr>
      <w:r>
        <w:rPr>
          <w:rFonts w:ascii="Aptos" w:hAnsi="Aptos"/>
          <w:b w:val="0"/>
          <w:color w:val="5C626E"/>
          <w:sz w:val="19"/>
        </w:rPr>
        <w:t>Maryland filing drafts | June 21, 2026 | Not legal advice</w:t>
      </w:r>
    </w:p>
    <w:p>
      <w:pPr>
        <w:spacing w:before="240" w:after="120"/>
      </w:pPr>
      <w:r>
        <w:rPr>
          <w:rFonts w:ascii="Aptos" w:hAnsi="Aptos"/>
          <w:b/>
          <w:color w:val="111722"/>
          <w:sz w:val="34"/>
        </w:rPr>
        <w:t>Legal Notice</w:t>
      </w:r>
    </w:p>
    <w:p>
      <w:pPr>
        <w:spacing w:after="120" w:line="264" w:lineRule="auto"/>
      </w:pPr>
      <w:r>
        <w:rPr>
          <w:rFonts w:ascii="Aptos" w:hAnsi="Aptos"/>
          <w:b w:val="0"/>
          <w:color w:val="22262E"/>
          <w:sz w:val="21"/>
        </w:rPr>
        <w:t>This document contains planning drafts only. It is not legal advice and must be reviewed by qualified counsel before filing with Maryland Department of Assessments and Taxation (SDAT) or through Maryland Business Express.</w:t>
      </w:r>
    </w:p>
    <w:p>
      <w:pPr>
        <w:spacing w:before="240" w:after="120"/>
      </w:pPr>
      <w:r>
        <w:rPr>
          <w:rFonts w:ascii="Aptos" w:hAnsi="Aptos"/>
          <w:b/>
          <w:color w:val="111722"/>
          <w:sz w:val="34"/>
        </w:rPr>
        <w:t>Filing Data To Confirm</w:t>
      </w:r>
    </w:p>
    <w:tbl>
      <w:tblPr>
        <w:tblStyle w:val="TableGrid"/>
        <w:tblW w:type="auto" w:w="0"/>
        <w:tblLook w:firstColumn="1" w:firstRow="1" w:lastColumn="0" w:lastRow="0" w:noHBand="0" w:noVBand="1" w:val="04A0"/>
      </w:tblPr>
      <w:tblGrid>
        <w:gridCol w:w="3312"/>
        <w:gridCol w:w="3312"/>
        <w:gridCol w:w="3312"/>
      </w:tblGrid>
      <w:tr>
        <w:tc>
          <w:tcPr>
            <w:tcW w:type="dxa" w:w="3312"/>
            <w:shd w:fill="111722"/>
          </w:tcPr>
          <w:p>
            <w:pPr>
              <w:jc w:val="center"/>
            </w:pPr>
            <w:r>
              <w:rPr>
                <w:rFonts w:ascii="Aptos" w:hAnsi="Aptos"/>
                <w:b/>
                <w:color w:val="FFFFFF"/>
                <w:sz w:val="18"/>
              </w:rPr>
              <w:t>Field</w:t>
            </w:r>
          </w:p>
        </w:tc>
        <w:tc>
          <w:tcPr>
            <w:tcW w:type="dxa" w:w="3312"/>
            <w:shd w:fill="111722"/>
          </w:tcPr>
          <w:p>
            <w:pPr>
              <w:jc w:val="center"/>
            </w:pPr>
            <w:r>
              <w:rPr>
                <w:rFonts w:ascii="Aptos" w:hAnsi="Aptos"/>
                <w:b/>
                <w:color w:val="FFFFFF"/>
                <w:sz w:val="18"/>
              </w:rPr>
              <w:t>Status</w:t>
            </w:r>
          </w:p>
        </w:tc>
        <w:tc>
          <w:tcPr>
            <w:tcW w:type="dxa" w:w="3312"/>
            <w:shd w:fill="111722"/>
          </w:tcPr>
          <w:p>
            <w:pPr>
              <w:jc w:val="center"/>
            </w:pPr>
            <w:r>
              <w:rPr>
                <w:rFonts w:ascii="Aptos" w:hAnsi="Aptos"/>
                <w:b/>
                <w:color w:val="FFFFFF"/>
                <w:sz w:val="18"/>
              </w:rPr>
              <w:t>Control</w:t>
            </w:r>
          </w:p>
        </w:tc>
      </w:tr>
      <w:tr>
        <w:tc>
          <w:tcPr>
            <w:tcW w:type="dxa" w:w="3312"/>
          </w:tcPr>
          <w:p>
            <w:pPr>
              <w:spacing w:after="0"/>
            </w:pPr>
            <w:r>
              <w:rPr>
                <w:rFonts w:ascii="Aptos" w:hAnsi="Aptos"/>
                <w:b w:val="0"/>
                <w:color w:val="22262E"/>
                <w:sz w:val="18"/>
              </w:rPr>
              <w:t>Entity names and availability</w:t>
            </w:r>
          </w:p>
        </w:tc>
        <w:tc>
          <w:tcPr>
            <w:tcW w:type="dxa" w:w="3312"/>
          </w:tcPr>
          <w:p>
            <w:pPr>
              <w:spacing w:after="0"/>
            </w:pPr>
            <w:r>
              <w:rPr>
                <w:rFonts w:ascii="Aptos" w:hAnsi="Aptos"/>
                <w:b w:val="0"/>
                <w:color w:val="22262E"/>
                <w:sz w:val="18"/>
              </w:rPr>
              <w:t>To confirm</w:t>
            </w:r>
          </w:p>
        </w:tc>
        <w:tc>
          <w:tcPr>
            <w:tcW w:type="dxa" w:w="3312"/>
          </w:tcPr>
          <w:p>
            <w:pPr>
              <w:spacing w:after="0"/>
            </w:pPr>
            <w:r>
              <w:rPr>
                <w:rFonts w:ascii="Aptos" w:hAnsi="Aptos"/>
                <w:b w:val="0"/>
                <w:color w:val="22262E"/>
                <w:sz w:val="18"/>
              </w:rPr>
              <w:t>Owner and counsel review</w:t>
            </w:r>
          </w:p>
        </w:tc>
      </w:tr>
      <w:tr>
        <w:tc>
          <w:tcPr>
            <w:tcW w:type="dxa" w:w="3312"/>
          </w:tcPr>
          <w:p>
            <w:pPr>
              <w:spacing w:after="0"/>
            </w:pPr>
            <w:r>
              <w:rPr>
                <w:rFonts w:ascii="Aptos" w:hAnsi="Aptos"/>
                <w:b w:val="0"/>
                <w:color w:val="22262E"/>
                <w:sz w:val="18"/>
              </w:rPr>
              <w:t>Target operating location</w:t>
            </w:r>
          </w:p>
        </w:tc>
        <w:tc>
          <w:tcPr>
            <w:tcW w:type="dxa" w:w="3312"/>
          </w:tcPr>
          <w:p>
            <w:pPr>
              <w:spacing w:after="0"/>
            </w:pPr>
            <w:r>
              <w:rPr>
                <w:rFonts w:ascii="Aptos" w:hAnsi="Aptos"/>
                <w:b w:val="0"/>
                <w:color w:val="22262E"/>
                <w:sz w:val="18"/>
              </w:rPr>
              <w:t>6000 Merriweather Drive, Columbia, MD 21044</w:t>
            </w:r>
          </w:p>
        </w:tc>
        <w:tc>
          <w:tcPr>
            <w:tcW w:type="dxa" w:w="3312"/>
          </w:tcPr>
          <w:p>
            <w:pPr>
              <w:spacing w:after="0"/>
            </w:pPr>
            <w:r>
              <w:rPr>
                <w:rFonts w:ascii="Aptos" w:hAnsi="Aptos"/>
                <w:b w:val="0"/>
                <w:color w:val="22262E"/>
                <w:sz w:val="18"/>
              </w:rPr>
              <w:t>Lease, zoning, and counsel review</w:t>
            </w:r>
          </w:p>
        </w:tc>
      </w:tr>
      <w:tr>
        <w:tc>
          <w:tcPr>
            <w:tcW w:type="dxa" w:w="3312"/>
          </w:tcPr>
          <w:p>
            <w:pPr>
              <w:spacing w:after="0"/>
            </w:pPr>
            <w:r>
              <w:rPr>
                <w:rFonts w:ascii="Aptos" w:hAnsi="Aptos"/>
                <w:b w:val="0"/>
                <w:color w:val="22262E"/>
                <w:sz w:val="18"/>
              </w:rPr>
              <w:t>Principal Maryland office addresses</w:t>
            </w:r>
          </w:p>
        </w:tc>
        <w:tc>
          <w:tcPr>
            <w:tcW w:type="dxa" w:w="3312"/>
          </w:tcPr>
          <w:p>
            <w:pPr>
              <w:spacing w:after="0"/>
            </w:pPr>
            <w:r>
              <w:rPr>
                <w:rFonts w:ascii="Aptos" w:hAnsi="Aptos"/>
                <w:b w:val="0"/>
                <w:color w:val="22262E"/>
                <w:sz w:val="18"/>
              </w:rPr>
              <w:t>To confirm</w:t>
            </w:r>
          </w:p>
        </w:tc>
        <w:tc>
          <w:tcPr>
            <w:tcW w:type="dxa" w:w="3312"/>
          </w:tcPr>
          <w:p>
            <w:pPr>
              <w:spacing w:after="0"/>
            </w:pPr>
            <w:r>
              <w:rPr>
                <w:rFonts w:ascii="Aptos" w:hAnsi="Aptos"/>
                <w:b w:val="0"/>
                <w:color w:val="22262E"/>
                <w:sz w:val="18"/>
              </w:rPr>
              <w:t>Do not publish until approved</w:t>
            </w:r>
          </w:p>
        </w:tc>
      </w:tr>
      <w:tr>
        <w:tc>
          <w:tcPr>
            <w:tcW w:type="dxa" w:w="3312"/>
          </w:tcPr>
          <w:p>
            <w:pPr>
              <w:spacing w:after="0"/>
            </w:pPr>
            <w:r>
              <w:rPr>
                <w:rFonts w:ascii="Aptos" w:hAnsi="Aptos"/>
                <w:b w:val="0"/>
                <w:color w:val="22262E"/>
                <w:sz w:val="18"/>
              </w:rPr>
              <w:t>Resident agent name and physical Maryland address</w:t>
            </w:r>
          </w:p>
        </w:tc>
        <w:tc>
          <w:tcPr>
            <w:tcW w:type="dxa" w:w="3312"/>
          </w:tcPr>
          <w:p>
            <w:pPr>
              <w:spacing w:after="0"/>
            </w:pPr>
            <w:r>
              <w:rPr>
                <w:rFonts w:ascii="Aptos" w:hAnsi="Aptos"/>
                <w:b w:val="0"/>
                <w:color w:val="22262E"/>
                <w:sz w:val="18"/>
              </w:rPr>
              <w:t>To confirm</w:t>
            </w:r>
          </w:p>
        </w:tc>
        <w:tc>
          <w:tcPr>
            <w:tcW w:type="dxa" w:w="3312"/>
          </w:tcPr>
          <w:p>
            <w:pPr>
              <w:spacing w:after="0"/>
            </w:pPr>
            <w:r>
              <w:rPr>
                <w:rFonts w:ascii="Aptos" w:hAnsi="Aptos"/>
                <w:b w:val="0"/>
                <w:color w:val="22262E"/>
                <w:sz w:val="18"/>
              </w:rPr>
              <w:t>Resident agent consent required</w:t>
            </w:r>
          </w:p>
        </w:tc>
      </w:tr>
      <w:tr>
        <w:tc>
          <w:tcPr>
            <w:tcW w:type="dxa" w:w="3312"/>
          </w:tcPr>
          <w:p>
            <w:pPr>
              <w:spacing w:after="0"/>
            </w:pPr>
            <w:r>
              <w:rPr>
                <w:rFonts w:ascii="Aptos" w:hAnsi="Aptos"/>
                <w:b w:val="0"/>
                <w:color w:val="22262E"/>
                <w:sz w:val="18"/>
              </w:rPr>
              <w:t>Organizer signatures</w:t>
            </w:r>
          </w:p>
        </w:tc>
        <w:tc>
          <w:tcPr>
            <w:tcW w:type="dxa" w:w="3312"/>
          </w:tcPr>
          <w:p>
            <w:pPr>
              <w:spacing w:after="0"/>
            </w:pPr>
            <w:r>
              <w:rPr>
                <w:rFonts w:ascii="Aptos" w:hAnsi="Aptos"/>
                <w:b w:val="0"/>
                <w:color w:val="22262E"/>
                <w:sz w:val="18"/>
              </w:rPr>
              <w:t>To confirm</w:t>
            </w:r>
          </w:p>
        </w:tc>
        <w:tc>
          <w:tcPr>
            <w:tcW w:type="dxa" w:w="3312"/>
          </w:tcPr>
          <w:p>
            <w:pPr>
              <w:spacing w:after="0"/>
            </w:pPr>
            <w:r>
              <w:rPr>
                <w:rFonts w:ascii="Aptos" w:hAnsi="Aptos"/>
                <w:b w:val="0"/>
                <w:color w:val="22262E"/>
                <w:sz w:val="18"/>
              </w:rPr>
              <w:t>Owner approval required</w:t>
            </w:r>
          </w:p>
        </w:tc>
      </w:tr>
      <w:tr>
        <w:tc>
          <w:tcPr>
            <w:tcW w:type="dxa" w:w="3312"/>
          </w:tcPr>
          <w:p>
            <w:pPr>
              <w:spacing w:after="0"/>
            </w:pPr>
            <w:r>
              <w:rPr>
                <w:rFonts w:ascii="Aptos" w:hAnsi="Aptos"/>
                <w:b w:val="0"/>
                <w:color w:val="22262E"/>
                <w:sz w:val="18"/>
              </w:rPr>
              <w:t>Resident agent signatures</w:t>
            </w:r>
          </w:p>
        </w:tc>
        <w:tc>
          <w:tcPr>
            <w:tcW w:type="dxa" w:w="3312"/>
          </w:tcPr>
          <w:p>
            <w:pPr>
              <w:spacing w:after="0"/>
            </w:pPr>
            <w:r>
              <w:rPr>
                <w:rFonts w:ascii="Aptos" w:hAnsi="Aptos"/>
                <w:b w:val="0"/>
                <w:color w:val="22262E"/>
                <w:sz w:val="18"/>
              </w:rPr>
              <w:t>To confirm</w:t>
            </w:r>
          </w:p>
        </w:tc>
        <w:tc>
          <w:tcPr>
            <w:tcW w:type="dxa" w:w="3312"/>
          </w:tcPr>
          <w:p>
            <w:pPr>
              <w:spacing w:after="0"/>
            </w:pPr>
            <w:r>
              <w:rPr>
                <w:rFonts w:ascii="Aptos" w:hAnsi="Aptos"/>
                <w:b w:val="0"/>
                <w:color w:val="22262E"/>
                <w:sz w:val="18"/>
              </w:rPr>
              <w:t>Agent approval required</w:t>
            </w:r>
          </w:p>
        </w:tc>
      </w:tr>
      <w:tr>
        <w:tc>
          <w:tcPr>
            <w:tcW w:type="dxa" w:w="3312"/>
          </w:tcPr>
          <w:p>
            <w:pPr>
              <w:spacing w:after="0"/>
            </w:pPr>
            <w:r>
              <w:rPr>
                <w:rFonts w:ascii="Aptos" w:hAnsi="Aptos"/>
                <w:b w:val="0"/>
                <w:color w:val="22262E"/>
                <w:sz w:val="18"/>
              </w:rPr>
              <w:t>Return addresses and filing fees</w:t>
            </w:r>
          </w:p>
        </w:tc>
        <w:tc>
          <w:tcPr>
            <w:tcW w:type="dxa" w:w="3312"/>
          </w:tcPr>
          <w:p>
            <w:pPr>
              <w:spacing w:after="0"/>
            </w:pPr>
            <w:r>
              <w:rPr>
                <w:rFonts w:ascii="Aptos" w:hAnsi="Aptos"/>
                <w:b w:val="0"/>
                <w:color w:val="22262E"/>
                <w:sz w:val="18"/>
              </w:rPr>
              <w:t>To confirm</w:t>
            </w:r>
          </w:p>
        </w:tc>
        <w:tc>
          <w:tcPr>
            <w:tcW w:type="dxa" w:w="3312"/>
          </w:tcPr>
          <w:p>
            <w:pPr>
              <w:spacing w:after="0"/>
            </w:pPr>
            <w:r>
              <w:rPr>
                <w:rFonts w:ascii="Aptos" w:hAnsi="Aptos"/>
                <w:b w:val="0"/>
                <w:color w:val="22262E"/>
                <w:sz w:val="18"/>
              </w:rPr>
              <w:t>SDAT/Business Express verification</w:t>
            </w:r>
          </w:p>
        </w:tc>
      </w:tr>
    </w:tbl>
    <w:p/>
    <w:p>
      <w:pPr>
        <w:spacing w:before="240" w:after="120"/>
      </w:pPr>
      <w:r>
        <w:rPr>
          <w:rFonts w:ascii="Aptos" w:hAnsi="Aptos"/>
          <w:b/>
          <w:color w:val="111722"/>
          <w:sz w:val="34"/>
        </w:rPr>
        <w:t>Articles of Organization for VYTAL Holdings LLC</w:t>
      </w:r>
    </w:p>
    <w:p>
      <w:pPr>
        <w:spacing w:before="160" w:after="120"/>
      </w:pPr>
      <w:r>
        <w:rPr>
          <w:rFonts w:ascii="Aptos" w:hAnsi="Aptos"/>
          <w:b/>
          <w:color w:val="22262E"/>
          <w:sz w:val="26"/>
        </w:rPr>
        <w:t>Article I - Name</w:t>
      </w:r>
    </w:p>
    <w:p>
      <w:pPr>
        <w:spacing w:after="120" w:line="264" w:lineRule="auto"/>
      </w:pPr>
      <w:r>
        <w:rPr>
          <w:rFonts w:ascii="Aptos" w:hAnsi="Aptos"/>
          <w:b w:val="0"/>
          <w:color w:val="22262E"/>
          <w:sz w:val="21"/>
        </w:rPr>
        <w:t>The name of the limited liability company is VYTAL Holdings LLC.</w:t>
      </w:r>
    </w:p>
    <w:p>
      <w:pPr>
        <w:spacing w:before="160" w:after="120"/>
      </w:pPr>
      <w:r>
        <w:rPr>
          <w:rFonts w:ascii="Aptos" w:hAnsi="Aptos"/>
          <w:b/>
          <w:color w:val="22262E"/>
          <w:sz w:val="26"/>
        </w:rPr>
        <w:t>Article II - Formation and Legal Authority</w:t>
      </w:r>
    </w:p>
    <w:p>
      <w:pPr>
        <w:spacing w:after="120" w:line="264" w:lineRule="auto"/>
      </w:pPr>
      <w:r>
        <w:rPr>
          <w:rFonts w:ascii="Aptos" w:hAnsi="Aptos"/>
          <w:b w:val="0"/>
          <w:color w:val="22262E"/>
          <w:sz w:val="21"/>
        </w:rPr>
        <w:t>The company is organized under the laws of the State of Maryland and any applicable Maryland limited liability company provisions.</w:t>
      </w:r>
    </w:p>
    <w:p>
      <w:pPr>
        <w:spacing w:before="160" w:after="120"/>
      </w:pPr>
      <w:r>
        <w:rPr>
          <w:rFonts w:ascii="Aptos" w:hAnsi="Aptos"/>
          <w:b/>
          <w:color w:val="22262E"/>
          <w:sz w:val="26"/>
        </w:rPr>
        <w:t>Article III - Purpose</w:t>
      </w:r>
    </w:p>
    <w:p>
      <w:pPr>
        <w:spacing w:after="120" w:line="264" w:lineRule="auto"/>
      </w:pPr>
      <w:r>
        <w:rPr>
          <w:rFonts w:ascii="Aptos" w:hAnsi="Aptos"/>
          <w:b w:val="0"/>
          <w:color w:val="22262E"/>
          <w:sz w:val="21"/>
        </w:rPr>
        <w:t>The company may engage in any lawful business activity permitted under Maryland law, serving its role in the VYTAL House platform architecture (holding equity in subsidiaries). Any clinical service model requires professional review and compliant operating controls.</w:t>
      </w:r>
    </w:p>
    <w:p>
      <w:pPr>
        <w:spacing w:before="160" w:after="120"/>
      </w:pPr>
      <w:r>
        <w:rPr>
          <w:rFonts w:ascii="Aptos" w:hAnsi="Aptos"/>
          <w:b/>
          <w:color w:val="22262E"/>
          <w:sz w:val="26"/>
        </w:rPr>
        <w:t>Article IV - Principal Office</w:t>
      </w:r>
    </w:p>
    <w:p>
      <w:pPr>
        <w:spacing w:after="120" w:line="264" w:lineRule="auto"/>
      </w:pPr>
      <w:r>
        <w:rPr>
          <w:rFonts w:ascii="Aptos" w:hAnsi="Aptos"/>
          <w:b w:val="0"/>
          <w:color w:val="22262E"/>
          <w:sz w:val="21"/>
        </w:rPr>
        <w:t>The principal office shall be located at a Maryland address to be confirmed before filing. Public drafts should not include private or unconfirmed addresses.</w:t>
      </w:r>
    </w:p>
    <w:p>
      <w:pPr>
        <w:spacing w:before="160" w:after="120"/>
      </w:pPr>
      <w:r>
        <w:rPr>
          <w:rFonts w:ascii="Aptos" w:hAnsi="Aptos"/>
          <w:b/>
          <w:color w:val="22262E"/>
          <w:sz w:val="26"/>
        </w:rPr>
        <w:t>Article V - Resident Agent</w:t>
      </w:r>
    </w:p>
    <w:p>
      <w:pPr>
        <w:spacing w:after="120" w:line="264" w:lineRule="auto"/>
      </w:pPr>
      <w:r>
        <w:rPr>
          <w:rFonts w:ascii="Aptos" w:hAnsi="Aptos"/>
          <w:b w:val="0"/>
          <w:color w:val="22262E"/>
          <w:sz w:val="21"/>
        </w:rPr>
        <w:t>The resident agent and resident office shall be confirmed before filing. The resident agent must consent to service of process responsibilities.</w:t>
      </w:r>
    </w:p>
    <w:p>
      <w:pPr>
        <w:spacing w:before="160" w:after="120"/>
      </w:pPr>
      <w:r>
        <w:rPr>
          <w:rFonts w:ascii="Aptos" w:hAnsi="Aptos"/>
          <w:b/>
          <w:color w:val="22262E"/>
          <w:sz w:val="26"/>
        </w:rPr>
        <w:t>Article VI - Duration</w:t>
      </w:r>
    </w:p>
    <w:p>
      <w:pPr>
        <w:spacing w:after="120" w:line="264" w:lineRule="auto"/>
      </w:pPr>
      <w:r>
        <w:rPr>
          <w:rFonts w:ascii="Aptos" w:hAnsi="Aptos"/>
          <w:b w:val="0"/>
          <w:color w:val="22262E"/>
          <w:sz w:val="21"/>
        </w:rPr>
        <w:t>The company shall continue perpetually unless dissolved according to law and any adopted operating agreement.</w:t>
      </w:r>
    </w:p>
    <w:p>
      <w:pPr>
        <w:spacing w:before="160" w:after="120"/>
      </w:pPr>
      <w:r>
        <w:rPr>
          <w:rFonts w:ascii="Aptos" w:hAnsi="Aptos"/>
          <w:b/>
          <w:color w:val="22262E"/>
          <w:sz w:val="26"/>
        </w:rPr>
        <w:t>Article VII - Management</w:t>
      </w:r>
    </w:p>
    <w:p>
      <w:pPr>
        <w:spacing w:after="120" w:line="264" w:lineRule="auto"/>
      </w:pPr>
      <w:r>
        <w:rPr>
          <w:rFonts w:ascii="Aptos" w:hAnsi="Aptos"/>
          <w:b w:val="0"/>
          <w:color w:val="22262E"/>
          <w:sz w:val="21"/>
        </w:rPr>
        <w:t>The company shall be managed by its members or managers as defined in an operating agreement adopted by the members.</w:t>
      </w:r>
    </w:p>
    <w:p>
      <w:pPr>
        <w:spacing w:before="160" w:after="120"/>
      </w:pPr>
      <w:r>
        <w:rPr>
          <w:rFonts w:ascii="Aptos" w:hAnsi="Aptos"/>
          <w:b/>
          <w:color w:val="22262E"/>
          <w:sz w:val="26"/>
        </w:rPr>
        <w:t>Article VIII - Membership</w:t>
      </w:r>
    </w:p>
    <w:p>
      <w:pPr>
        <w:spacing w:after="120" w:line="264" w:lineRule="auto"/>
      </w:pPr>
      <w:r>
        <w:rPr>
          <w:rFonts w:ascii="Aptos" w:hAnsi="Aptos"/>
          <w:b w:val="0"/>
          <w:color w:val="22262E"/>
          <w:sz w:val="21"/>
        </w:rPr>
        <w:t>Membership interests, admission of additional members, capital contributions, voting rights, and transfer restrictions shall be controlled by the operating agreement.</w:t>
      </w:r>
    </w:p>
    <w:p>
      <w:pPr>
        <w:spacing w:before="160" w:after="120"/>
      </w:pPr>
      <w:r>
        <w:rPr>
          <w:rFonts w:ascii="Aptos" w:hAnsi="Aptos"/>
          <w:b/>
          <w:color w:val="22262E"/>
          <w:sz w:val="26"/>
        </w:rPr>
        <w:t>Article IX - Indemnification</w:t>
      </w:r>
    </w:p>
    <w:p>
      <w:pPr>
        <w:spacing w:after="120" w:line="264" w:lineRule="auto"/>
      </w:pPr>
      <w:r>
        <w:rPr>
          <w:rFonts w:ascii="Aptos" w:hAnsi="Aptos"/>
          <w:b w:val="0"/>
          <w:color w:val="22262E"/>
          <w:sz w:val="21"/>
        </w:rPr>
        <w:t>The company may indemnify members, managers, officers, and agents to the fullest extent permitted by Maryland law, subject to professional legal review.</w:t>
      </w:r>
    </w:p>
    <w:p>
      <w:pPr>
        <w:spacing w:before="160" w:after="120"/>
      </w:pPr>
      <w:r>
        <w:rPr>
          <w:rFonts w:ascii="Aptos" w:hAnsi="Aptos"/>
          <w:b/>
          <w:color w:val="22262E"/>
          <w:sz w:val="26"/>
        </w:rPr>
        <w:t>Article X - Effective Date</w:t>
      </w:r>
    </w:p>
    <w:p>
      <w:pPr>
        <w:spacing w:after="120" w:line="264" w:lineRule="auto"/>
      </w:pPr>
      <w:r>
        <w:rPr>
          <w:rFonts w:ascii="Aptos" w:hAnsi="Aptos"/>
          <w:b w:val="0"/>
          <w:color w:val="22262E"/>
          <w:sz w:val="21"/>
        </w:rPr>
        <w:t>The articles become effective upon acceptance for filing by the Maryland Department of Assessments and Taxation unless a permitted delayed effective date is specified.</w:t>
      </w:r>
    </w:p>
    <w:p>
      <w:r>
        <w:br w:type="page"/>
      </w:r>
    </w:p>
    <w:p>
      <w:pPr>
        <w:spacing w:before="240" w:after="120"/>
      </w:pPr>
      <w:r>
        <w:rPr>
          <w:rFonts w:ascii="Aptos" w:hAnsi="Aptos"/>
          <w:b/>
          <w:color w:val="111722"/>
          <w:sz w:val="34"/>
        </w:rPr>
        <w:t>Articles of Organization for VYTAL Operations LLC</w:t>
      </w:r>
    </w:p>
    <w:p>
      <w:pPr>
        <w:spacing w:before="160" w:after="120"/>
      </w:pPr>
      <w:r>
        <w:rPr>
          <w:rFonts w:ascii="Aptos" w:hAnsi="Aptos"/>
          <w:b/>
          <w:color w:val="22262E"/>
          <w:sz w:val="26"/>
        </w:rPr>
        <w:t>Article I - Name</w:t>
      </w:r>
    </w:p>
    <w:p>
      <w:pPr>
        <w:spacing w:after="120" w:line="264" w:lineRule="auto"/>
      </w:pPr>
      <w:r>
        <w:rPr>
          <w:rFonts w:ascii="Aptos" w:hAnsi="Aptos"/>
          <w:b w:val="0"/>
          <w:color w:val="22262E"/>
          <w:sz w:val="21"/>
        </w:rPr>
        <w:t>The name of the limited liability company is VYTAL Operations LLC.</w:t>
      </w:r>
    </w:p>
    <w:p>
      <w:pPr>
        <w:spacing w:before="160" w:after="120"/>
      </w:pPr>
      <w:r>
        <w:rPr>
          <w:rFonts w:ascii="Aptos" w:hAnsi="Aptos"/>
          <w:b/>
          <w:color w:val="22262E"/>
          <w:sz w:val="26"/>
        </w:rPr>
        <w:t>Article II - Formation and Legal Authority</w:t>
      </w:r>
    </w:p>
    <w:p>
      <w:pPr>
        <w:spacing w:after="120" w:line="264" w:lineRule="auto"/>
      </w:pPr>
      <w:r>
        <w:rPr>
          <w:rFonts w:ascii="Aptos" w:hAnsi="Aptos"/>
          <w:b w:val="0"/>
          <w:color w:val="22262E"/>
          <w:sz w:val="21"/>
        </w:rPr>
        <w:t>The company is organized under the laws of the State of Maryland and any applicable Maryland limited liability company provisions.</w:t>
      </w:r>
    </w:p>
    <w:p>
      <w:pPr>
        <w:spacing w:before="160" w:after="120"/>
      </w:pPr>
      <w:r>
        <w:rPr>
          <w:rFonts w:ascii="Aptos" w:hAnsi="Aptos"/>
          <w:b/>
          <w:color w:val="22262E"/>
          <w:sz w:val="26"/>
        </w:rPr>
        <w:t>Article III - Purpose</w:t>
      </w:r>
    </w:p>
    <w:p>
      <w:pPr>
        <w:spacing w:after="120" w:line="264" w:lineRule="auto"/>
      </w:pPr>
      <w:r>
        <w:rPr>
          <w:rFonts w:ascii="Aptos" w:hAnsi="Aptos"/>
          <w:b w:val="0"/>
          <w:color w:val="22262E"/>
          <w:sz w:val="21"/>
        </w:rPr>
        <w:t>The company may engage in any lawful business activity permitted under Maryland law, serving its role in the VYTAL House platform architecture (managing spa services, booking, and staff). Any clinical service model requires professional review and compliant operating controls.</w:t>
      </w:r>
    </w:p>
    <w:p>
      <w:pPr>
        <w:spacing w:before="160" w:after="120"/>
      </w:pPr>
      <w:r>
        <w:rPr>
          <w:rFonts w:ascii="Aptos" w:hAnsi="Aptos"/>
          <w:b/>
          <w:color w:val="22262E"/>
          <w:sz w:val="26"/>
        </w:rPr>
        <w:t>Article IV - Principal Office</w:t>
      </w:r>
    </w:p>
    <w:p>
      <w:pPr>
        <w:spacing w:after="120" w:line="264" w:lineRule="auto"/>
      </w:pPr>
      <w:r>
        <w:rPr>
          <w:rFonts w:ascii="Aptos" w:hAnsi="Aptos"/>
          <w:b w:val="0"/>
          <w:color w:val="22262E"/>
          <w:sz w:val="21"/>
        </w:rPr>
        <w:t>The principal office shall be located at a Maryland address to be confirmed before filing. Public drafts should not include private or unconfirmed addresses.</w:t>
      </w:r>
    </w:p>
    <w:p>
      <w:pPr>
        <w:spacing w:before="160" w:after="120"/>
      </w:pPr>
      <w:r>
        <w:rPr>
          <w:rFonts w:ascii="Aptos" w:hAnsi="Aptos"/>
          <w:b/>
          <w:color w:val="22262E"/>
          <w:sz w:val="26"/>
        </w:rPr>
        <w:t>Article V - Resident Agent</w:t>
      </w:r>
    </w:p>
    <w:p>
      <w:pPr>
        <w:spacing w:after="120" w:line="264" w:lineRule="auto"/>
      </w:pPr>
      <w:r>
        <w:rPr>
          <w:rFonts w:ascii="Aptos" w:hAnsi="Aptos"/>
          <w:b w:val="0"/>
          <w:color w:val="22262E"/>
          <w:sz w:val="21"/>
        </w:rPr>
        <w:t>The resident agent and resident office shall be confirmed before filing. The resident agent must consent to service of process responsibilities.</w:t>
      </w:r>
    </w:p>
    <w:p>
      <w:pPr>
        <w:spacing w:before="160" w:after="120"/>
      </w:pPr>
      <w:r>
        <w:rPr>
          <w:rFonts w:ascii="Aptos" w:hAnsi="Aptos"/>
          <w:b/>
          <w:color w:val="22262E"/>
          <w:sz w:val="26"/>
        </w:rPr>
        <w:t>Article VI - Duration</w:t>
      </w:r>
    </w:p>
    <w:p>
      <w:pPr>
        <w:spacing w:after="120" w:line="264" w:lineRule="auto"/>
      </w:pPr>
      <w:r>
        <w:rPr>
          <w:rFonts w:ascii="Aptos" w:hAnsi="Aptos"/>
          <w:b w:val="0"/>
          <w:color w:val="22262E"/>
          <w:sz w:val="21"/>
        </w:rPr>
        <w:t>The company shall continue perpetually unless dissolved according to law and any adopted operating agreement.</w:t>
      </w:r>
    </w:p>
    <w:p>
      <w:pPr>
        <w:spacing w:before="160" w:after="120"/>
      </w:pPr>
      <w:r>
        <w:rPr>
          <w:rFonts w:ascii="Aptos" w:hAnsi="Aptos"/>
          <w:b/>
          <w:color w:val="22262E"/>
          <w:sz w:val="26"/>
        </w:rPr>
        <w:t>Article VII - Management</w:t>
      </w:r>
    </w:p>
    <w:p>
      <w:pPr>
        <w:spacing w:after="120" w:line="264" w:lineRule="auto"/>
      </w:pPr>
      <w:r>
        <w:rPr>
          <w:rFonts w:ascii="Aptos" w:hAnsi="Aptos"/>
          <w:b w:val="0"/>
          <w:color w:val="22262E"/>
          <w:sz w:val="21"/>
        </w:rPr>
        <w:t>The company shall be managed by its members or managers as defined in an operating agreement adopted by the members.</w:t>
      </w:r>
    </w:p>
    <w:p>
      <w:pPr>
        <w:spacing w:before="160" w:after="120"/>
      </w:pPr>
      <w:r>
        <w:rPr>
          <w:rFonts w:ascii="Aptos" w:hAnsi="Aptos"/>
          <w:b/>
          <w:color w:val="22262E"/>
          <w:sz w:val="26"/>
        </w:rPr>
        <w:t>Article VIII - Membership</w:t>
      </w:r>
    </w:p>
    <w:p>
      <w:pPr>
        <w:spacing w:after="120" w:line="264" w:lineRule="auto"/>
      </w:pPr>
      <w:r>
        <w:rPr>
          <w:rFonts w:ascii="Aptos" w:hAnsi="Aptos"/>
          <w:b w:val="0"/>
          <w:color w:val="22262E"/>
          <w:sz w:val="21"/>
        </w:rPr>
        <w:t>Membership interests, admission of additional members, capital contributions, voting rights, and transfer restrictions shall be controlled by the operating agreement.</w:t>
      </w:r>
    </w:p>
    <w:p>
      <w:pPr>
        <w:spacing w:before="160" w:after="120"/>
      </w:pPr>
      <w:r>
        <w:rPr>
          <w:rFonts w:ascii="Aptos" w:hAnsi="Aptos"/>
          <w:b/>
          <w:color w:val="22262E"/>
          <w:sz w:val="26"/>
        </w:rPr>
        <w:t>Article IX - Indemnification</w:t>
      </w:r>
    </w:p>
    <w:p>
      <w:pPr>
        <w:spacing w:after="120" w:line="264" w:lineRule="auto"/>
      </w:pPr>
      <w:r>
        <w:rPr>
          <w:rFonts w:ascii="Aptos" w:hAnsi="Aptos"/>
          <w:b w:val="0"/>
          <w:color w:val="22262E"/>
          <w:sz w:val="21"/>
        </w:rPr>
        <w:t>The company may indemnify members, managers, officers, and agents to the fullest extent permitted by Maryland law, subject to professional legal review.</w:t>
      </w:r>
    </w:p>
    <w:p>
      <w:pPr>
        <w:spacing w:before="160" w:after="120"/>
      </w:pPr>
      <w:r>
        <w:rPr>
          <w:rFonts w:ascii="Aptos" w:hAnsi="Aptos"/>
          <w:b/>
          <w:color w:val="22262E"/>
          <w:sz w:val="26"/>
        </w:rPr>
        <w:t>Article X - Effective Date</w:t>
      </w:r>
    </w:p>
    <w:p>
      <w:pPr>
        <w:spacing w:after="120" w:line="264" w:lineRule="auto"/>
      </w:pPr>
      <w:r>
        <w:rPr>
          <w:rFonts w:ascii="Aptos" w:hAnsi="Aptos"/>
          <w:b w:val="0"/>
          <w:color w:val="22262E"/>
          <w:sz w:val="21"/>
        </w:rPr>
        <w:t>The articles become effective upon acceptance for filing by the Maryland Department of Assessments and Taxation unless a permitted delayed effective date is specified.</w:t>
      </w:r>
    </w:p>
    <w:p>
      <w:r>
        <w:br w:type="page"/>
      </w:r>
    </w:p>
    <w:p>
      <w:pPr>
        <w:spacing w:before="240" w:after="120"/>
      </w:pPr>
      <w:r>
        <w:rPr>
          <w:rFonts w:ascii="Aptos" w:hAnsi="Aptos"/>
          <w:b/>
          <w:color w:val="111722"/>
          <w:sz w:val="34"/>
        </w:rPr>
        <w:t>Articles of Organization for VYTAL Intellectual Property LLC</w:t>
      </w:r>
    </w:p>
    <w:p>
      <w:pPr>
        <w:spacing w:before="160" w:after="120"/>
      </w:pPr>
      <w:r>
        <w:rPr>
          <w:rFonts w:ascii="Aptos" w:hAnsi="Aptos"/>
          <w:b/>
          <w:color w:val="22262E"/>
          <w:sz w:val="26"/>
        </w:rPr>
        <w:t>Article I - Name</w:t>
      </w:r>
    </w:p>
    <w:p>
      <w:pPr>
        <w:spacing w:after="120" w:line="264" w:lineRule="auto"/>
      </w:pPr>
      <w:r>
        <w:rPr>
          <w:rFonts w:ascii="Aptos" w:hAnsi="Aptos"/>
          <w:b w:val="0"/>
          <w:color w:val="22262E"/>
          <w:sz w:val="21"/>
        </w:rPr>
        <w:t>The name of the limited liability company is VYTAL Intellectual Property LLC.</w:t>
      </w:r>
    </w:p>
    <w:p>
      <w:pPr>
        <w:spacing w:before="160" w:after="120"/>
      </w:pPr>
      <w:r>
        <w:rPr>
          <w:rFonts w:ascii="Aptos" w:hAnsi="Aptos"/>
          <w:b/>
          <w:color w:val="22262E"/>
          <w:sz w:val="26"/>
        </w:rPr>
        <w:t>Article II - Formation and Legal Authority</w:t>
      </w:r>
    </w:p>
    <w:p>
      <w:pPr>
        <w:spacing w:after="120" w:line="264" w:lineRule="auto"/>
      </w:pPr>
      <w:r>
        <w:rPr>
          <w:rFonts w:ascii="Aptos" w:hAnsi="Aptos"/>
          <w:b w:val="0"/>
          <w:color w:val="22262E"/>
          <w:sz w:val="21"/>
        </w:rPr>
        <w:t>The company is organized under the laws of the State of Maryland and any applicable Maryland limited liability company provisions.</w:t>
      </w:r>
    </w:p>
    <w:p>
      <w:pPr>
        <w:spacing w:before="160" w:after="120"/>
      </w:pPr>
      <w:r>
        <w:rPr>
          <w:rFonts w:ascii="Aptos" w:hAnsi="Aptos"/>
          <w:b/>
          <w:color w:val="22262E"/>
          <w:sz w:val="26"/>
        </w:rPr>
        <w:t>Article III - Purpose</w:t>
      </w:r>
    </w:p>
    <w:p>
      <w:pPr>
        <w:spacing w:after="120" w:line="264" w:lineRule="auto"/>
      </w:pPr>
      <w:r>
        <w:rPr>
          <w:rFonts w:ascii="Aptos" w:hAnsi="Aptos"/>
          <w:b w:val="0"/>
          <w:color w:val="22262E"/>
          <w:sz w:val="21"/>
        </w:rPr>
        <w:t>The company may engage in any lawful business activity permitted under Maryland law, serving its role in the VYTAL House platform architecture (holding trademarks, software copyright, and IP). Any clinical service model requires professional review and compliant operating controls.</w:t>
      </w:r>
    </w:p>
    <w:p>
      <w:pPr>
        <w:spacing w:before="160" w:after="120"/>
      </w:pPr>
      <w:r>
        <w:rPr>
          <w:rFonts w:ascii="Aptos" w:hAnsi="Aptos"/>
          <w:b/>
          <w:color w:val="22262E"/>
          <w:sz w:val="26"/>
        </w:rPr>
        <w:t>Article IV - Principal Office</w:t>
      </w:r>
    </w:p>
    <w:p>
      <w:pPr>
        <w:spacing w:after="120" w:line="264" w:lineRule="auto"/>
      </w:pPr>
      <w:r>
        <w:rPr>
          <w:rFonts w:ascii="Aptos" w:hAnsi="Aptos"/>
          <w:b w:val="0"/>
          <w:color w:val="22262E"/>
          <w:sz w:val="21"/>
        </w:rPr>
        <w:t>The principal office shall be located at a Maryland address to be confirmed before filing. Public drafts should not include private or unconfirmed addresses.</w:t>
      </w:r>
    </w:p>
    <w:p>
      <w:pPr>
        <w:spacing w:before="160" w:after="120"/>
      </w:pPr>
      <w:r>
        <w:rPr>
          <w:rFonts w:ascii="Aptos" w:hAnsi="Aptos"/>
          <w:b/>
          <w:color w:val="22262E"/>
          <w:sz w:val="26"/>
        </w:rPr>
        <w:t>Article V - Resident Agent</w:t>
      </w:r>
    </w:p>
    <w:p>
      <w:pPr>
        <w:spacing w:after="120" w:line="264" w:lineRule="auto"/>
      </w:pPr>
      <w:r>
        <w:rPr>
          <w:rFonts w:ascii="Aptos" w:hAnsi="Aptos"/>
          <w:b w:val="0"/>
          <w:color w:val="22262E"/>
          <w:sz w:val="21"/>
        </w:rPr>
        <w:t>The resident agent and resident office shall be confirmed before filing. The resident agent must consent to service of process responsibilities.</w:t>
      </w:r>
    </w:p>
    <w:p>
      <w:pPr>
        <w:spacing w:before="160" w:after="120"/>
      </w:pPr>
      <w:r>
        <w:rPr>
          <w:rFonts w:ascii="Aptos" w:hAnsi="Aptos"/>
          <w:b/>
          <w:color w:val="22262E"/>
          <w:sz w:val="26"/>
        </w:rPr>
        <w:t>Article VI - Duration</w:t>
      </w:r>
    </w:p>
    <w:p>
      <w:pPr>
        <w:spacing w:after="120" w:line="264" w:lineRule="auto"/>
      </w:pPr>
      <w:r>
        <w:rPr>
          <w:rFonts w:ascii="Aptos" w:hAnsi="Aptos"/>
          <w:b w:val="0"/>
          <w:color w:val="22262E"/>
          <w:sz w:val="21"/>
        </w:rPr>
        <w:t>The company shall continue perpetually unless dissolved according to law and any adopted operating agreement.</w:t>
      </w:r>
    </w:p>
    <w:p>
      <w:pPr>
        <w:spacing w:before="160" w:after="120"/>
      </w:pPr>
      <w:r>
        <w:rPr>
          <w:rFonts w:ascii="Aptos" w:hAnsi="Aptos"/>
          <w:b/>
          <w:color w:val="22262E"/>
          <w:sz w:val="26"/>
        </w:rPr>
        <w:t>Article VII - Management</w:t>
      </w:r>
    </w:p>
    <w:p>
      <w:pPr>
        <w:spacing w:after="120" w:line="264" w:lineRule="auto"/>
      </w:pPr>
      <w:r>
        <w:rPr>
          <w:rFonts w:ascii="Aptos" w:hAnsi="Aptos"/>
          <w:b w:val="0"/>
          <w:color w:val="22262E"/>
          <w:sz w:val="21"/>
        </w:rPr>
        <w:t>The company shall be managed by its members or managers as defined in an operating agreement adopted by the members.</w:t>
      </w:r>
    </w:p>
    <w:p>
      <w:pPr>
        <w:spacing w:before="160" w:after="120"/>
      </w:pPr>
      <w:r>
        <w:rPr>
          <w:rFonts w:ascii="Aptos" w:hAnsi="Aptos"/>
          <w:b/>
          <w:color w:val="22262E"/>
          <w:sz w:val="26"/>
        </w:rPr>
        <w:t>Article VIII - Membership</w:t>
      </w:r>
    </w:p>
    <w:p>
      <w:pPr>
        <w:spacing w:after="120" w:line="264" w:lineRule="auto"/>
      </w:pPr>
      <w:r>
        <w:rPr>
          <w:rFonts w:ascii="Aptos" w:hAnsi="Aptos"/>
          <w:b w:val="0"/>
          <w:color w:val="22262E"/>
          <w:sz w:val="21"/>
        </w:rPr>
        <w:t>Membership interests, admission of additional members, capital contributions, voting rights, and transfer restrictions shall be controlled by the operating agreement.</w:t>
      </w:r>
    </w:p>
    <w:p>
      <w:pPr>
        <w:spacing w:before="160" w:after="120"/>
      </w:pPr>
      <w:r>
        <w:rPr>
          <w:rFonts w:ascii="Aptos" w:hAnsi="Aptos"/>
          <w:b/>
          <w:color w:val="22262E"/>
          <w:sz w:val="26"/>
        </w:rPr>
        <w:t>Article IX - Indemnification</w:t>
      </w:r>
    </w:p>
    <w:p>
      <w:pPr>
        <w:spacing w:after="120" w:line="264" w:lineRule="auto"/>
      </w:pPr>
      <w:r>
        <w:rPr>
          <w:rFonts w:ascii="Aptos" w:hAnsi="Aptos"/>
          <w:b w:val="0"/>
          <w:color w:val="22262E"/>
          <w:sz w:val="21"/>
        </w:rPr>
        <w:t>The company may indemnify members, managers, officers, and agents to the fullest extent permitted by Maryland law, subject to professional legal review.</w:t>
      </w:r>
    </w:p>
    <w:p>
      <w:pPr>
        <w:spacing w:before="160" w:after="120"/>
      </w:pPr>
      <w:r>
        <w:rPr>
          <w:rFonts w:ascii="Aptos" w:hAnsi="Aptos"/>
          <w:b/>
          <w:color w:val="22262E"/>
          <w:sz w:val="26"/>
        </w:rPr>
        <w:t>Article X - Effective Date</w:t>
      </w:r>
    </w:p>
    <w:p>
      <w:pPr>
        <w:spacing w:after="120" w:line="264" w:lineRule="auto"/>
      </w:pPr>
      <w:r>
        <w:rPr>
          <w:rFonts w:ascii="Aptos" w:hAnsi="Aptos"/>
          <w:b w:val="0"/>
          <w:color w:val="22262E"/>
          <w:sz w:val="21"/>
        </w:rPr>
        <w:t>The articles become effective upon acceptance for filing by the Maryland Department of Assessments and Taxation unless a permitted delayed effective date is specified.</w:t>
      </w:r>
    </w:p>
    <w:p>
      <w:r>
        <w:br w:type="page"/>
      </w:r>
    </w:p>
    <w:p>
      <w:pPr>
        <w:spacing w:before="240" w:after="120"/>
      </w:pPr>
      <w:r>
        <w:rPr>
          <w:rFonts w:ascii="Aptos" w:hAnsi="Aptos"/>
          <w:b/>
          <w:color w:val="111722"/>
          <w:sz w:val="34"/>
        </w:rPr>
        <w:t>Articles of Organization for VYTAL Property Holdings LLC</w:t>
      </w:r>
    </w:p>
    <w:p>
      <w:pPr>
        <w:spacing w:before="160" w:after="120"/>
      </w:pPr>
      <w:r>
        <w:rPr>
          <w:rFonts w:ascii="Aptos" w:hAnsi="Aptos"/>
          <w:b/>
          <w:color w:val="22262E"/>
          <w:sz w:val="26"/>
        </w:rPr>
        <w:t>Article I - Name</w:t>
      </w:r>
    </w:p>
    <w:p>
      <w:pPr>
        <w:spacing w:after="120" w:line="264" w:lineRule="auto"/>
      </w:pPr>
      <w:r>
        <w:rPr>
          <w:rFonts w:ascii="Aptos" w:hAnsi="Aptos"/>
          <w:b w:val="0"/>
          <w:color w:val="22262E"/>
          <w:sz w:val="21"/>
        </w:rPr>
        <w:t>The name of the limited liability company is VYTAL Property Holdings LLC.</w:t>
      </w:r>
    </w:p>
    <w:p>
      <w:pPr>
        <w:spacing w:before="160" w:after="120"/>
      </w:pPr>
      <w:r>
        <w:rPr>
          <w:rFonts w:ascii="Aptos" w:hAnsi="Aptos"/>
          <w:b/>
          <w:color w:val="22262E"/>
          <w:sz w:val="26"/>
        </w:rPr>
        <w:t>Article II - Formation and Legal Authority</w:t>
      </w:r>
    </w:p>
    <w:p>
      <w:pPr>
        <w:spacing w:after="120" w:line="264" w:lineRule="auto"/>
      </w:pPr>
      <w:r>
        <w:rPr>
          <w:rFonts w:ascii="Aptos" w:hAnsi="Aptos"/>
          <w:b w:val="0"/>
          <w:color w:val="22262E"/>
          <w:sz w:val="21"/>
        </w:rPr>
        <w:t>The company is organized under the laws of the State of Maryland and any applicable Maryland limited liability company provisions.</w:t>
      </w:r>
    </w:p>
    <w:p>
      <w:pPr>
        <w:spacing w:before="160" w:after="120"/>
      </w:pPr>
      <w:r>
        <w:rPr>
          <w:rFonts w:ascii="Aptos" w:hAnsi="Aptos"/>
          <w:b/>
          <w:color w:val="22262E"/>
          <w:sz w:val="26"/>
        </w:rPr>
        <w:t>Article III - Purpose</w:t>
      </w:r>
    </w:p>
    <w:p>
      <w:pPr>
        <w:spacing w:after="120" w:line="264" w:lineRule="auto"/>
      </w:pPr>
      <w:r>
        <w:rPr>
          <w:rFonts w:ascii="Aptos" w:hAnsi="Aptos"/>
          <w:b w:val="0"/>
          <w:color w:val="22262E"/>
          <w:sz w:val="21"/>
        </w:rPr>
        <w:t>The company may engage in any lawful business activity permitted under Maryland law, serving its role in the VYTAL House platform architecture (holding equity in subsidiaries). Any clinical service model requires professional review and compliant operating controls.</w:t>
      </w:r>
    </w:p>
    <w:p>
      <w:pPr>
        <w:spacing w:before="160" w:after="120"/>
      </w:pPr>
      <w:r>
        <w:rPr>
          <w:rFonts w:ascii="Aptos" w:hAnsi="Aptos"/>
          <w:b/>
          <w:color w:val="22262E"/>
          <w:sz w:val="26"/>
        </w:rPr>
        <w:t>Article IV - Principal Office</w:t>
      </w:r>
    </w:p>
    <w:p>
      <w:pPr>
        <w:spacing w:after="120" w:line="264" w:lineRule="auto"/>
      </w:pPr>
      <w:r>
        <w:rPr>
          <w:rFonts w:ascii="Aptos" w:hAnsi="Aptos"/>
          <w:b w:val="0"/>
          <w:color w:val="22262E"/>
          <w:sz w:val="21"/>
        </w:rPr>
        <w:t>The principal office shall be located at a Maryland address to be confirmed before filing. Public drafts should not include private or unconfirmed addresses.</w:t>
      </w:r>
    </w:p>
    <w:p>
      <w:pPr>
        <w:spacing w:before="160" w:after="120"/>
      </w:pPr>
      <w:r>
        <w:rPr>
          <w:rFonts w:ascii="Aptos" w:hAnsi="Aptos"/>
          <w:b/>
          <w:color w:val="22262E"/>
          <w:sz w:val="26"/>
        </w:rPr>
        <w:t>Article V - Resident Agent</w:t>
      </w:r>
    </w:p>
    <w:p>
      <w:pPr>
        <w:spacing w:after="120" w:line="264" w:lineRule="auto"/>
      </w:pPr>
      <w:r>
        <w:rPr>
          <w:rFonts w:ascii="Aptos" w:hAnsi="Aptos"/>
          <w:b w:val="0"/>
          <w:color w:val="22262E"/>
          <w:sz w:val="21"/>
        </w:rPr>
        <w:t>The resident agent and resident office shall be confirmed before filing. The resident agent must consent to service of process responsibilities.</w:t>
      </w:r>
    </w:p>
    <w:p>
      <w:pPr>
        <w:spacing w:before="160" w:after="120"/>
      </w:pPr>
      <w:r>
        <w:rPr>
          <w:rFonts w:ascii="Aptos" w:hAnsi="Aptos"/>
          <w:b/>
          <w:color w:val="22262E"/>
          <w:sz w:val="26"/>
        </w:rPr>
        <w:t>Article VI - Duration</w:t>
      </w:r>
    </w:p>
    <w:p>
      <w:pPr>
        <w:spacing w:after="120" w:line="264" w:lineRule="auto"/>
      </w:pPr>
      <w:r>
        <w:rPr>
          <w:rFonts w:ascii="Aptos" w:hAnsi="Aptos"/>
          <w:b w:val="0"/>
          <w:color w:val="22262E"/>
          <w:sz w:val="21"/>
        </w:rPr>
        <w:t>The company shall continue perpetually unless dissolved according to law and any adopted operating agreement.</w:t>
      </w:r>
    </w:p>
    <w:p>
      <w:pPr>
        <w:spacing w:before="160" w:after="120"/>
      </w:pPr>
      <w:r>
        <w:rPr>
          <w:rFonts w:ascii="Aptos" w:hAnsi="Aptos"/>
          <w:b/>
          <w:color w:val="22262E"/>
          <w:sz w:val="26"/>
        </w:rPr>
        <w:t>Article VII - Management</w:t>
      </w:r>
    </w:p>
    <w:p>
      <w:pPr>
        <w:spacing w:after="120" w:line="264" w:lineRule="auto"/>
      </w:pPr>
      <w:r>
        <w:rPr>
          <w:rFonts w:ascii="Aptos" w:hAnsi="Aptos"/>
          <w:b w:val="0"/>
          <w:color w:val="22262E"/>
          <w:sz w:val="21"/>
        </w:rPr>
        <w:t>The company shall be managed by its members or managers as defined in an operating agreement adopted by the members.</w:t>
      </w:r>
    </w:p>
    <w:p>
      <w:pPr>
        <w:spacing w:before="160" w:after="120"/>
      </w:pPr>
      <w:r>
        <w:rPr>
          <w:rFonts w:ascii="Aptos" w:hAnsi="Aptos"/>
          <w:b/>
          <w:color w:val="22262E"/>
          <w:sz w:val="26"/>
        </w:rPr>
        <w:t>Article VIII - Membership</w:t>
      </w:r>
    </w:p>
    <w:p>
      <w:pPr>
        <w:spacing w:after="120" w:line="264" w:lineRule="auto"/>
      </w:pPr>
      <w:r>
        <w:rPr>
          <w:rFonts w:ascii="Aptos" w:hAnsi="Aptos"/>
          <w:b w:val="0"/>
          <w:color w:val="22262E"/>
          <w:sz w:val="21"/>
        </w:rPr>
        <w:t>Membership interests, admission of additional members, capital contributions, voting rights, and transfer restrictions shall be controlled by the operating agreement.</w:t>
      </w:r>
    </w:p>
    <w:p>
      <w:pPr>
        <w:spacing w:before="160" w:after="120"/>
      </w:pPr>
      <w:r>
        <w:rPr>
          <w:rFonts w:ascii="Aptos" w:hAnsi="Aptos"/>
          <w:b/>
          <w:color w:val="22262E"/>
          <w:sz w:val="26"/>
        </w:rPr>
        <w:t>Article IX - Indemnification</w:t>
      </w:r>
    </w:p>
    <w:p>
      <w:pPr>
        <w:spacing w:after="120" w:line="264" w:lineRule="auto"/>
      </w:pPr>
      <w:r>
        <w:rPr>
          <w:rFonts w:ascii="Aptos" w:hAnsi="Aptos"/>
          <w:b w:val="0"/>
          <w:color w:val="22262E"/>
          <w:sz w:val="21"/>
        </w:rPr>
        <w:t>The company may indemnify members, managers, officers, and agents to the fullest extent permitted by Maryland law, subject to professional legal review.</w:t>
      </w:r>
    </w:p>
    <w:p>
      <w:pPr>
        <w:spacing w:before="160" w:after="120"/>
      </w:pPr>
      <w:r>
        <w:rPr>
          <w:rFonts w:ascii="Aptos" w:hAnsi="Aptos"/>
          <w:b/>
          <w:color w:val="22262E"/>
          <w:sz w:val="26"/>
        </w:rPr>
        <w:t>Article X - Effective Date</w:t>
      </w:r>
    </w:p>
    <w:p>
      <w:pPr>
        <w:spacing w:after="120" w:line="264" w:lineRule="auto"/>
      </w:pPr>
      <w:r>
        <w:rPr>
          <w:rFonts w:ascii="Aptos" w:hAnsi="Aptos"/>
          <w:b w:val="0"/>
          <w:color w:val="22262E"/>
          <w:sz w:val="21"/>
        </w:rPr>
        <w:t>The articles become effective upon acceptance for filing by the Maryland Department of Assessments and Taxation unless a permitted delayed effective date is specified.</w:t>
      </w:r>
    </w:p>
    <w:p>
      <w:r>
        <w:br w:type="page"/>
      </w:r>
    </w:p>
    <w:p>
      <w:pPr>
        <w:spacing w:before="240" w:after="120"/>
      </w:pPr>
      <w:r>
        <w:rPr>
          <w:rFonts w:ascii="Aptos" w:hAnsi="Aptos"/>
          <w:b/>
          <w:color w:val="111722"/>
          <w:sz w:val="34"/>
        </w:rPr>
        <w:t>Articles of Organization for VYTAL House LLC</w:t>
      </w:r>
    </w:p>
    <w:p>
      <w:pPr>
        <w:spacing w:before="160" w:after="120"/>
      </w:pPr>
      <w:r>
        <w:rPr>
          <w:rFonts w:ascii="Aptos" w:hAnsi="Aptos"/>
          <w:b/>
          <w:color w:val="22262E"/>
          <w:sz w:val="26"/>
        </w:rPr>
        <w:t>Article I - Name</w:t>
      </w:r>
    </w:p>
    <w:p>
      <w:pPr>
        <w:spacing w:after="120" w:line="264" w:lineRule="auto"/>
      </w:pPr>
      <w:r>
        <w:rPr>
          <w:rFonts w:ascii="Aptos" w:hAnsi="Aptos"/>
          <w:b w:val="0"/>
          <w:color w:val="22262E"/>
          <w:sz w:val="21"/>
        </w:rPr>
        <w:t>The name of the limited liability company is VYTAL House LLC.</w:t>
      </w:r>
    </w:p>
    <w:p>
      <w:pPr>
        <w:spacing w:before="160" w:after="120"/>
      </w:pPr>
      <w:r>
        <w:rPr>
          <w:rFonts w:ascii="Aptos" w:hAnsi="Aptos"/>
          <w:b/>
          <w:color w:val="22262E"/>
          <w:sz w:val="26"/>
        </w:rPr>
        <w:t>Article II - Formation and Legal Authority</w:t>
      </w:r>
    </w:p>
    <w:p>
      <w:pPr>
        <w:spacing w:after="120" w:line="264" w:lineRule="auto"/>
      </w:pPr>
      <w:r>
        <w:rPr>
          <w:rFonts w:ascii="Aptos" w:hAnsi="Aptos"/>
          <w:b w:val="0"/>
          <w:color w:val="22262E"/>
          <w:sz w:val="21"/>
        </w:rPr>
        <w:t>The company is organized under the laws of the State of Maryland and any applicable Maryland limited liability company provisions.</w:t>
      </w:r>
    </w:p>
    <w:p>
      <w:pPr>
        <w:spacing w:before="160" w:after="120"/>
      </w:pPr>
      <w:r>
        <w:rPr>
          <w:rFonts w:ascii="Aptos" w:hAnsi="Aptos"/>
          <w:b/>
          <w:color w:val="22262E"/>
          <w:sz w:val="26"/>
        </w:rPr>
        <w:t>Article III - Purpose</w:t>
      </w:r>
    </w:p>
    <w:p>
      <w:pPr>
        <w:spacing w:after="120" w:line="264" w:lineRule="auto"/>
      </w:pPr>
      <w:r>
        <w:rPr>
          <w:rFonts w:ascii="Aptos" w:hAnsi="Aptos"/>
          <w:b w:val="0"/>
          <w:color w:val="22262E"/>
          <w:sz w:val="21"/>
        </w:rPr>
        <w:t>The company may engage in any lawful business activity permitted under Maryland law, serving its role in the VYTAL House platform architecture (membership-based recovery and wellness brand operations). Any clinical service model requires professional review and compliant operating controls.</w:t>
      </w:r>
    </w:p>
    <w:p>
      <w:pPr>
        <w:spacing w:before="160" w:after="120"/>
      </w:pPr>
      <w:r>
        <w:rPr>
          <w:rFonts w:ascii="Aptos" w:hAnsi="Aptos"/>
          <w:b/>
          <w:color w:val="22262E"/>
          <w:sz w:val="26"/>
        </w:rPr>
        <w:t>Article IV - Principal Office</w:t>
      </w:r>
    </w:p>
    <w:p>
      <w:pPr>
        <w:spacing w:after="120" w:line="264" w:lineRule="auto"/>
      </w:pPr>
      <w:r>
        <w:rPr>
          <w:rFonts w:ascii="Aptos" w:hAnsi="Aptos"/>
          <w:b w:val="0"/>
          <w:color w:val="22262E"/>
          <w:sz w:val="21"/>
        </w:rPr>
        <w:t>The principal office shall be located at a Maryland address to be confirmed before filing. Public drafts should not include private or unconfirmed addresses.</w:t>
      </w:r>
    </w:p>
    <w:p>
      <w:pPr>
        <w:spacing w:before="160" w:after="120"/>
      </w:pPr>
      <w:r>
        <w:rPr>
          <w:rFonts w:ascii="Aptos" w:hAnsi="Aptos"/>
          <w:b/>
          <w:color w:val="22262E"/>
          <w:sz w:val="26"/>
        </w:rPr>
        <w:t>Article V - Resident Agent</w:t>
      </w:r>
    </w:p>
    <w:p>
      <w:pPr>
        <w:spacing w:after="120" w:line="264" w:lineRule="auto"/>
      </w:pPr>
      <w:r>
        <w:rPr>
          <w:rFonts w:ascii="Aptos" w:hAnsi="Aptos"/>
          <w:b w:val="0"/>
          <w:color w:val="22262E"/>
          <w:sz w:val="21"/>
        </w:rPr>
        <w:t>The resident agent and resident office shall be confirmed before filing. The resident agent must consent to service of process responsibilities.</w:t>
      </w:r>
    </w:p>
    <w:p>
      <w:pPr>
        <w:spacing w:before="160" w:after="120"/>
      </w:pPr>
      <w:r>
        <w:rPr>
          <w:rFonts w:ascii="Aptos" w:hAnsi="Aptos"/>
          <w:b/>
          <w:color w:val="22262E"/>
          <w:sz w:val="26"/>
        </w:rPr>
        <w:t>Article VI - Duration</w:t>
      </w:r>
    </w:p>
    <w:p>
      <w:pPr>
        <w:spacing w:after="120" w:line="264" w:lineRule="auto"/>
      </w:pPr>
      <w:r>
        <w:rPr>
          <w:rFonts w:ascii="Aptos" w:hAnsi="Aptos"/>
          <w:b w:val="0"/>
          <w:color w:val="22262E"/>
          <w:sz w:val="21"/>
        </w:rPr>
        <w:t>The company shall continue perpetually unless dissolved according to law and any adopted operating agreement.</w:t>
      </w:r>
    </w:p>
    <w:p>
      <w:pPr>
        <w:spacing w:before="160" w:after="120"/>
      </w:pPr>
      <w:r>
        <w:rPr>
          <w:rFonts w:ascii="Aptos" w:hAnsi="Aptos"/>
          <w:b/>
          <w:color w:val="22262E"/>
          <w:sz w:val="26"/>
        </w:rPr>
        <w:t>Article VII - Management</w:t>
      </w:r>
    </w:p>
    <w:p>
      <w:pPr>
        <w:spacing w:after="120" w:line="264" w:lineRule="auto"/>
      </w:pPr>
      <w:r>
        <w:rPr>
          <w:rFonts w:ascii="Aptos" w:hAnsi="Aptos"/>
          <w:b w:val="0"/>
          <w:color w:val="22262E"/>
          <w:sz w:val="21"/>
        </w:rPr>
        <w:t>The company shall be managed by its members or managers as defined in an operating agreement adopted by the members.</w:t>
      </w:r>
    </w:p>
    <w:p>
      <w:pPr>
        <w:spacing w:before="160" w:after="120"/>
      </w:pPr>
      <w:r>
        <w:rPr>
          <w:rFonts w:ascii="Aptos" w:hAnsi="Aptos"/>
          <w:b/>
          <w:color w:val="22262E"/>
          <w:sz w:val="26"/>
        </w:rPr>
        <w:t>Article VIII - Membership</w:t>
      </w:r>
    </w:p>
    <w:p>
      <w:pPr>
        <w:spacing w:after="120" w:line="264" w:lineRule="auto"/>
      </w:pPr>
      <w:r>
        <w:rPr>
          <w:rFonts w:ascii="Aptos" w:hAnsi="Aptos"/>
          <w:b w:val="0"/>
          <w:color w:val="22262E"/>
          <w:sz w:val="21"/>
        </w:rPr>
        <w:t>Membership interests, admission of additional members, capital contributions, voting rights, and transfer restrictions shall be controlled by the operating agreement.</w:t>
      </w:r>
    </w:p>
    <w:p>
      <w:pPr>
        <w:spacing w:before="160" w:after="120"/>
      </w:pPr>
      <w:r>
        <w:rPr>
          <w:rFonts w:ascii="Aptos" w:hAnsi="Aptos"/>
          <w:b/>
          <w:color w:val="22262E"/>
          <w:sz w:val="26"/>
        </w:rPr>
        <w:t>Article IX - Indemnification</w:t>
      </w:r>
    </w:p>
    <w:p>
      <w:pPr>
        <w:spacing w:after="120" w:line="264" w:lineRule="auto"/>
      </w:pPr>
      <w:r>
        <w:rPr>
          <w:rFonts w:ascii="Aptos" w:hAnsi="Aptos"/>
          <w:b w:val="0"/>
          <w:color w:val="22262E"/>
          <w:sz w:val="21"/>
        </w:rPr>
        <w:t>The company may indemnify members, managers, officers, and agents to the fullest extent permitted by Maryland law, subject to professional legal review.</w:t>
      </w:r>
    </w:p>
    <w:p>
      <w:pPr>
        <w:spacing w:before="160" w:after="120"/>
      </w:pPr>
      <w:r>
        <w:rPr>
          <w:rFonts w:ascii="Aptos" w:hAnsi="Aptos"/>
          <w:b/>
          <w:color w:val="22262E"/>
          <w:sz w:val="26"/>
        </w:rPr>
        <w:t>Article X - Effective Date</w:t>
      </w:r>
    </w:p>
    <w:p>
      <w:pPr>
        <w:spacing w:after="120" w:line="264" w:lineRule="auto"/>
      </w:pPr>
      <w:r>
        <w:rPr>
          <w:rFonts w:ascii="Aptos" w:hAnsi="Aptos"/>
          <w:b w:val="0"/>
          <w:color w:val="22262E"/>
          <w:sz w:val="21"/>
        </w:rPr>
        <w:t>The articles become effective upon acceptance for filing by the Maryland Department of Assessments and Taxation unless a permitted delayed effective date is specified.</w:t>
      </w:r>
    </w:p>
    <w:p>
      <w:r>
        <w:br w:type="page"/>
      </w:r>
    </w:p>
    <w:p>
      <w:pPr>
        <w:spacing w:before="240" w:after="120"/>
      </w:pPr>
      <w:r>
        <w:rPr>
          <w:rFonts w:ascii="Aptos" w:hAnsi="Aptos"/>
          <w:b/>
          <w:color w:val="111722"/>
          <w:sz w:val="34"/>
        </w:rPr>
        <w:t>Draft Controls</w:t>
      </w:r>
    </w:p>
    <w:p>
      <w:pPr>
        <w:pStyle w:val="ListBullet"/>
        <w:spacing w:after="80"/>
      </w:pPr>
      <w:r>
        <w:rPr>
          <w:rFonts w:ascii="Aptos" w:hAnsi="Aptos"/>
          <w:b w:val="0"/>
          <w:color w:val="22262E"/>
          <w:sz w:val="21"/>
        </w:rPr>
        <w:t>Do not file these drafts without explicit owner approval.</w:t>
      </w:r>
    </w:p>
    <w:p>
      <w:pPr>
        <w:pStyle w:val="ListBullet"/>
        <w:spacing w:after="80"/>
      </w:pPr>
      <w:r>
        <w:rPr>
          <w:rFonts w:ascii="Aptos" w:hAnsi="Aptos"/>
          <w:b w:val="0"/>
          <w:color w:val="22262E"/>
          <w:sz w:val="21"/>
        </w:rPr>
        <w:t>Do not treat these drafts as counsel-approved legal language.</w:t>
      </w:r>
    </w:p>
    <w:p>
      <w:pPr>
        <w:pStyle w:val="ListBullet"/>
        <w:spacing w:after="80"/>
      </w:pPr>
      <w:r>
        <w:rPr>
          <w:rFonts w:ascii="Aptos" w:hAnsi="Aptos"/>
          <w:b w:val="0"/>
          <w:color w:val="22262E"/>
          <w:sz w:val="21"/>
        </w:rPr>
        <w:t>Keep signed final documents outside public repository paths unless counsel approves storage controls.</w:t>
      </w:r>
    </w:p>
    <w:p>
      <w:pPr>
        <w:pStyle w:val="ListBullet"/>
        <w:spacing w:after="80"/>
      </w:pPr>
      <w:r>
        <w:rPr>
          <w:rFonts w:ascii="Aptos" w:hAnsi="Aptos"/>
          <w:b w:val="0"/>
          <w:color w:val="22262E"/>
          <w:sz w:val="21"/>
        </w:rPr>
        <w:t>Maintain separate operating agreements, consent forms, insurance evidence, and clinical governance records before launch.</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C626E"/>
        <w:sz w:val="16"/>
      </w:rPr>
      <w:t>VYTAL House Articles Stack Drafts |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